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Helfer Ulrike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Global Ship Lease,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GSL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9 IRODOU ATTIKOU STREET</w:t>
            </w:r>
          </w:p>
        </w:tc>
        <w:tc>
          <w:tcPr>
            <w:tcW w:w="0" w:type="dxa"/>
            <w:vAlign w:val="bottom"/>
          </w:tcPr>
          <w:p>
            <w:pPr>
              <w:spacing w:after="0"/>
              <w:rPr>
                <w:sz w:val="1"/>
                <w:szCs w:val="1"/>
                <w:color w:val="auto"/>
              </w:rPr>
            </w:pPr>
          </w:p>
        </w:tc>
      </w:tr>
      <w:tr>
        <w:trPr>
          <w:trHeight w:val="237"/>
        </w:trPr>
        <w:tc>
          <w:tcPr>
            <w:tcW w:w="92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KIFISIA,</w:t>
            </w: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J3</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14561</w:t>
            </w:r>
          </w:p>
        </w:tc>
        <w:tc>
          <w:tcPr>
            <w:tcW w:w="0" w:type="dxa"/>
            <w:vAlign w:val="bottom"/>
          </w:tcPr>
          <w:p>
            <w:pPr>
              <w:spacing w:after="0"/>
              <w:rPr>
                <w:sz w:val="1"/>
                <w:szCs w:val="1"/>
                <w:color w:val="auto"/>
              </w:rPr>
            </w:pPr>
          </w:p>
        </w:tc>
      </w:tr>
      <w:tr>
        <w:trPr>
          <w:trHeight w:val="134"/>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ATHENS</w:t>
            </w:r>
          </w:p>
        </w:tc>
        <w:tc>
          <w:tcPr>
            <w:tcW w:w="8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Shares, par value of $0.01 per share</w:t>
            </w: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11,349</w:t>
            </w:r>
            <w:r>
              <w:rPr>
                <w:rFonts w:ascii="Times New Roman" w:cs="Times New Roman" w:eastAsia="Times New Roman" w:hAnsi="Times New Roman"/>
                <w:sz w:val="25"/>
                <w:szCs w:val="25"/>
                <w:color w:val="008000"/>
                <w:vertAlign w:val="superscript"/>
              </w:rPr>
              <w:t>(1)</w:t>
            </w:r>
          </w:p>
        </w:tc>
        <w:tc>
          <w:tcPr>
            <w:tcW w:w="8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Class A Common Shares, par value of $0.01 per share</w:t>
            </w: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21,346</w:t>
            </w:r>
            <w:r>
              <w:rPr>
                <w:rFonts w:ascii="Times New Roman" w:cs="Times New Roman" w:eastAsia="Times New Roman" w:hAnsi="Times New Roman"/>
                <w:sz w:val="25"/>
                <w:szCs w:val="25"/>
                <w:color w:val="008000"/>
                <w:vertAlign w:val="superscript"/>
              </w:rPr>
              <w:t>(2)</w:t>
            </w:r>
          </w:p>
        </w:tc>
        <w:tc>
          <w:tcPr>
            <w:tcW w:w="8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6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6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88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4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577 Class A Common Shares of Global Ship Lease, Inc. (the "Issuer") granted to the reporting person pursuant to the Issuer's 2019 Omnibus Incentive Plan, as amended and restated (the "Plan"), that are scheduled to vest on March 31, 2026.</w:t>
      </w:r>
    </w:p>
    <w:p>
      <w:pPr>
        <w:spacing w:after="0" w:line="17" w:lineRule="exact"/>
        <w:rPr>
          <w:rFonts w:ascii="Times New Roman" w:cs="Times New Roman" w:eastAsia="Times New Roman" w:hAnsi="Times New Roman"/>
          <w:sz w:val="15"/>
          <w:szCs w:val="15"/>
          <w:color w:val="008000"/>
        </w:rPr>
      </w:pPr>
    </w:p>
    <w:p>
      <w:pPr>
        <w:ind w:left="40" w:right="22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Unvested awards of Class A Common Shares of the Issuer granted to the reporting person pursuant to the Plan, consisting of (i) 6,346 shares which vest quarterly, pro rata, commencing from the quarter ended June 30, 2026, conditioned on the reporting person's continued service, (ii) 7,500 shares, of which approximately 1/3 are earned upon the Company's achievement of a specified annualized return on equity that is measured as of December 31 of 2026, 2027 and 2028, respectively, after which, such earned shares are notionally divided into a number of quarterly installments within the 3.25 year period beginning October 1, 2025 (the "Term") and are eligible to vest on this basis, and (iii) 7,500 shares which vest at December 31, 2028 based on the Company's achievement of a specified return on equity over the full Term.</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/s/ Ulrike Helfer</w:t>
            </w:r>
          </w:p>
        </w:tc>
        <w:tc>
          <w:tcPr>
            <w:tcW w:w="9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03/16/2026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19264" TargetMode="External"/><Relationship Id="rId11" Type="http://schemas.openxmlformats.org/officeDocument/2006/relationships/hyperlink" Target="http://www.sec.gov/cgi-bin/browse-edgar?action=getcompany&amp;CIK=0001430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2026-03-16T18:50:32Z</dcterms:created>
  <dcterms:modified xsi:type="dcterms:W3CDTF">2026-03-16T18:50:32Z</dcterms:modified>
</cp:coreProperties>
</file>