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8"/>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185420</wp:posOffset>
            </wp:positionH>
            <wp:positionV relativeFrom="page">
              <wp:posOffset>180340</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191770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9" w:lineRule="exact"/>
        <w:rPr>
          <w:sz w:val="24"/>
          <w:szCs w:val="24"/>
          <w:color w:val="auto"/>
        </w:rPr>
      </w:pPr>
    </w:p>
    <w:p>
      <w:pPr>
        <w:ind w:left="3328"/>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20-F</w:t>
      </w:r>
    </w:p>
    <w:p>
      <w:pPr>
        <w:spacing w:after="0" w:line="38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(Mark One)</w:t>
      </w:r>
    </w:p>
    <w:p>
      <w:pPr>
        <w:spacing w:after="0" w:line="21" w:lineRule="exact"/>
        <w:rPr>
          <w:sz w:val="24"/>
          <w:szCs w:val="24"/>
          <w:color w:val="auto"/>
        </w:rPr>
      </w:pPr>
    </w:p>
    <w:p>
      <w:pPr>
        <w:ind w:left="186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REGISTRATION STATEMENT PURSUANT TO SECTION 12(b) OR (g) OF THE SECURITIES EXCHANGE ACT OF 1934</w:t>
      </w:r>
    </w:p>
    <w:p>
      <w:pPr>
        <w:spacing w:after="0" w:line="13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228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fiscal year ended December 31, 2025</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212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8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OR</w:t>
      </w:r>
    </w:p>
    <w:p>
      <w:pPr>
        <w:spacing w:after="0" w:line="142" w:lineRule="exact"/>
        <w:rPr>
          <w:sz w:val="24"/>
          <w:szCs w:val="24"/>
          <w:color w:val="auto"/>
        </w:rPr>
      </w:pPr>
    </w:p>
    <w:p>
      <w:pPr>
        <w:ind w:left="1968"/>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b w:val="1"/>
          <w:bCs w:val="1"/>
          <w:color w:val="auto"/>
        </w:rPr>
        <w:t>SHELL COMPANY REPORT PURSUANT TO SECTION 13 OR 15(d) OF THE SECURITIES EXCHANGE ACT OF 1934</w:t>
      </w:r>
    </w:p>
    <w:p>
      <w:pPr>
        <w:spacing w:after="0" w:line="180" w:lineRule="exact"/>
        <w:rPr>
          <w:sz w:val="24"/>
          <w:szCs w:val="24"/>
          <w:color w:val="auto"/>
        </w:rPr>
      </w:pPr>
    </w:p>
    <w:p>
      <w:pPr>
        <w:ind w:left="4388"/>
        <w:spacing w:after="0"/>
        <w:rPr>
          <w:sz w:val="20"/>
          <w:szCs w:val="20"/>
          <w:color w:val="auto"/>
        </w:rPr>
      </w:pPr>
      <w:r>
        <w:rPr>
          <w:rFonts w:ascii="Times New Roman" w:cs="Times New Roman" w:eastAsia="Times New Roman" w:hAnsi="Times New Roman"/>
          <w:sz w:val="12"/>
          <w:szCs w:val="12"/>
          <w:b w:val="1"/>
          <w:bCs w:val="1"/>
          <w:color w:val="auto"/>
        </w:rPr>
        <w:t>Date of event requiring this shell company report</w:t>
      </w:r>
    </w:p>
    <w:p>
      <w:pPr>
        <w:spacing w:after="0" w:line="150" w:lineRule="exact"/>
        <w:rPr>
          <w:sz w:val="24"/>
          <w:szCs w:val="24"/>
          <w:color w:val="auto"/>
        </w:rPr>
      </w:pPr>
    </w:p>
    <w:p>
      <w:pPr>
        <w:ind w:left="4248"/>
        <w:spacing w:after="0"/>
        <w:tabs>
          <w:tab w:leader="none" w:pos="6368"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3677920</wp:posOffset>
            </wp:positionH>
            <wp:positionV relativeFrom="paragraph">
              <wp:posOffset>-3175</wp:posOffset>
            </wp:positionV>
            <wp:extent cx="80581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05815" cy="5715"/>
                    </a:xfrm>
                    <a:prstGeom prst="rect">
                      <a:avLst/>
                    </a:prstGeom>
                    <a:noFill/>
                  </pic:spPr>
                </pic:pic>
              </a:graphicData>
            </a:graphic>
          </wp:anchor>
        </w:drawing>
      </w:r>
    </w:p>
    <w:p>
      <w:pPr>
        <w:spacing w:after="0" w:line="13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Commission file number: 001-34153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184785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9"/>
          <w:szCs w:val="29"/>
          <w:b w:val="1"/>
          <w:bCs w:val="1"/>
          <w:color w:val="auto"/>
        </w:rPr>
        <w:t>Global Ship Lease, Inc.</w:t>
      </w:r>
    </w:p>
    <w:p>
      <w:pPr>
        <w:spacing w:after="0" w:line="3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208915</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N/A</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(Translation of Registrant’s name into English)</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Republic of the Marshall Islands</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(Jurisdiction of incorporation or organization)</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9 Irodou Attikou Street, Kifisia, Athens 14561, Greece</w:t>
      </w:r>
    </w:p>
    <w:p>
      <w:pPr>
        <w:spacing w:after="0" w:line="1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p>
      <w:pPr>
        <w:spacing w:after="0" w:line="1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Anastasios Psaropoulos, Chief Financial Officer, 9 Irodou Attikou Street, Kifisia, Athens 14561, Greece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Tel number: + 30 210 6233670</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t.psaropoulos@globalshiplease.com</w:t>
      </w:r>
    </w:p>
    <w:p>
      <w:pPr>
        <w:jc w:val="center"/>
        <w:ind w:right="-7"/>
        <w:spacing w:after="0"/>
        <w:rPr>
          <w:sz w:val="20"/>
          <w:szCs w:val="20"/>
          <w:color w:val="auto"/>
        </w:rPr>
      </w:pPr>
      <w:r>
        <w:rPr>
          <w:rFonts w:ascii="Times New Roman" w:cs="Times New Roman" w:eastAsia="Times New Roman" w:hAnsi="Times New Roman"/>
          <w:sz w:val="10"/>
          <w:szCs w:val="10"/>
          <w:b w:val="1"/>
          <w:bCs w:val="1"/>
          <w:color w:val="auto"/>
        </w:rPr>
        <w:t>(Name, Telephone, Email and/or Facsimile Number and Address of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119380</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12(b) of the Act.</w:t>
      </w:r>
    </w:p>
    <w:p>
      <w:pPr>
        <w:spacing w:after="0" w:line="166" w:lineRule="exact"/>
        <w:rPr>
          <w:sz w:val="24"/>
          <w:szCs w:val="24"/>
          <w:color w:val="auto"/>
        </w:rPr>
      </w:pPr>
    </w:p>
    <w:p>
      <w:pPr>
        <w:ind w:left="1688"/>
        <w:spacing w:after="0"/>
        <w:tabs>
          <w:tab w:leader="none" w:pos="5548" w:val="left"/>
          <w:tab w:leader="none" w:pos="8648" w:val="left"/>
        </w:tabs>
        <w:rPr>
          <w:sz w:val="20"/>
          <w:szCs w:val="20"/>
          <w:color w:val="auto"/>
        </w:rPr>
      </w:pPr>
      <w:r>
        <w:rPr>
          <w:rFonts w:ascii="Times New Roman" w:cs="Times New Roman" w:eastAsia="Times New Roman" w:hAnsi="Times New Roman"/>
          <w:sz w:val="10"/>
          <w:szCs w:val="10"/>
          <w:b w:val="1"/>
          <w:bCs w:val="1"/>
          <w:color w:val="auto"/>
        </w:rPr>
        <w:t>Title of each class</w:t>
      </w:r>
      <w:r>
        <w:rPr>
          <w:sz w:val="20"/>
          <w:szCs w:val="20"/>
          <w:color w:val="auto"/>
        </w:rPr>
        <w:tab/>
      </w:r>
      <w:r>
        <w:rPr>
          <w:rFonts w:ascii="Times New Roman" w:cs="Times New Roman" w:eastAsia="Times New Roman" w:hAnsi="Times New Roman"/>
          <w:sz w:val="10"/>
          <w:szCs w:val="10"/>
          <w:b w:val="1"/>
          <w:bCs w:val="1"/>
          <w:color w:val="auto"/>
        </w:rPr>
        <w:t>Trading Symbol(s)</w:t>
      </w:r>
      <w:r>
        <w:rPr>
          <w:sz w:val="20"/>
          <w:szCs w:val="20"/>
          <w:color w:val="auto"/>
        </w:rPr>
        <w:tab/>
      </w:r>
      <w:r>
        <w:rPr>
          <w:rFonts w:ascii="Times New Roman" w:cs="Times New Roman" w:eastAsia="Times New Roman" w:hAnsi="Times New Roman"/>
          <w:sz w:val="8"/>
          <w:szCs w:val="8"/>
          <w:b w:val="1"/>
          <w:bCs w:val="1"/>
          <w:color w:val="auto"/>
        </w:rPr>
        <w:t>Name of each exchange on which registered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258889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88895" cy="5715"/>
                    </a:xfrm>
                    <a:prstGeom prst="rect">
                      <a:avLst/>
                    </a:prstGeom>
                    <a:noFill/>
                  </pic:spPr>
                </pic:pic>
              </a:graphicData>
            </a:graphic>
          </wp:anchor>
        </w:drawing>
      </w:r>
    </w:p>
    <w:p>
      <w:pPr>
        <w:sectPr>
          <w:pgSz w:w="11900" w:h="16838" w:orient="portrait"/>
          <w:cols w:equalWidth="0" w:num="1">
            <w:col w:w="11308"/>
          </w:cols>
          <w:pgMar w:left="292" w:top="648" w:right="299" w:bottom="0" w:gutter="0" w:footer="0" w:header="0"/>
        </w:sectPr>
      </w:pPr>
    </w:p>
    <w:p>
      <w:pPr>
        <w:spacing w:after="0" w:line="9"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Class A Common Shares, par value of $0.01 per share</w:t>
      </w:r>
    </w:p>
    <w:p>
      <w:pPr>
        <w:spacing w:after="0" w:line="15"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Depositary Shares, each of which represents a 1/100th interest in a share of</w:t>
      </w:r>
    </w:p>
    <w:p>
      <w:pPr>
        <w:spacing w:after="0" w:line="6" w:lineRule="exact"/>
        <w:rPr>
          <w:sz w:val="24"/>
          <w:szCs w:val="24"/>
          <w:color w:val="auto"/>
        </w:rPr>
      </w:pPr>
    </w:p>
    <w:p>
      <w:pPr>
        <w:ind w:left="8"/>
        <w:spacing w:after="0" w:line="250" w:lineRule="auto"/>
        <w:rPr>
          <w:sz w:val="20"/>
          <w:szCs w:val="20"/>
          <w:color w:val="auto"/>
        </w:rPr>
      </w:pPr>
      <w:r>
        <w:rPr>
          <w:rFonts w:ascii="Times New Roman" w:cs="Times New Roman" w:eastAsia="Times New Roman" w:hAnsi="Times New Roman"/>
          <w:sz w:val="12"/>
          <w:szCs w:val="12"/>
          <w:b w:val="1"/>
          <w:bCs w:val="1"/>
          <w:color w:val="auto"/>
        </w:rPr>
        <w:t>8.75% Series B Cumulative Redeemable Perpetual Preferred Shares, par value $0.01 per share</w:t>
      </w:r>
    </w:p>
    <w:p>
      <w:pPr>
        <w:spacing w:after="0" w:line="1"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8.75% Series B Cumulative Redeemable Perpetual Preferred Shares*</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9"/>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GSL</w:t>
            </w:r>
          </w:p>
        </w:tc>
        <w:tc>
          <w:tcPr>
            <w:tcW w:w="1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r>
        <w:trPr>
          <w:trHeight w:val="262"/>
        </w:trPr>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GSL-B</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r>
        <w:trPr>
          <w:trHeight w:val="360"/>
        </w:trPr>
        <w:tc>
          <w:tcPr>
            <w:tcW w:w="362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N/A*</w:t>
            </w:r>
          </w:p>
        </w:tc>
        <w:tc>
          <w:tcPr>
            <w:tcW w:w="35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N/A*</w:t>
            </w:r>
          </w:p>
        </w:tc>
      </w:tr>
    </w:tbl>
    <w:p>
      <w:pPr>
        <w:spacing w:after="0" w:line="200" w:lineRule="exact"/>
        <w:rPr>
          <w:sz w:val="24"/>
          <w:szCs w:val="24"/>
          <w:color w:val="auto"/>
        </w:rPr>
      </w:pPr>
    </w:p>
    <w:p>
      <w:pPr>
        <w:sectPr>
          <w:pgSz w:w="11900" w:h="16838" w:orient="portrait"/>
          <w:cols w:equalWidth="0" w:num="2">
            <w:col w:w="4028" w:space="160"/>
            <w:col w:w="7120"/>
          </w:cols>
          <w:pgMar w:left="292" w:top="648" w:right="299" w:bottom="0" w:gutter="0" w:footer="0" w:header="0"/>
          <w:type w:val="continuous"/>
        </w:sectPr>
      </w:pPr>
    </w:p>
    <w:p>
      <w:pPr>
        <w:spacing w:after="0" w:line="185" w:lineRule="exact"/>
        <w:rPr>
          <w:sz w:val="24"/>
          <w:szCs w:val="24"/>
          <w:color w:val="auto"/>
        </w:rPr>
      </w:pPr>
    </w:p>
    <w:p>
      <w:pPr>
        <w:ind w:left="108" w:right="40" w:hanging="108"/>
        <w:spacing w:after="0" w:line="279" w:lineRule="auto"/>
        <w:tabs>
          <w:tab w:leader="none" w:pos="108"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for trading, but only in connection with the registration of the Depositary Shares representing 1/100th interest in such shares of 8.75% Series B Cumulative Redeemable Perpetual Preferred Shares, pursuant to the requirements of the Securities and Exchange Commission</w:t>
      </w:r>
      <w:r>
        <w:rPr>
          <w:rFonts w:ascii="Times New Roman" w:cs="Times New Roman" w:eastAsia="Times New Roman" w:hAnsi="Times New Roman"/>
          <w:sz w:val="12"/>
          <w:szCs w:val="12"/>
          <w:b w:val="1"/>
          <w:bCs w:val="1"/>
          <w:color w:val="auto"/>
        </w:rPr>
        <w:t>.</w:t>
      </w:r>
    </w:p>
    <w:p>
      <w:pPr>
        <w:spacing w:after="0" w:line="107"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registered or to be registered pursuant to Section 12(g) of the Act: None</w:t>
      </w:r>
    </w:p>
    <w:p>
      <w:pPr>
        <w:spacing w:after="0" w:line="15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Securities for which there is a reporting obligation pursuant to Section 15(d)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81915</wp:posOffset>
            </wp:positionV>
            <wp:extent cx="179451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60"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Indicate the number of outstanding shares of each of the issuer’s classes of capital or common stock as of the close of the period covered by the annual report.</w:t>
      </w:r>
    </w:p>
    <w:p>
      <w:pPr>
        <w:spacing w:after="0" w:line="152"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35,913,628 Class A common shares, par value of $0.01 per share</w:t>
      </w:r>
    </w:p>
    <w:p>
      <w:pPr>
        <w:spacing w:after="0" w:line="14"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1"/>
          <w:szCs w:val="11"/>
          <w:color w:val="auto"/>
        </w:rPr>
        <w:t>43,592 Series B Cumulative Redeemable Perpetual Preferred Shares, par value of $0.01 per share</w:t>
      </w:r>
    </w:p>
    <w:p>
      <w:pPr>
        <w:spacing w:after="0" w:line="117" w:lineRule="exact"/>
        <w:rPr>
          <w:sz w:val="24"/>
          <w:szCs w:val="24"/>
          <w:color w:val="auto"/>
        </w:rPr>
      </w:pPr>
    </w:p>
    <w:p>
      <w:pPr>
        <w:jc w:val="center"/>
        <w:ind w:right="12"/>
        <w:spacing w:after="0" w:line="138" w:lineRule="exact"/>
        <w:tabs>
          <w:tab w:leader="none" w:pos="120" w:val="left"/>
          <w:tab w:leader="none" w:pos="100" w:val="left"/>
        </w:tabs>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50" w:lineRule="exact"/>
        <w:rPr>
          <w:sz w:val="24"/>
          <w:szCs w:val="24"/>
          <w:color w:val="auto"/>
        </w:rPr>
      </w:pPr>
    </w:p>
    <w:p>
      <w:pPr>
        <w:jc w:val="center"/>
        <w:ind w:right="12"/>
        <w:spacing w:after="0" w:line="138" w:lineRule="exact"/>
        <w:tabs>
          <w:tab w:leader="none" w:pos="100" w:val="left"/>
          <w:tab w:leader="none" w:pos="100" w:val="left"/>
        </w:tabs>
        <w:rPr>
          <w:sz w:val="20"/>
          <w:szCs w:val="20"/>
          <w:color w:val="auto"/>
        </w:rPr>
      </w:pPr>
      <w:r>
        <w:rPr>
          <w:rFonts w:ascii="Times New Roman" w:cs="Times New Roman" w:eastAsia="Times New Roman" w:hAnsi="Times New Roman"/>
          <w:sz w:val="12"/>
          <w:szCs w:val="12"/>
          <w:color w:val="auto"/>
        </w:rPr>
        <w:t>If this report is an annual or transition report, indicate by check mark if the registrant is not required to file reports pursuant to Section 13 or 15(d) of the Securities Exchange Act of 1934.</w:t>
        <w:tab/>
        <w:t xml:space="preserve">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ab/>
        <w:t xml:space="preserve">No </w:t>
      </w:r>
      <w:r>
        <w:rPr>
          <w:rFonts w:ascii="MS PGothic" w:cs="MS PGothic" w:eastAsia="MS PGothic" w:hAnsi="MS PGothic"/>
          <w:sz w:val="12"/>
          <w:szCs w:val="12"/>
          <w:color w:val="auto"/>
        </w:rPr>
        <w:t>☒</w:t>
      </w:r>
    </w:p>
    <w:p>
      <w:pPr>
        <w:spacing w:after="0" w:line="178"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Note – Checking the box above will not relieve any registrant required to file reports pursuant to Section 13 or 15(d) of the Securities Exchange Act of 1934 from their obligations under those Sections.</w:t>
      </w:r>
    </w:p>
    <w:p>
      <w:pPr>
        <w:spacing w:after="0" w:line="150" w:lineRule="exact"/>
        <w:rPr>
          <w:sz w:val="24"/>
          <w:szCs w:val="24"/>
          <w:color w:val="auto"/>
        </w:rPr>
      </w:pPr>
    </w:p>
    <w:p>
      <w:pPr>
        <w:jc w:val="center"/>
        <w:ind w:left="34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left="340"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left="320" w:right="6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or an emerging growth company. See the definitions of “large accelerated filer,” “accelerated filer,” and “emerging growth company” in Rule 12b-2 of the Exchange Act.</w:t>
      </w:r>
    </w:p>
    <w:p>
      <w:pPr>
        <w:spacing w:after="0" w:line="101" w:lineRule="exact"/>
        <w:rPr>
          <w:sz w:val="24"/>
          <w:szCs w:val="24"/>
          <w:color w:val="auto"/>
        </w:rPr>
      </w:pPr>
    </w:p>
    <w:p>
      <w:pPr>
        <w:ind w:left="2888"/>
        <w:spacing w:after="0" w:line="138" w:lineRule="exact"/>
        <w:tabs>
          <w:tab w:leader="none" w:pos="4848" w:val="left"/>
          <w:tab w:leader="none" w:pos="7068" w:val="left"/>
          <w:tab w:leader="none" w:pos="8908" w:val="left"/>
        </w:tabs>
        <w:rPr>
          <w:sz w:val="20"/>
          <w:szCs w:val="20"/>
          <w:color w:val="auto"/>
        </w:rPr>
      </w:pPr>
      <w:r>
        <w:rPr>
          <w:rFonts w:ascii="Times New Roman" w:cs="Times New Roman" w:eastAsia="Times New Roman" w:hAnsi="Times New Roman"/>
          <w:sz w:val="12"/>
          <w:szCs w:val="12"/>
          <w:color w:val="auto"/>
        </w:rPr>
        <w:t>Large 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Accelerated Filer</w:t>
      </w:r>
      <w:r>
        <w:rPr>
          <w:sz w:val="20"/>
          <w:szCs w:val="20"/>
          <w:color w:val="auto"/>
        </w:rPr>
        <w:tab/>
      </w:r>
      <w:r>
        <w:rPr>
          <w:rFonts w:ascii="MS PGothic" w:cs="MS PGothic" w:eastAsia="MS PGothic" w:hAnsi="MS PGothic"/>
          <w:sz w:val="10"/>
          <w:szCs w:val="10"/>
          <w:color w:val="auto"/>
        </w:rPr>
        <w:t>☐</w:t>
      </w:r>
    </w:p>
    <w:p>
      <w:pPr>
        <w:spacing w:after="0" w:line="42" w:lineRule="exact"/>
        <w:rPr>
          <w:sz w:val="24"/>
          <w:szCs w:val="24"/>
          <w:color w:val="auto"/>
        </w:rPr>
      </w:pPr>
    </w:p>
    <w:p>
      <w:pPr>
        <w:ind w:left="2928"/>
        <w:spacing w:after="0" w:line="138" w:lineRule="exact"/>
        <w:tabs>
          <w:tab w:leader="none" w:pos="4848" w:val="left"/>
          <w:tab w:leader="none" w:pos="6828" w:val="left"/>
          <w:tab w:leader="none" w:pos="8908" w:val="left"/>
        </w:tabs>
        <w:rPr>
          <w:sz w:val="20"/>
          <w:szCs w:val="20"/>
          <w:color w:val="auto"/>
        </w:rPr>
      </w:pPr>
      <w:r>
        <w:rPr>
          <w:rFonts w:ascii="Times New Roman" w:cs="Times New Roman" w:eastAsia="Times New Roman" w:hAnsi="Times New Roman"/>
          <w:sz w:val="12"/>
          <w:szCs w:val="12"/>
          <w:color w:val="auto"/>
        </w:rPr>
        <w:t>Non-accelerated Filer</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286" w:lineRule="exact"/>
        <w:rPr>
          <w:sz w:val="24"/>
          <w:szCs w:val="24"/>
          <w:color w:val="auto"/>
        </w:rPr>
      </w:pPr>
    </w:p>
    <w:p>
      <w:pPr>
        <w:jc w:val="center"/>
        <w:ind w:left="320" w:right="20"/>
        <w:spacing w:after="0" w:line="159" w:lineRule="exact"/>
        <w:rPr>
          <w:sz w:val="20"/>
          <w:szCs w:val="20"/>
          <w:color w:val="auto"/>
        </w:rPr>
      </w:pPr>
      <w:r>
        <w:rPr>
          <w:rFonts w:ascii="Times New Roman" w:cs="Times New Roman" w:eastAsia="Times New Roman" w:hAnsi="Times New Roman"/>
          <w:sz w:val="12"/>
          <w:szCs w:val="12"/>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116" w:lineRule="exact"/>
        <w:rPr>
          <w:sz w:val="24"/>
          <w:szCs w:val="24"/>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 The term “new or revised financial accounting standard” refers to any update issued by the Financial Accounting Standards Board to its Accounting Standards Codification after April 5, 2012.</w:t>
      </w:r>
    </w:p>
    <w:p>
      <w:pPr>
        <w:sectPr>
          <w:pgSz w:w="11900" w:h="16838" w:orient="portrait"/>
          <w:cols w:equalWidth="0" w:num="1">
            <w:col w:w="11308"/>
          </w:cols>
          <w:pgMar w:left="292" w:top="648" w:right="299" w:bottom="0" w:gutter="0" w:footer="0" w:header="0"/>
          <w:type w:val="continuous"/>
        </w:sectPr>
      </w:pPr>
    </w:p>
    <w:bookmarkStart w:id="1" w:name="page2"/>
    <w:bookmarkEnd w:id="1"/>
    <w:p>
      <w:pPr>
        <w:jc w:val="cente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filed a report on and attestation to its management’s assessment of effectiveness of its internal controls over financial reporting under Section 404(b) of the Sarbanes-Oxley Act (15 U.S.S. 7262(b)) by the registered public accounting firm that prepared or issued its audit report. </w:t>
      </w:r>
      <w:r>
        <w:rPr>
          <w:rFonts w:ascii="MS PGothic" w:cs="MS PGothic" w:eastAsia="MS PGothic" w:hAnsi="MS PGothic"/>
          <w:sz w:val="12"/>
          <w:szCs w:val="12"/>
          <w:color w:val="auto"/>
        </w:rPr>
        <w:t>☒</w:t>
      </w:r>
    </w:p>
    <w:p>
      <w:pPr>
        <w:spacing w:after="0" w:line="87" w:lineRule="exact"/>
        <w:rPr>
          <w:sz w:val="20"/>
          <w:szCs w:val="20"/>
          <w:color w:val="auto"/>
        </w:rPr>
      </w:pPr>
    </w:p>
    <w:p>
      <w:pPr>
        <w:jc w:val="center"/>
        <w:ind w:right="20"/>
        <w:spacing w:after="0" w:line="127" w:lineRule="exact"/>
        <w:rPr>
          <w:sz w:val="20"/>
          <w:szCs w:val="20"/>
          <w:color w:val="auto"/>
        </w:rPr>
      </w:pPr>
      <w:r>
        <w:rPr>
          <w:rFonts w:ascii="Times New Roman" w:cs="Times New Roman" w:eastAsia="Times New Roman" w:hAnsi="Times New Roman"/>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1"/>
          <w:szCs w:val="11"/>
          <w:color w:val="auto"/>
        </w:rPr>
        <w:t>☐</w:t>
      </w:r>
    </w:p>
    <w:p>
      <w:pPr>
        <w:spacing w:after="0" w:line="190" w:lineRule="exact"/>
        <w:rPr>
          <w:sz w:val="20"/>
          <w:szCs w:val="20"/>
          <w:color w:val="auto"/>
        </w:rPr>
      </w:pPr>
    </w:p>
    <w:p>
      <w:pPr>
        <w:jc w:val="center"/>
        <w:ind w:right="20"/>
        <w:spacing w:after="0" w:line="159" w:lineRule="exact"/>
        <w:rPr>
          <w:sz w:val="20"/>
          <w:szCs w:val="20"/>
          <w:color w:val="auto"/>
        </w:rPr>
      </w:pPr>
      <w:r>
        <w:rPr>
          <w:rFonts w:ascii="Times New Roman" w:cs="Times New Roman" w:eastAsia="Times New Roman" w:hAnsi="Times New Roman"/>
          <w:sz w:val="12"/>
          <w:szCs w:val="12"/>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2"/>
          <w:szCs w:val="12"/>
          <w:color w:val="auto"/>
        </w:rPr>
        <w:t>☐</w:t>
      </w:r>
    </w:p>
    <w:p>
      <w:pPr>
        <w:spacing w:after="0" w:line="116" w:lineRule="exact"/>
        <w:rPr>
          <w:sz w:val="20"/>
          <w:szCs w:val="20"/>
          <w:color w:val="auto"/>
        </w:rPr>
      </w:pPr>
    </w:p>
    <w:tbl>
      <w:tblPr>
        <w:tblLayout w:type="fixed"/>
        <w:tblInd w:w="1380" w:type="dxa"/>
        <w:tblCellMar>
          <w:top w:w="0" w:type="dxa"/>
          <w:left w:w="0" w:type="dxa"/>
          <w:bottom w:w="0" w:type="dxa"/>
          <w:right w:w="0" w:type="dxa"/>
        </w:tblCellMar>
      </w:tblPr>
      <w:tr>
        <w:trPr>
          <w:trHeight w:val="155"/>
        </w:trPr>
        <w:tc>
          <w:tcPr>
            <w:tcW w:w="920" w:type="dxa"/>
            <w:vAlign w:val="bottom"/>
          </w:tcPr>
          <w:p>
            <w:pPr>
              <w:spacing w:after="0"/>
              <w:rPr>
                <w:sz w:val="13"/>
                <w:szCs w:val="13"/>
                <w:color w:val="auto"/>
              </w:rPr>
            </w:pPr>
          </w:p>
        </w:tc>
        <w:tc>
          <w:tcPr>
            <w:tcW w:w="68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Indicate by check mark which basis of accounting the registrant has used to prepare the financial statements included in this filing:</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920" w:type="dxa"/>
            <w:vAlign w:val="bottom"/>
            <w:vMerge w:val="restart"/>
          </w:tcPr>
          <w:p>
            <w:pPr>
              <w:spacing w:after="0" w:line="138" w:lineRule="exact"/>
              <w:rPr>
                <w:sz w:val="20"/>
                <w:szCs w:val="20"/>
                <w:color w:val="auto"/>
              </w:rPr>
            </w:pPr>
            <w:r>
              <w:rPr>
                <w:rFonts w:ascii="Times New Roman" w:cs="Times New Roman" w:eastAsia="Times New Roman" w:hAnsi="Times New Roman"/>
                <w:sz w:val="12"/>
                <w:szCs w:val="12"/>
                <w:color w:val="auto"/>
              </w:rPr>
              <w:t xml:space="preserve">U.S. GAAP </w:t>
            </w:r>
            <w:r>
              <w:rPr>
                <w:rFonts w:ascii="MS PGothic" w:cs="MS PGothic" w:eastAsia="MS PGothic" w:hAnsi="MS PGothic"/>
                <w:sz w:val="12"/>
                <w:szCs w:val="12"/>
                <w:color w:val="auto"/>
              </w:rPr>
              <w:t>☒</w:t>
            </w:r>
          </w:p>
        </w:tc>
        <w:tc>
          <w:tcPr>
            <w:tcW w:w="6800" w:type="dxa"/>
            <w:vAlign w:val="bottom"/>
          </w:tcPr>
          <w:p>
            <w:pPr>
              <w:ind w:left="2300"/>
              <w:spacing w:after="0"/>
              <w:rPr>
                <w:sz w:val="20"/>
                <w:szCs w:val="20"/>
                <w:color w:val="auto"/>
              </w:rPr>
            </w:pPr>
            <w:r>
              <w:rPr>
                <w:rFonts w:ascii="Times New Roman" w:cs="Times New Roman" w:eastAsia="Times New Roman" w:hAnsi="Times New Roman"/>
                <w:sz w:val="12"/>
                <w:szCs w:val="12"/>
                <w:color w:val="auto"/>
              </w:rPr>
              <w:t>International Financial Reporting Standards as Issued</w:t>
            </w:r>
          </w:p>
        </w:tc>
        <w:tc>
          <w:tcPr>
            <w:tcW w:w="780" w:type="dxa"/>
            <w:vAlign w:val="bottom"/>
            <w:vMerge w:val="restart"/>
          </w:tcPr>
          <w:p>
            <w:pPr>
              <w:ind w:left="340"/>
              <w:spacing w:after="0" w:line="138" w:lineRule="exact"/>
              <w:rPr>
                <w:sz w:val="20"/>
                <w:szCs w:val="20"/>
                <w:color w:val="auto"/>
              </w:rPr>
            </w:pPr>
            <w:r>
              <w:rPr>
                <w:rFonts w:ascii="Times New Roman" w:cs="Times New Roman" w:eastAsia="Times New Roman" w:hAnsi="Times New Roman"/>
                <w:sz w:val="12"/>
                <w:szCs w:val="12"/>
                <w:color w:val="auto"/>
                <w:w w:val="99"/>
              </w:rPr>
              <w:t xml:space="preserve">Other </w:t>
            </w:r>
            <w:r>
              <w:rPr>
                <w:rFonts w:ascii="MS PGothic" w:cs="MS PGothic" w:eastAsia="MS PGothic" w:hAnsi="MS PGothic"/>
                <w:sz w:val="12"/>
                <w:szCs w:val="12"/>
                <w:color w:val="auto"/>
                <w:w w:val="99"/>
              </w:rPr>
              <w:t>☐</w:t>
            </w:r>
          </w:p>
        </w:tc>
        <w:tc>
          <w:tcPr>
            <w:tcW w:w="0" w:type="dxa"/>
            <w:vAlign w:val="bottom"/>
          </w:tcPr>
          <w:p>
            <w:pPr>
              <w:spacing w:after="0"/>
              <w:rPr>
                <w:sz w:val="1"/>
                <w:szCs w:val="1"/>
                <w:color w:val="auto"/>
              </w:rPr>
            </w:pPr>
          </w:p>
        </w:tc>
      </w:tr>
      <w:tr>
        <w:trPr>
          <w:trHeight w:val="201"/>
        </w:trPr>
        <w:tc>
          <w:tcPr>
            <w:tcW w:w="920" w:type="dxa"/>
            <w:vAlign w:val="bottom"/>
            <w:vMerge w:val="continue"/>
          </w:tcPr>
          <w:p>
            <w:pPr>
              <w:spacing w:after="0"/>
              <w:rPr>
                <w:sz w:val="17"/>
                <w:szCs w:val="17"/>
                <w:color w:val="auto"/>
              </w:rPr>
            </w:pPr>
          </w:p>
        </w:tc>
        <w:tc>
          <w:tcPr>
            <w:tcW w:w="6800" w:type="dxa"/>
            <w:vAlign w:val="bottom"/>
          </w:tcPr>
          <w:p>
            <w:pPr>
              <w:ind w:left="2200"/>
              <w:spacing w:after="0" w:line="138" w:lineRule="exact"/>
              <w:rPr>
                <w:sz w:val="20"/>
                <w:szCs w:val="20"/>
                <w:color w:val="auto"/>
              </w:rPr>
            </w:pPr>
            <w:r>
              <w:rPr>
                <w:rFonts w:ascii="Times New Roman" w:cs="Times New Roman" w:eastAsia="Times New Roman" w:hAnsi="Times New Roman"/>
                <w:sz w:val="12"/>
                <w:szCs w:val="12"/>
                <w:color w:val="auto"/>
              </w:rPr>
              <w:t>by the International Accounting Standards Board   </w:t>
            </w:r>
            <w:r>
              <w:rPr>
                <w:rFonts w:ascii="MS PGothic" w:cs="MS PGothic" w:eastAsia="MS PGothic" w:hAnsi="MS PGothic"/>
                <w:sz w:val="12"/>
                <w:szCs w:val="12"/>
                <w:color w:val="auto"/>
              </w:rPr>
              <w:t>☐</w:t>
            </w: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If “Other” has been checked in response to the previous question, indicate by check mark which financial statement item the registrant has elected to follow.</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180"/>
              <w:spacing w:after="0" w:line="138" w:lineRule="exact"/>
              <w:rPr>
                <w:sz w:val="20"/>
                <w:szCs w:val="20"/>
                <w:color w:val="auto"/>
              </w:rPr>
            </w:pPr>
            <w:r>
              <w:rPr>
                <w:rFonts w:ascii="Times New Roman" w:cs="Times New Roman" w:eastAsia="Times New Roman" w:hAnsi="Times New Roman"/>
                <w:sz w:val="12"/>
                <w:szCs w:val="12"/>
                <w:color w:val="auto"/>
              </w:rPr>
              <w:t xml:space="preserve">Item 17 </w:t>
            </w:r>
            <w:r>
              <w:rPr>
                <w:rFonts w:ascii="MS PGothic" w:cs="MS PGothic" w:eastAsia="MS PGothic" w:hAnsi="MS PGothic"/>
                <w:sz w:val="12"/>
                <w:szCs w:val="12"/>
                <w:color w:val="auto"/>
              </w:rPr>
              <w:t>☐</w:t>
            </w:r>
          </w:p>
        </w:tc>
        <w:tc>
          <w:tcPr>
            <w:tcW w:w="5660" w:type="dxa"/>
            <w:vAlign w:val="bottom"/>
            <w:gridSpan w:val="3"/>
          </w:tcPr>
          <w:p>
            <w:pPr>
              <w:jc w:val="right"/>
              <w:ind w:right="5040"/>
              <w:spacing w:after="0" w:line="138" w:lineRule="exact"/>
              <w:rPr>
                <w:sz w:val="20"/>
                <w:szCs w:val="20"/>
                <w:color w:val="auto"/>
              </w:rPr>
            </w:pPr>
            <w:r>
              <w:rPr>
                <w:rFonts w:ascii="Times New Roman" w:cs="Times New Roman" w:eastAsia="Times New Roman" w:hAnsi="Times New Roman"/>
                <w:sz w:val="12"/>
                <w:szCs w:val="12"/>
                <w:color w:val="auto"/>
              </w:rPr>
              <w:t xml:space="preserve">Item 18 </w:t>
            </w:r>
            <w:r>
              <w:rPr>
                <w:rFonts w:ascii="MS PGothic" w:cs="MS PGothic" w:eastAsia="MS PGothic" w:hAnsi="MS PGothic"/>
                <w:sz w:val="12"/>
                <w:szCs w:val="12"/>
                <w:color w:val="auto"/>
              </w:rPr>
              <w:t>☐</w:t>
            </w:r>
          </w:p>
        </w:tc>
      </w:tr>
      <w:tr>
        <w:trPr>
          <w:trHeight w:val="234"/>
        </w:trPr>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20" w:type="dxa"/>
            <w:vAlign w:val="bottom"/>
            <w:gridSpan w:val="19"/>
          </w:tcPr>
          <w:p>
            <w:pPr>
              <w:jc w:val="center"/>
              <w:ind w:right="2300"/>
              <w:spacing w:after="0"/>
              <w:rPr>
                <w:sz w:val="20"/>
                <w:szCs w:val="20"/>
                <w:color w:val="auto"/>
              </w:rPr>
            </w:pPr>
            <w:r>
              <w:rPr>
                <w:rFonts w:ascii="Times New Roman" w:cs="Times New Roman" w:eastAsia="Times New Roman" w:hAnsi="Times New Roman"/>
                <w:sz w:val="12"/>
                <w:szCs w:val="12"/>
                <w:color w:val="auto"/>
              </w:rPr>
              <w:t>If this is an annual report, indicate by check mark whether the registrant is a shell company (as defined in Rule 12b-2 of the Exchange</w:t>
            </w:r>
          </w:p>
        </w:tc>
      </w:tr>
      <w:tr>
        <w:trPr>
          <w:trHeight w:val="201"/>
        </w:trPr>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Act).   Yes</w:t>
            </w:r>
          </w:p>
        </w:tc>
        <w:tc>
          <w:tcPr>
            <w:tcW w:w="5660" w:type="dxa"/>
            <w:vAlign w:val="bottom"/>
            <w:gridSpan w:val="3"/>
          </w:tcPr>
          <w:p>
            <w:pPr>
              <w:jc w:val="right"/>
              <w:ind w:right="5040"/>
              <w:spacing w:after="0" w:line="138" w:lineRule="exact"/>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tc>
      </w:tr>
      <w:tr>
        <w:trPr>
          <w:trHeight w:val="130"/>
        </w:trPr>
        <w:tc>
          <w:tcPr>
            <w:tcW w:w="3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5080" w:type="dxa"/>
            <w:vAlign w:val="bottom"/>
            <w:tcBorders>
              <w:bottom w:val="single" w:sz="8" w:color="auto"/>
            </w:tcBorders>
            <w:gridSpan w:val="2"/>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486"/>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40" w:type="dxa"/>
            <w:vAlign w:val="bottom"/>
            <w:gridSpan w:val="4"/>
          </w:tcPr>
          <w:p>
            <w:pPr>
              <w:jc w:val="center"/>
              <w:ind w:right="48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r>
      <w:tr>
        <w:trPr>
          <w:trHeight w:val="288"/>
        </w:trPr>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0" w:type="dxa"/>
            <w:vAlign w:val="bottom"/>
            <w:gridSpan w:val="7"/>
          </w:tcPr>
          <w:p>
            <w:pPr>
              <w:jc w:val="center"/>
              <w:ind w:right="4120"/>
              <w:spacing w:after="0"/>
              <w:rPr>
                <w:sz w:val="20"/>
                <w:szCs w:val="20"/>
                <w:color w:val="auto"/>
              </w:rPr>
            </w:pPr>
            <w:r>
              <w:rPr>
                <w:rFonts w:ascii="Times New Roman" w:cs="Times New Roman" w:eastAsia="Times New Roman" w:hAnsi="Times New Roman"/>
                <w:sz w:val="12"/>
                <w:szCs w:val="12"/>
                <w:b w:val="1"/>
                <w:bCs w:val="1"/>
                <w:color w:val="auto"/>
                <w:w w:val="99"/>
              </w:rPr>
              <w:t>INDEX TO ANNUAL REPORT ON FORM 20-F</w:t>
            </w:r>
          </w:p>
        </w:tc>
      </w:tr>
      <w:tr>
        <w:trPr>
          <w:trHeight w:val="261"/>
        </w:trPr>
        <w:tc>
          <w:tcPr>
            <w:tcW w:w="1120" w:type="dxa"/>
            <w:vAlign w:val="bottom"/>
            <w:gridSpan w:val="7"/>
          </w:tcPr>
          <w:p>
            <w:pPr>
              <w:spacing w:after="0"/>
              <w:rPr>
                <w:sz w:val="20"/>
                <w:szCs w:val="20"/>
                <w:color w:val="auto"/>
              </w:rPr>
            </w:pPr>
            <w:r>
              <w:rPr>
                <w:rFonts w:ascii="Times New Roman" w:cs="Times New Roman" w:eastAsia="Times New Roman" w:hAnsi="Times New Roman"/>
                <w:sz w:val="12"/>
                <w:szCs w:val="12"/>
                <w:b w:val="1"/>
                <w:bCs w:val="1"/>
                <w:color w:val="0000EE"/>
              </w:rPr>
              <w:t>PART I</w:t>
            </w:r>
          </w:p>
        </w:tc>
        <w:tc>
          <w:tcPr>
            <w:tcW w:w="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420" w:type="dxa"/>
            <w:vAlign w:val="bottom"/>
            <w:gridSpan w:val="2"/>
          </w:tcPr>
          <w:p>
            <w:pPr>
              <w:jc w:val="center"/>
              <w:ind w:left="4260"/>
              <w:spacing w:after="0"/>
              <w:rPr>
                <w:sz w:val="20"/>
                <w:szCs w:val="20"/>
                <w:color w:val="auto"/>
              </w:rPr>
            </w:pPr>
            <w:r>
              <w:rPr>
                <w:rFonts w:ascii="Times New Roman" w:cs="Times New Roman" w:eastAsia="Times New Roman" w:hAnsi="Times New Roman"/>
                <w:sz w:val="12"/>
                <w:szCs w:val="12"/>
                <w:u w:val="single" w:color="auto"/>
                <w:color w:val="0000EE"/>
                <w:w w:val="99"/>
              </w:rPr>
              <w:t>1</w:t>
            </w:r>
          </w:p>
        </w:tc>
        <w:tc>
          <w:tcPr>
            <w:tcW w:w="1240" w:type="dxa"/>
            <w:vAlign w:val="bottom"/>
          </w:tcPr>
          <w:p>
            <w:pPr>
              <w:spacing w:after="0"/>
              <w:rPr>
                <w:sz w:val="22"/>
                <w:szCs w:val="22"/>
                <w:color w:val="auto"/>
              </w:rPr>
            </w:pPr>
          </w:p>
        </w:tc>
      </w:tr>
      <w:tr>
        <w:trPr>
          <w:trHeight w:val="133"/>
        </w:trPr>
        <w:tc>
          <w:tcPr>
            <w:tcW w:w="340" w:type="dxa"/>
            <w:vAlign w:val="bottom"/>
            <w:tcBorders>
              <w:top w:val="single" w:sz="8" w:color="0000EE"/>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1.</w:t>
            </w:r>
          </w:p>
        </w:tc>
        <w:tc>
          <w:tcPr>
            <w:tcW w:w="40" w:type="dxa"/>
            <w:vAlign w:val="bottom"/>
            <w:tcBorders>
              <w:top w:val="single" w:sz="8" w:color="0000EE"/>
            </w:tcBorders>
          </w:tcPr>
          <w:p>
            <w:pPr>
              <w:spacing w:after="0"/>
              <w:rPr>
                <w:sz w:val="11"/>
                <w:szCs w:val="11"/>
                <w:color w:val="auto"/>
              </w:rPr>
            </w:pPr>
          </w:p>
        </w:tc>
        <w:tc>
          <w:tcPr>
            <w:tcW w:w="740" w:type="dxa"/>
            <w:vAlign w:val="bottom"/>
            <w:gridSpan w:val="5"/>
          </w:tcPr>
          <w:p>
            <w:pPr>
              <w:spacing w:after="0"/>
              <w:rPr>
                <w:sz w:val="11"/>
                <w:szCs w:val="11"/>
                <w:color w:val="auto"/>
              </w:rPr>
            </w:pPr>
          </w:p>
        </w:tc>
        <w:tc>
          <w:tcPr>
            <w:tcW w:w="2680" w:type="dxa"/>
            <w:vAlign w:val="bottom"/>
            <w:tcBorders>
              <w:bottom w:val="single" w:sz="8" w:color="0000EE"/>
            </w:tcBorders>
            <w:gridSpan w:val="20"/>
          </w:tcPr>
          <w:p>
            <w:pPr>
              <w:spacing w:after="0" w:line="133" w:lineRule="exact"/>
              <w:rPr>
                <w:sz w:val="20"/>
                <w:szCs w:val="20"/>
                <w:color w:val="auto"/>
              </w:rPr>
            </w:pPr>
            <w:r>
              <w:rPr>
                <w:rFonts w:ascii="Times New Roman" w:cs="Times New Roman" w:eastAsia="Times New Roman" w:hAnsi="Times New Roman"/>
                <w:sz w:val="12"/>
                <w:szCs w:val="12"/>
                <w:color w:val="0000EE"/>
                <w:w w:val="99"/>
              </w:rPr>
              <w:t>Identity of Directors, Senior Management and Advisers</w:t>
            </w:r>
          </w:p>
        </w:tc>
        <w:tc>
          <w:tcPr>
            <w:tcW w:w="1840" w:type="dxa"/>
            <w:vAlign w:val="bottom"/>
            <w:gridSpan w:val="6"/>
          </w:tcPr>
          <w:p>
            <w:pPr>
              <w:spacing w:after="0"/>
              <w:rPr>
                <w:sz w:val="11"/>
                <w:szCs w:val="11"/>
                <w:color w:val="auto"/>
              </w:rPr>
            </w:pPr>
          </w:p>
        </w:tc>
        <w:tc>
          <w:tcPr>
            <w:tcW w:w="4420" w:type="dxa"/>
            <w:vAlign w:val="bottom"/>
            <w:gridSpan w:val="2"/>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124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2.</w:t>
            </w:r>
          </w:p>
        </w:tc>
        <w:tc>
          <w:tcPr>
            <w:tcW w:w="780" w:type="dxa"/>
            <w:vAlign w:val="bottom"/>
            <w:gridSpan w:val="6"/>
          </w:tcPr>
          <w:p>
            <w:pPr>
              <w:spacing w:after="0"/>
              <w:rPr>
                <w:sz w:val="11"/>
                <w:szCs w:val="11"/>
                <w:color w:val="auto"/>
              </w:rPr>
            </w:pPr>
          </w:p>
        </w:tc>
        <w:tc>
          <w:tcPr>
            <w:tcW w:w="1940" w:type="dxa"/>
            <w:vAlign w:val="bottom"/>
            <w:tcBorders>
              <w:bottom w:val="single" w:sz="8" w:color="0000EE"/>
            </w:tcBorders>
            <w:gridSpan w:val="14"/>
          </w:tcPr>
          <w:p>
            <w:pPr>
              <w:spacing w:after="0" w:line="133" w:lineRule="exact"/>
              <w:rPr>
                <w:sz w:val="20"/>
                <w:szCs w:val="20"/>
                <w:color w:val="auto"/>
              </w:rPr>
            </w:pPr>
            <w:r>
              <w:rPr>
                <w:rFonts w:ascii="Times New Roman" w:cs="Times New Roman" w:eastAsia="Times New Roman" w:hAnsi="Times New Roman"/>
                <w:sz w:val="12"/>
                <w:szCs w:val="12"/>
                <w:color w:val="0000EE"/>
                <w:w w:val="99"/>
              </w:rPr>
              <w:t>Offer Statistics and Expected Timetable</w:t>
            </w:r>
          </w:p>
        </w:tc>
        <w:tc>
          <w:tcPr>
            <w:tcW w:w="2580" w:type="dxa"/>
            <w:vAlign w:val="bottom"/>
            <w:gridSpan w:val="12"/>
          </w:tcPr>
          <w:p>
            <w:pPr>
              <w:spacing w:after="0"/>
              <w:rPr>
                <w:sz w:val="11"/>
                <w:szCs w:val="11"/>
                <w:color w:val="auto"/>
              </w:rPr>
            </w:pPr>
          </w:p>
        </w:tc>
        <w:tc>
          <w:tcPr>
            <w:tcW w:w="4420" w:type="dxa"/>
            <w:vAlign w:val="bottom"/>
            <w:gridSpan w:val="2"/>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124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3.</w:t>
            </w:r>
          </w:p>
        </w:tc>
        <w:tc>
          <w:tcPr>
            <w:tcW w:w="780" w:type="dxa"/>
            <w:vAlign w:val="bottom"/>
            <w:gridSpan w:val="6"/>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Key Information</w:t>
            </w:r>
          </w:p>
        </w:tc>
        <w:tc>
          <w:tcPr>
            <w:tcW w:w="4420" w:type="dxa"/>
            <w:vAlign w:val="bottom"/>
            <w:gridSpan w:val="2"/>
          </w:tcPr>
          <w:p>
            <w:pPr>
              <w:jc w:val="center"/>
              <w:ind w:left="4260"/>
              <w:spacing w:after="0" w:line="133" w:lineRule="exact"/>
              <w:rPr>
                <w:sz w:val="20"/>
                <w:szCs w:val="20"/>
                <w:color w:val="auto"/>
              </w:rPr>
            </w:pPr>
            <w:r>
              <w:rPr>
                <w:rFonts w:ascii="Times New Roman" w:cs="Times New Roman" w:eastAsia="Times New Roman" w:hAnsi="Times New Roman"/>
                <w:sz w:val="12"/>
                <w:szCs w:val="12"/>
                <w:u w:val="single" w:color="auto"/>
                <w:color w:val="0000EE"/>
                <w:w w:val="99"/>
              </w:rPr>
              <w:t>1</w:t>
            </w:r>
          </w:p>
        </w:tc>
        <w:tc>
          <w:tcPr>
            <w:tcW w:w="1240" w:type="dxa"/>
            <w:vAlign w:val="bottom"/>
          </w:tcPr>
          <w:p>
            <w:pPr>
              <w:spacing w:after="0"/>
              <w:rPr>
                <w:sz w:val="11"/>
                <w:szCs w:val="1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4.</w:t>
            </w:r>
          </w:p>
        </w:tc>
        <w:tc>
          <w:tcPr>
            <w:tcW w:w="780" w:type="dxa"/>
            <w:vAlign w:val="bottom"/>
            <w:gridSpan w:val="6"/>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Information on the Company</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29</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1120" w:type="dxa"/>
            <w:vAlign w:val="bottom"/>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Item 4A.</w:t>
            </w: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Unresolved Staff Comments</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48</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5.</w:t>
            </w:r>
          </w:p>
        </w:tc>
        <w:tc>
          <w:tcPr>
            <w:tcW w:w="60" w:type="dxa"/>
            <w:vAlign w:val="bottom"/>
            <w:gridSpan w:val="2"/>
          </w:tcPr>
          <w:p>
            <w:pPr>
              <w:spacing w:after="0"/>
              <w:rPr>
                <w:sz w:val="11"/>
                <w:szCs w:val="11"/>
                <w:color w:val="auto"/>
              </w:rPr>
            </w:pPr>
          </w:p>
        </w:tc>
        <w:tc>
          <w:tcPr>
            <w:tcW w:w="720" w:type="dxa"/>
            <w:vAlign w:val="bottom"/>
            <w:gridSpan w:val="4"/>
          </w:tcPr>
          <w:p>
            <w:pPr>
              <w:spacing w:after="0"/>
              <w:rPr>
                <w:sz w:val="11"/>
                <w:szCs w:val="11"/>
                <w:color w:val="auto"/>
              </w:rPr>
            </w:pPr>
          </w:p>
        </w:tc>
        <w:tc>
          <w:tcPr>
            <w:tcW w:w="2260" w:type="dxa"/>
            <w:vAlign w:val="bottom"/>
            <w:tcBorders>
              <w:bottom w:val="single" w:sz="8" w:color="0000EE"/>
            </w:tcBorders>
            <w:gridSpan w:val="16"/>
          </w:tcPr>
          <w:p>
            <w:pPr>
              <w:spacing w:after="0" w:line="133" w:lineRule="exact"/>
              <w:rPr>
                <w:sz w:val="20"/>
                <w:szCs w:val="20"/>
                <w:color w:val="auto"/>
              </w:rPr>
            </w:pPr>
            <w:r>
              <w:rPr>
                <w:rFonts w:ascii="Times New Roman" w:cs="Times New Roman" w:eastAsia="Times New Roman" w:hAnsi="Times New Roman"/>
                <w:sz w:val="12"/>
                <w:szCs w:val="12"/>
                <w:color w:val="0000EE"/>
                <w:w w:val="99"/>
              </w:rPr>
              <w:t>Operating and Financial Review and Prospects</w:t>
            </w:r>
          </w:p>
        </w:tc>
        <w:tc>
          <w:tcPr>
            <w:tcW w:w="2260" w:type="dxa"/>
            <w:vAlign w:val="bottom"/>
            <w:gridSpan w:val="10"/>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48</w:t>
            </w:r>
          </w:p>
        </w:tc>
        <w:tc>
          <w:tcPr>
            <w:tcW w:w="1240" w:type="dxa"/>
            <w:vAlign w:val="bottom"/>
          </w:tcPr>
          <w:p>
            <w:pPr>
              <w:spacing w:after="0"/>
              <w:rPr>
                <w:sz w:val="11"/>
                <w:szCs w:val="11"/>
                <w:color w:val="auto"/>
              </w:rPr>
            </w:pPr>
          </w:p>
        </w:tc>
      </w:tr>
      <w:tr>
        <w:trPr>
          <w:trHeight w:val="133"/>
        </w:trPr>
        <w:tc>
          <w:tcPr>
            <w:tcW w:w="3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0000EE"/>
                <w:w w:val="93"/>
              </w:rPr>
              <w:t>Item 6.</w:t>
            </w:r>
          </w:p>
        </w:tc>
        <w:tc>
          <w:tcPr>
            <w:tcW w:w="780" w:type="dxa"/>
            <w:vAlign w:val="bottom"/>
            <w:gridSpan w:val="6"/>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Directors, Senior Management and Employees</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66</w:t>
            </w:r>
          </w:p>
        </w:tc>
      </w:tr>
      <w:tr>
        <w:trPr>
          <w:trHeight w:val="20"/>
        </w:trPr>
        <w:tc>
          <w:tcPr>
            <w:tcW w:w="340" w:type="dxa"/>
            <w:vAlign w:val="bottom"/>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7.</w:t>
            </w:r>
          </w:p>
        </w:tc>
        <w:tc>
          <w:tcPr>
            <w:tcW w:w="780" w:type="dxa"/>
            <w:vAlign w:val="bottom"/>
            <w:gridSpan w:val="6"/>
          </w:tcPr>
          <w:p>
            <w:pPr>
              <w:spacing w:after="0"/>
              <w:rPr>
                <w:sz w:val="11"/>
                <w:szCs w:val="11"/>
                <w:color w:val="auto"/>
              </w:rPr>
            </w:pPr>
          </w:p>
        </w:tc>
        <w:tc>
          <w:tcPr>
            <w:tcW w:w="2480" w:type="dxa"/>
            <w:vAlign w:val="bottom"/>
            <w:tcBorders>
              <w:bottom w:val="single" w:sz="8" w:color="0000EE"/>
            </w:tcBorders>
            <w:gridSpan w:val="18"/>
          </w:tcPr>
          <w:p>
            <w:pPr>
              <w:spacing w:after="0" w:line="133" w:lineRule="exact"/>
              <w:rPr>
                <w:sz w:val="20"/>
                <w:szCs w:val="20"/>
                <w:color w:val="auto"/>
              </w:rPr>
            </w:pPr>
            <w:r>
              <w:rPr>
                <w:rFonts w:ascii="Times New Roman" w:cs="Times New Roman" w:eastAsia="Times New Roman" w:hAnsi="Times New Roman"/>
                <w:sz w:val="12"/>
                <w:szCs w:val="12"/>
                <w:color w:val="0000EE"/>
                <w:w w:val="99"/>
              </w:rPr>
              <w:t>Major Shareholders and Related Party Transactions</w:t>
            </w:r>
          </w:p>
        </w:tc>
        <w:tc>
          <w:tcPr>
            <w:tcW w:w="2040" w:type="dxa"/>
            <w:vAlign w:val="bottom"/>
            <w:gridSpan w:val="8"/>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72</w:t>
            </w:r>
          </w:p>
        </w:tc>
        <w:tc>
          <w:tcPr>
            <w:tcW w:w="124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8.</w:t>
            </w:r>
          </w:p>
        </w:tc>
        <w:tc>
          <w:tcPr>
            <w:tcW w:w="780" w:type="dxa"/>
            <w:vAlign w:val="bottom"/>
            <w:gridSpan w:val="6"/>
          </w:tcPr>
          <w:p>
            <w:pPr>
              <w:spacing w:after="0"/>
              <w:rPr>
                <w:sz w:val="11"/>
                <w:szCs w:val="11"/>
                <w:color w:val="auto"/>
              </w:rPr>
            </w:pPr>
          </w:p>
        </w:tc>
        <w:tc>
          <w:tcPr>
            <w:tcW w:w="1080" w:type="dxa"/>
            <w:vAlign w:val="bottom"/>
            <w:tcBorders>
              <w:bottom w:val="single" w:sz="8" w:color="0000EE"/>
            </w:tcBorders>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Financial Information</w:t>
            </w:r>
          </w:p>
        </w:tc>
        <w:tc>
          <w:tcPr>
            <w:tcW w:w="3440" w:type="dxa"/>
            <w:vAlign w:val="bottom"/>
            <w:gridSpan w:val="19"/>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77</w:t>
            </w:r>
          </w:p>
        </w:tc>
        <w:tc>
          <w:tcPr>
            <w:tcW w:w="1240" w:type="dxa"/>
            <w:vAlign w:val="bottom"/>
          </w:tcPr>
          <w:p>
            <w:pPr>
              <w:spacing w:after="0"/>
              <w:rPr>
                <w:sz w:val="11"/>
                <w:szCs w:val="11"/>
                <w:color w:val="auto"/>
              </w:rPr>
            </w:pPr>
          </w:p>
        </w:tc>
      </w:tr>
      <w:tr>
        <w:trPr>
          <w:trHeight w:val="133"/>
        </w:trPr>
        <w:tc>
          <w:tcPr>
            <w:tcW w:w="340" w:type="dxa"/>
            <w:vAlign w:val="bottom"/>
            <w:tcBorders>
              <w:bottom w:val="single" w:sz="8" w:color="0000EE"/>
            </w:tcBorders>
          </w:tcPr>
          <w:p>
            <w:pPr>
              <w:spacing w:after="0" w:line="133" w:lineRule="exact"/>
              <w:rPr>
                <w:sz w:val="20"/>
                <w:szCs w:val="20"/>
                <w:color w:val="auto"/>
              </w:rPr>
            </w:pPr>
            <w:r>
              <w:rPr>
                <w:rFonts w:ascii="Times New Roman" w:cs="Times New Roman" w:eastAsia="Times New Roman" w:hAnsi="Times New Roman"/>
                <w:sz w:val="12"/>
                <w:szCs w:val="12"/>
                <w:color w:val="0000EE"/>
                <w:w w:val="93"/>
              </w:rPr>
              <w:t>Item 9.</w:t>
            </w:r>
          </w:p>
        </w:tc>
        <w:tc>
          <w:tcPr>
            <w:tcW w:w="780" w:type="dxa"/>
            <w:vAlign w:val="bottom"/>
            <w:gridSpan w:val="6"/>
          </w:tcPr>
          <w:p>
            <w:pPr>
              <w:spacing w:after="0"/>
              <w:rPr>
                <w:sz w:val="11"/>
                <w:szCs w:val="11"/>
                <w:color w:val="auto"/>
              </w:rPr>
            </w:pPr>
          </w:p>
        </w:tc>
        <w:tc>
          <w:tcPr>
            <w:tcW w:w="106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9"/>
              </w:rPr>
              <w:t>The Offer and Listing</w:t>
            </w:r>
          </w:p>
        </w:tc>
        <w:tc>
          <w:tcPr>
            <w:tcW w:w="3460" w:type="dxa"/>
            <w:vAlign w:val="bottom"/>
            <w:gridSpan w:val="20"/>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78</w:t>
            </w:r>
          </w:p>
        </w:tc>
        <w:tc>
          <w:tcPr>
            <w:tcW w:w="124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10.</w:t>
            </w:r>
          </w:p>
        </w:tc>
        <w:tc>
          <w:tcPr>
            <w:tcW w:w="720" w:type="dxa"/>
            <w:vAlign w:val="bottom"/>
            <w:gridSpan w:val="4"/>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Additional Information</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78</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11.</w:t>
            </w:r>
          </w:p>
        </w:tc>
        <w:tc>
          <w:tcPr>
            <w:tcW w:w="720" w:type="dxa"/>
            <w:vAlign w:val="bottom"/>
            <w:gridSpan w:val="4"/>
          </w:tcPr>
          <w:p>
            <w:pPr>
              <w:spacing w:after="0"/>
              <w:rPr>
                <w:sz w:val="11"/>
                <w:szCs w:val="11"/>
                <w:color w:val="auto"/>
              </w:rPr>
            </w:pPr>
          </w:p>
        </w:tc>
        <w:tc>
          <w:tcPr>
            <w:tcW w:w="2920" w:type="dxa"/>
            <w:vAlign w:val="bottom"/>
            <w:tcBorders>
              <w:bottom w:val="single" w:sz="8" w:color="0000EE"/>
            </w:tcBorders>
            <w:gridSpan w:val="21"/>
          </w:tcPr>
          <w:p>
            <w:pPr>
              <w:spacing w:after="0" w:line="133" w:lineRule="exact"/>
              <w:rPr>
                <w:sz w:val="20"/>
                <w:szCs w:val="20"/>
                <w:color w:val="auto"/>
              </w:rPr>
            </w:pPr>
            <w:r>
              <w:rPr>
                <w:rFonts w:ascii="Times New Roman" w:cs="Times New Roman" w:eastAsia="Times New Roman" w:hAnsi="Times New Roman"/>
                <w:sz w:val="12"/>
                <w:szCs w:val="12"/>
                <w:color w:val="0000EE"/>
                <w:w w:val="99"/>
              </w:rPr>
              <w:t>Quantitative and Qualitative Disclosures About Market Risk</w:t>
            </w:r>
          </w:p>
        </w:tc>
        <w:tc>
          <w:tcPr>
            <w:tcW w:w="1600" w:type="dxa"/>
            <w:vAlign w:val="bottom"/>
            <w:gridSpan w:val="5"/>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86</w:t>
            </w:r>
          </w:p>
        </w:tc>
        <w:tc>
          <w:tcPr>
            <w:tcW w:w="1240" w:type="dxa"/>
            <w:vAlign w:val="bottom"/>
          </w:tcPr>
          <w:p>
            <w:pPr>
              <w:spacing w:after="0"/>
              <w:rPr>
                <w:sz w:val="11"/>
                <w:szCs w:val="1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12.</w:t>
            </w:r>
          </w:p>
        </w:tc>
        <w:tc>
          <w:tcPr>
            <w:tcW w:w="720" w:type="dxa"/>
            <w:vAlign w:val="bottom"/>
            <w:gridSpan w:val="4"/>
          </w:tcPr>
          <w:p>
            <w:pPr>
              <w:spacing w:after="0"/>
              <w:rPr>
                <w:sz w:val="11"/>
                <w:szCs w:val="11"/>
                <w:color w:val="auto"/>
              </w:rPr>
            </w:pPr>
          </w:p>
        </w:tc>
        <w:tc>
          <w:tcPr>
            <w:tcW w:w="2600" w:type="dxa"/>
            <w:vAlign w:val="bottom"/>
            <w:tcBorders>
              <w:bottom w:val="single" w:sz="8" w:color="0000EE"/>
            </w:tcBorders>
            <w:gridSpan w:val="19"/>
          </w:tcPr>
          <w:p>
            <w:pPr>
              <w:spacing w:after="0" w:line="133" w:lineRule="exact"/>
              <w:rPr>
                <w:sz w:val="20"/>
                <w:szCs w:val="20"/>
                <w:color w:val="auto"/>
              </w:rPr>
            </w:pPr>
            <w:r>
              <w:rPr>
                <w:rFonts w:ascii="Times New Roman" w:cs="Times New Roman" w:eastAsia="Times New Roman" w:hAnsi="Times New Roman"/>
                <w:sz w:val="12"/>
                <w:szCs w:val="12"/>
                <w:color w:val="0000EE"/>
                <w:w w:val="99"/>
              </w:rPr>
              <w:t>Description of Securities Other than Equity Securities</w:t>
            </w:r>
          </w:p>
        </w:tc>
        <w:tc>
          <w:tcPr>
            <w:tcW w:w="1920" w:type="dxa"/>
            <w:vAlign w:val="bottom"/>
            <w:gridSpan w:val="7"/>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86</w:t>
            </w:r>
          </w:p>
        </w:tc>
        <w:tc>
          <w:tcPr>
            <w:tcW w:w="1240" w:type="dxa"/>
            <w:vAlign w:val="bottom"/>
          </w:tcPr>
          <w:p>
            <w:pPr>
              <w:spacing w:after="0"/>
              <w:rPr>
                <w:sz w:val="11"/>
                <w:szCs w:val="11"/>
                <w:color w:val="auto"/>
              </w:rPr>
            </w:pPr>
          </w:p>
        </w:tc>
      </w:tr>
      <w:tr>
        <w:trPr>
          <w:trHeight w:val="133"/>
        </w:trPr>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2"/>
                <w:szCs w:val="12"/>
                <w:b w:val="1"/>
                <w:bCs w:val="1"/>
                <w:color w:val="0000EE"/>
                <w:w w:val="88"/>
              </w:rPr>
              <w:t>PART II</w:t>
            </w:r>
          </w:p>
        </w:tc>
        <w:tc>
          <w:tcPr>
            <w:tcW w:w="680" w:type="dxa"/>
            <w:vAlign w:val="bottom"/>
            <w:gridSpan w:val="3"/>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87</w:t>
            </w:r>
          </w:p>
        </w:tc>
        <w:tc>
          <w:tcPr>
            <w:tcW w:w="1240" w:type="dxa"/>
            <w:vAlign w:val="bottom"/>
          </w:tcPr>
          <w:p>
            <w:pPr>
              <w:spacing w:after="0"/>
              <w:rPr>
                <w:sz w:val="11"/>
                <w:szCs w:val="11"/>
                <w:color w:val="auto"/>
              </w:rPr>
            </w:pPr>
          </w:p>
        </w:tc>
      </w:tr>
      <w:tr>
        <w:trPr>
          <w:trHeight w:val="133"/>
        </w:trPr>
        <w:tc>
          <w:tcPr>
            <w:tcW w:w="400" w:type="dxa"/>
            <w:vAlign w:val="bottom"/>
            <w:tcBorders>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13.</w:t>
            </w:r>
          </w:p>
        </w:tc>
        <w:tc>
          <w:tcPr>
            <w:tcW w:w="720" w:type="dxa"/>
            <w:vAlign w:val="bottom"/>
            <w:gridSpan w:val="4"/>
          </w:tcPr>
          <w:p>
            <w:pPr>
              <w:spacing w:after="0"/>
              <w:rPr>
                <w:sz w:val="11"/>
                <w:szCs w:val="11"/>
                <w:color w:val="auto"/>
              </w:rPr>
            </w:pPr>
          </w:p>
        </w:tc>
        <w:tc>
          <w:tcPr>
            <w:tcW w:w="2400" w:type="dxa"/>
            <w:vAlign w:val="bottom"/>
            <w:tcBorders>
              <w:bottom w:val="single" w:sz="8" w:color="0000EE"/>
            </w:tcBorders>
            <w:gridSpan w:val="17"/>
          </w:tcPr>
          <w:p>
            <w:pPr>
              <w:spacing w:after="0" w:line="133" w:lineRule="exact"/>
              <w:rPr>
                <w:sz w:val="20"/>
                <w:szCs w:val="20"/>
                <w:color w:val="auto"/>
              </w:rPr>
            </w:pPr>
            <w:r>
              <w:rPr>
                <w:rFonts w:ascii="Times New Roman" w:cs="Times New Roman" w:eastAsia="Times New Roman" w:hAnsi="Times New Roman"/>
                <w:sz w:val="12"/>
                <w:szCs w:val="12"/>
                <w:color w:val="0000EE"/>
                <w:w w:val="99"/>
              </w:rPr>
              <w:t>Defaults, Dividend Arrearages and Delinquencies</w:t>
            </w:r>
          </w:p>
        </w:tc>
        <w:tc>
          <w:tcPr>
            <w:tcW w:w="2120" w:type="dxa"/>
            <w:vAlign w:val="bottom"/>
            <w:gridSpan w:val="9"/>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87</w:t>
            </w:r>
          </w:p>
        </w:tc>
        <w:tc>
          <w:tcPr>
            <w:tcW w:w="124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14.</w:t>
            </w:r>
          </w:p>
        </w:tc>
        <w:tc>
          <w:tcPr>
            <w:tcW w:w="720" w:type="dxa"/>
            <w:vAlign w:val="bottom"/>
            <w:gridSpan w:val="4"/>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Material Modifications to the Rights of Security Holders and Use of Proceeds</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87</w:t>
            </w:r>
          </w:p>
        </w:tc>
      </w:tr>
      <w:tr>
        <w:trPr>
          <w:trHeight w:val="133"/>
        </w:trPr>
        <w:tc>
          <w:tcPr>
            <w:tcW w:w="400" w:type="dxa"/>
            <w:vAlign w:val="bottom"/>
            <w:tcBorders>
              <w:top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15.</w:t>
            </w:r>
          </w:p>
        </w:tc>
        <w:tc>
          <w:tcPr>
            <w:tcW w:w="720" w:type="dxa"/>
            <w:vAlign w:val="bottom"/>
            <w:gridSpan w:val="4"/>
          </w:tcPr>
          <w:p>
            <w:pPr>
              <w:spacing w:after="0"/>
              <w:rPr>
                <w:sz w:val="11"/>
                <w:szCs w:val="11"/>
                <w:color w:val="auto"/>
              </w:rPr>
            </w:pPr>
          </w:p>
        </w:tc>
        <w:tc>
          <w:tcPr>
            <w:tcW w:w="3740" w:type="dxa"/>
            <w:vAlign w:val="bottom"/>
            <w:tcBorders>
              <w:top w:val="single" w:sz="8" w:color="0000EE"/>
            </w:tcBorders>
            <w:gridSpan w:val="25"/>
          </w:tcPr>
          <w:p>
            <w:pPr>
              <w:spacing w:after="0" w:line="133" w:lineRule="exact"/>
              <w:rPr>
                <w:sz w:val="20"/>
                <w:szCs w:val="20"/>
                <w:color w:val="auto"/>
              </w:rPr>
            </w:pPr>
            <w:r>
              <w:rPr>
                <w:rFonts w:ascii="Times New Roman" w:cs="Times New Roman" w:eastAsia="Times New Roman" w:hAnsi="Times New Roman"/>
                <w:sz w:val="12"/>
                <w:szCs w:val="12"/>
                <w:color w:val="0000EE"/>
              </w:rPr>
              <w:t>Controls and Procedures</w:t>
            </w:r>
          </w:p>
        </w:tc>
        <w:tc>
          <w:tcPr>
            <w:tcW w:w="7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top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87</w:t>
            </w:r>
          </w:p>
        </w:tc>
        <w:tc>
          <w:tcPr>
            <w:tcW w:w="1240" w:type="dxa"/>
            <w:vAlign w:val="bottom"/>
          </w:tcPr>
          <w:p>
            <w:pPr>
              <w:spacing w:after="0"/>
              <w:rPr>
                <w:sz w:val="11"/>
                <w:szCs w:val="1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500" w:type="dxa"/>
            <w:vAlign w:val="bottom"/>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16A.</w:t>
            </w:r>
          </w:p>
        </w:tc>
        <w:tc>
          <w:tcPr>
            <w:tcW w:w="620" w:type="dxa"/>
            <w:vAlign w:val="bottom"/>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Audit Committee Financial Expert</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88</w:t>
            </w:r>
          </w:p>
        </w:tc>
      </w:tr>
      <w:tr>
        <w:trPr>
          <w:trHeight w:val="133"/>
        </w:trPr>
        <w:tc>
          <w:tcPr>
            <w:tcW w:w="480" w:type="dxa"/>
            <w:vAlign w:val="bottom"/>
            <w:tcBorders>
              <w:top w:val="single" w:sz="8" w:color="0000EE"/>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5"/>
              </w:rPr>
              <w:t>Item 16B.</w:t>
            </w:r>
          </w:p>
        </w:tc>
        <w:tc>
          <w:tcPr>
            <w:tcW w:w="20" w:type="dxa"/>
            <w:vAlign w:val="bottom"/>
            <w:tcBorders>
              <w:top w:val="single" w:sz="8" w:color="0000EE"/>
            </w:tcBorders>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Borders>
              <w:top w:val="single" w:sz="8" w:color="0000EE"/>
              <w:bottom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98"/>
              </w:rPr>
              <w:t>Code of Ethics</w:t>
            </w:r>
          </w:p>
        </w:tc>
        <w:tc>
          <w:tcPr>
            <w:tcW w:w="940" w:type="dxa"/>
            <w:vAlign w:val="bottom"/>
            <w:tcBorders>
              <w:top w:val="single" w:sz="8" w:color="0000EE"/>
            </w:tcBorders>
            <w:gridSpan w:val="9"/>
          </w:tcPr>
          <w:p>
            <w:pPr>
              <w:spacing w:after="0"/>
              <w:rPr>
                <w:sz w:val="11"/>
                <w:szCs w:val="11"/>
                <w:color w:val="auto"/>
              </w:rPr>
            </w:pPr>
          </w:p>
        </w:tc>
        <w:tc>
          <w:tcPr>
            <w:tcW w:w="2860" w:type="dxa"/>
            <w:vAlign w:val="bottom"/>
            <w:gridSpan w:val="14"/>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top w:val="single" w:sz="8" w:color="0000EE"/>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88</w:t>
            </w:r>
          </w:p>
        </w:tc>
        <w:tc>
          <w:tcPr>
            <w:tcW w:w="124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5"/>
              </w:rPr>
              <w:t>Item 16C.</w:t>
            </w:r>
          </w:p>
        </w:tc>
        <w:tc>
          <w:tcPr>
            <w:tcW w:w="640" w:type="dxa"/>
            <w:vAlign w:val="bottom"/>
            <w:gridSpan w:val="2"/>
          </w:tcPr>
          <w:p>
            <w:pPr>
              <w:spacing w:after="0"/>
              <w:rPr>
                <w:sz w:val="11"/>
                <w:szCs w:val="11"/>
                <w:color w:val="auto"/>
              </w:rPr>
            </w:pPr>
          </w:p>
        </w:tc>
        <w:tc>
          <w:tcPr>
            <w:tcW w:w="1920" w:type="dxa"/>
            <w:vAlign w:val="bottom"/>
            <w:tcBorders>
              <w:bottom w:val="single" w:sz="8" w:color="0000EE"/>
            </w:tcBorders>
            <w:gridSpan w:val="13"/>
          </w:tcPr>
          <w:p>
            <w:pPr>
              <w:spacing w:after="0" w:line="133" w:lineRule="exact"/>
              <w:rPr>
                <w:sz w:val="20"/>
                <w:szCs w:val="20"/>
                <w:color w:val="auto"/>
              </w:rPr>
            </w:pPr>
            <w:r>
              <w:rPr>
                <w:rFonts w:ascii="Times New Roman" w:cs="Times New Roman" w:eastAsia="Times New Roman" w:hAnsi="Times New Roman"/>
                <w:sz w:val="12"/>
                <w:szCs w:val="12"/>
                <w:color w:val="0000EE"/>
                <w:w w:val="99"/>
              </w:rPr>
              <w:t>Principal Accountant Fees and Services</w:t>
            </w:r>
          </w:p>
        </w:tc>
        <w:tc>
          <w:tcPr>
            <w:tcW w:w="2600" w:type="dxa"/>
            <w:vAlign w:val="bottom"/>
            <w:gridSpan w:val="13"/>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88</w:t>
            </w:r>
          </w:p>
        </w:tc>
        <w:tc>
          <w:tcPr>
            <w:tcW w:w="1240" w:type="dxa"/>
            <w:vAlign w:val="bottom"/>
          </w:tcPr>
          <w:p>
            <w:pPr>
              <w:spacing w:after="0"/>
              <w:rPr>
                <w:sz w:val="11"/>
                <w:szCs w:val="1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16D.</w:t>
            </w:r>
          </w:p>
        </w:tc>
        <w:tc>
          <w:tcPr>
            <w:tcW w:w="620" w:type="dxa"/>
            <w:vAlign w:val="bottom"/>
          </w:tcPr>
          <w:p>
            <w:pPr>
              <w:spacing w:after="0"/>
              <w:rPr>
                <w:sz w:val="11"/>
                <w:szCs w:val="11"/>
                <w:color w:val="auto"/>
              </w:rPr>
            </w:pPr>
          </w:p>
        </w:tc>
        <w:tc>
          <w:tcPr>
            <w:tcW w:w="2980" w:type="dxa"/>
            <w:vAlign w:val="bottom"/>
            <w:tcBorders>
              <w:bottom w:val="single" w:sz="8" w:color="0000EE"/>
            </w:tcBorders>
            <w:gridSpan w:val="22"/>
          </w:tcPr>
          <w:p>
            <w:pPr>
              <w:spacing w:after="0" w:line="133" w:lineRule="exact"/>
              <w:rPr>
                <w:sz w:val="20"/>
                <w:szCs w:val="20"/>
                <w:color w:val="auto"/>
              </w:rPr>
            </w:pPr>
            <w:r>
              <w:rPr>
                <w:rFonts w:ascii="Times New Roman" w:cs="Times New Roman" w:eastAsia="Times New Roman" w:hAnsi="Times New Roman"/>
                <w:sz w:val="12"/>
                <w:szCs w:val="12"/>
                <w:color w:val="0000EE"/>
                <w:w w:val="99"/>
              </w:rPr>
              <w:t>Exemptions from the Listing Standards for Audit Committees</w:t>
            </w:r>
          </w:p>
        </w:tc>
        <w:tc>
          <w:tcPr>
            <w:tcW w:w="1540" w:type="dxa"/>
            <w:vAlign w:val="bottom"/>
            <w:gridSpan w:val="4"/>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89</w:t>
            </w:r>
          </w:p>
        </w:tc>
        <w:tc>
          <w:tcPr>
            <w:tcW w:w="124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w w:val="97"/>
              </w:rPr>
              <w:t>Item 16E.</w:t>
            </w:r>
          </w:p>
        </w:tc>
        <w:tc>
          <w:tcPr>
            <w:tcW w:w="640" w:type="dxa"/>
            <w:vAlign w:val="bottom"/>
            <w:gridSpan w:val="2"/>
          </w:tcPr>
          <w:p>
            <w:pPr>
              <w:spacing w:after="0"/>
              <w:rPr>
                <w:sz w:val="11"/>
                <w:szCs w:val="11"/>
                <w:color w:val="auto"/>
              </w:rPr>
            </w:pPr>
          </w:p>
        </w:tc>
        <w:tc>
          <w:tcPr>
            <w:tcW w:w="3360" w:type="dxa"/>
            <w:vAlign w:val="bottom"/>
            <w:tcBorders>
              <w:bottom w:val="single" w:sz="8" w:color="0000EE"/>
            </w:tcBorders>
            <w:gridSpan w:val="24"/>
          </w:tcPr>
          <w:p>
            <w:pPr>
              <w:spacing w:after="0" w:line="133" w:lineRule="exact"/>
              <w:rPr>
                <w:sz w:val="20"/>
                <w:szCs w:val="20"/>
                <w:color w:val="auto"/>
              </w:rPr>
            </w:pPr>
            <w:r>
              <w:rPr>
                <w:rFonts w:ascii="Times New Roman" w:cs="Times New Roman" w:eastAsia="Times New Roman" w:hAnsi="Times New Roman"/>
                <w:sz w:val="12"/>
                <w:szCs w:val="12"/>
                <w:color w:val="0000EE"/>
                <w:w w:val="99"/>
              </w:rPr>
              <w:t>Purchases of Equity Securities by the Issuer and Affiliated Purchasers</w:t>
            </w:r>
          </w:p>
        </w:tc>
        <w:tc>
          <w:tcPr>
            <w:tcW w:w="1160" w:type="dxa"/>
            <w:vAlign w:val="bottom"/>
            <w:gridSpan w:val="2"/>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89</w:t>
            </w:r>
          </w:p>
        </w:tc>
        <w:tc>
          <w:tcPr>
            <w:tcW w:w="1240" w:type="dxa"/>
            <w:vAlign w:val="bottom"/>
          </w:tcPr>
          <w:p>
            <w:pPr>
              <w:spacing w:after="0"/>
              <w:rPr>
                <w:sz w:val="11"/>
                <w:szCs w:val="11"/>
                <w:color w:val="auto"/>
              </w:rPr>
            </w:pPr>
          </w:p>
        </w:tc>
      </w:tr>
      <w:tr>
        <w:trPr>
          <w:trHeight w:val="133"/>
        </w:trPr>
        <w:tc>
          <w:tcPr>
            <w:tcW w:w="4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EE"/>
                <w:w w:val="85"/>
              </w:rPr>
              <w:t>Item 16F.</w:t>
            </w:r>
          </w:p>
        </w:tc>
        <w:tc>
          <w:tcPr>
            <w:tcW w:w="680" w:type="dxa"/>
            <w:vAlign w:val="bottom"/>
            <w:gridSpan w:val="3"/>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Change in Registrant’s Certifying Accountant</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89</w:t>
            </w:r>
          </w:p>
        </w:tc>
      </w:tr>
      <w:tr>
        <w:trPr>
          <w:trHeight w:val="20"/>
        </w:trPr>
        <w:tc>
          <w:tcPr>
            <w:tcW w:w="440" w:type="dxa"/>
            <w:vAlign w:val="bottom"/>
            <w:gridSpan w:val="4"/>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20" w:type="dxa"/>
            <w:vAlign w:val="bottom"/>
            <w:tcBorders>
              <w:righ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gridSpan w:val="5"/>
            <w:shd w:val="clear" w:color="auto" w:fill="0000EE"/>
          </w:tcPr>
          <w:p>
            <w:pPr>
              <w:spacing w:after="0" w:line="20" w:lineRule="exact"/>
              <w:rPr>
                <w:sz w:val="1"/>
                <w:szCs w:val="1"/>
                <w:color w:val="auto"/>
              </w:rPr>
            </w:pPr>
          </w:p>
        </w:tc>
        <w:tc>
          <w:tcPr>
            <w:tcW w:w="1080" w:type="dxa"/>
            <w:vAlign w:val="bottom"/>
            <w:gridSpan w:val="8"/>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16G.</w:t>
            </w:r>
          </w:p>
        </w:tc>
        <w:tc>
          <w:tcPr>
            <w:tcW w:w="620" w:type="dxa"/>
            <w:vAlign w:val="bottom"/>
          </w:tcPr>
          <w:p>
            <w:pPr>
              <w:spacing w:after="0"/>
              <w:rPr>
                <w:sz w:val="11"/>
                <w:szCs w:val="11"/>
                <w:color w:val="auto"/>
              </w:rPr>
            </w:pPr>
          </w:p>
        </w:tc>
        <w:tc>
          <w:tcPr>
            <w:tcW w:w="1120" w:type="dxa"/>
            <w:vAlign w:val="bottom"/>
            <w:tcBorders>
              <w:bottom w:val="single" w:sz="8" w:color="0000EE"/>
            </w:tcBorders>
            <w:gridSpan w:val="8"/>
          </w:tcPr>
          <w:p>
            <w:pPr>
              <w:spacing w:after="0" w:line="133" w:lineRule="exact"/>
              <w:rPr>
                <w:sz w:val="20"/>
                <w:szCs w:val="20"/>
                <w:color w:val="auto"/>
              </w:rPr>
            </w:pPr>
            <w:r>
              <w:rPr>
                <w:rFonts w:ascii="Times New Roman" w:cs="Times New Roman" w:eastAsia="Times New Roman" w:hAnsi="Times New Roman"/>
                <w:sz w:val="12"/>
                <w:szCs w:val="12"/>
                <w:color w:val="0000EE"/>
                <w:w w:val="99"/>
              </w:rPr>
              <w:t>Corporate Governance</w:t>
            </w:r>
          </w:p>
        </w:tc>
        <w:tc>
          <w:tcPr>
            <w:tcW w:w="3400" w:type="dxa"/>
            <w:vAlign w:val="bottom"/>
            <w:gridSpan w:val="18"/>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90</w:t>
            </w:r>
          </w:p>
        </w:tc>
        <w:tc>
          <w:tcPr>
            <w:tcW w:w="1240" w:type="dxa"/>
            <w:vAlign w:val="bottom"/>
          </w:tcPr>
          <w:p>
            <w:pPr>
              <w:spacing w:after="0"/>
              <w:rPr>
                <w:sz w:val="11"/>
                <w:szCs w:val="1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16H.</w:t>
            </w:r>
          </w:p>
        </w:tc>
        <w:tc>
          <w:tcPr>
            <w:tcW w:w="620" w:type="dxa"/>
            <w:vAlign w:val="bottom"/>
          </w:tcPr>
          <w:p>
            <w:pPr>
              <w:spacing w:after="0"/>
              <w:rPr>
                <w:sz w:val="11"/>
                <w:szCs w:val="11"/>
                <w:color w:val="auto"/>
              </w:rPr>
            </w:pPr>
          </w:p>
        </w:tc>
        <w:tc>
          <w:tcPr>
            <w:tcW w:w="1140" w:type="dxa"/>
            <w:vAlign w:val="bottom"/>
            <w:tcBorders>
              <w:bottom w:val="single" w:sz="8" w:color="0000EE"/>
            </w:tcBorders>
            <w:gridSpan w:val="9"/>
          </w:tcPr>
          <w:p>
            <w:pPr>
              <w:spacing w:after="0" w:line="133" w:lineRule="exact"/>
              <w:rPr>
                <w:sz w:val="20"/>
                <w:szCs w:val="20"/>
                <w:color w:val="auto"/>
              </w:rPr>
            </w:pPr>
            <w:r>
              <w:rPr>
                <w:rFonts w:ascii="Times New Roman" w:cs="Times New Roman" w:eastAsia="Times New Roman" w:hAnsi="Times New Roman"/>
                <w:sz w:val="12"/>
                <w:szCs w:val="12"/>
                <w:color w:val="0000EE"/>
                <w:w w:val="98"/>
              </w:rPr>
              <w:t>Mine Safety Disclosure</w:t>
            </w:r>
          </w:p>
        </w:tc>
        <w:tc>
          <w:tcPr>
            <w:tcW w:w="3380" w:type="dxa"/>
            <w:vAlign w:val="bottom"/>
            <w:gridSpan w:val="17"/>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90</w:t>
            </w:r>
          </w:p>
        </w:tc>
        <w:tc>
          <w:tcPr>
            <w:tcW w:w="1240" w:type="dxa"/>
            <w:vAlign w:val="bottom"/>
          </w:tcPr>
          <w:p>
            <w:pPr>
              <w:spacing w:after="0"/>
              <w:rPr>
                <w:sz w:val="11"/>
                <w:szCs w:val="11"/>
                <w:color w:val="auto"/>
              </w:rPr>
            </w:pPr>
          </w:p>
        </w:tc>
      </w:tr>
      <w:tr>
        <w:trPr>
          <w:trHeight w:val="133"/>
        </w:trPr>
        <w:tc>
          <w:tcPr>
            <w:tcW w:w="440" w:type="dxa"/>
            <w:vAlign w:val="bottom"/>
            <w:tcBorders>
              <w:bottom w:val="single" w:sz="8" w:color="0000EE"/>
            </w:tcBorders>
            <w:gridSpan w:val="4"/>
          </w:tcPr>
          <w:p>
            <w:pPr>
              <w:spacing w:after="0" w:line="133" w:lineRule="exact"/>
              <w:rPr>
                <w:sz w:val="20"/>
                <w:szCs w:val="20"/>
                <w:color w:val="auto"/>
              </w:rPr>
            </w:pPr>
            <w:r>
              <w:rPr>
                <w:rFonts w:ascii="Times New Roman" w:cs="Times New Roman" w:eastAsia="Times New Roman" w:hAnsi="Times New Roman"/>
                <w:sz w:val="12"/>
                <w:szCs w:val="12"/>
                <w:color w:val="0000EE"/>
                <w:w w:val="90"/>
              </w:rPr>
              <w:t>Item 16I.</w:t>
            </w:r>
          </w:p>
        </w:tc>
        <w:tc>
          <w:tcPr>
            <w:tcW w:w="680" w:type="dxa"/>
            <w:vAlign w:val="bottom"/>
            <w:gridSpan w:val="3"/>
          </w:tcPr>
          <w:p>
            <w:pPr>
              <w:spacing w:after="0"/>
              <w:rPr>
                <w:sz w:val="11"/>
                <w:szCs w:val="11"/>
                <w:color w:val="auto"/>
              </w:rPr>
            </w:pPr>
          </w:p>
        </w:tc>
        <w:tc>
          <w:tcPr>
            <w:tcW w:w="3280" w:type="dxa"/>
            <w:vAlign w:val="bottom"/>
            <w:tcBorders>
              <w:bottom w:val="single" w:sz="8" w:color="0000EE"/>
            </w:tcBorders>
            <w:gridSpan w:val="23"/>
          </w:tcPr>
          <w:p>
            <w:pPr>
              <w:spacing w:after="0" w:line="133" w:lineRule="exact"/>
              <w:rPr>
                <w:sz w:val="20"/>
                <w:szCs w:val="20"/>
                <w:color w:val="auto"/>
              </w:rPr>
            </w:pPr>
            <w:r>
              <w:rPr>
                <w:rFonts w:ascii="Times New Roman" w:cs="Times New Roman" w:eastAsia="Times New Roman" w:hAnsi="Times New Roman"/>
                <w:sz w:val="12"/>
                <w:szCs w:val="12"/>
                <w:color w:val="0000EE"/>
                <w:w w:val="99"/>
              </w:rPr>
              <w:t>Disclosure Regarding Foreign Jurisdictions that Prevent Inspections</w:t>
            </w:r>
          </w:p>
        </w:tc>
        <w:tc>
          <w:tcPr>
            <w:tcW w:w="1240" w:type="dxa"/>
            <w:vAlign w:val="bottom"/>
            <w:gridSpan w:val="3"/>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90</w:t>
            </w:r>
          </w:p>
        </w:tc>
        <w:tc>
          <w:tcPr>
            <w:tcW w:w="1240" w:type="dxa"/>
            <w:vAlign w:val="bottom"/>
          </w:tcPr>
          <w:p>
            <w:pPr>
              <w:spacing w:after="0"/>
              <w:rPr>
                <w:sz w:val="11"/>
                <w:szCs w:val="11"/>
                <w:color w:val="auto"/>
              </w:rPr>
            </w:pPr>
          </w:p>
        </w:tc>
      </w:tr>
      <w:tr>
        <w:trPr>
          <w:trHeight w:val="133"/>
        </w:trPr>
        <w:tc>
          <w:tcPr>
            <w:tcW w:w="1120" w:type="dxa"/>
            <w:vAlign w:val="bottom"/>
            <w:gridSpan w:val="7"/>
          </w:tcPr>
          <w:p>
            <w:pPr>
              <w:spacing w:after="0" w:line="133" w:lineRule="exact"/>
              <w:rPr>
                <w:sz w:val="20"/>
                <w:szCs w:val="20"/>
                <w:color w:val="auto"/>
              </w:rPr>
            </w:pPr>
            <w:r>
              <w:rPr>
                <w:rFonts w:ascii="Times New Roman" w:cs="Times New Roman" w:eastAsia="Times New Roman" w:hAnsi="Times New Roman"/>
                <w:sz w:val="12"/>
                <w:szCs w:val="12"/>
                <w:color w:val="0000EE"/>
              </w:rPr>
              <w:t>Item 16J.</w:t>
            </w: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Insider Trading Policies</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90</w:t>
            </w:r>
          </w:p>
        </w:tc>
      </w:tr>
      <w:tr>
        <w:trPr>
          <w:trHeight w:val="20"/>
        </w:trPr>
        <w:tc>
          <w:tcPr>
            <w:tcW w:w="44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gridSpan w:val="5"/>
            <w:shd w:val="clear" w:color="auto" w:fill="0000EE"/>
          </w:tcPr>
          <w:p>
            <w:pPr>
              <w:spacing w:after="0" w:line="20" w:lineRule="exact"/>
              <w:rPr>
                <w:sz w:val="1"/>
                <w:szCs w:val="1"/>
                <w:color w:val="auto"/>
              </w:rPr>
            </w:pPr>
          </w:p>
        </w:tc>
        <w:tc>
          <w:tcPr>
            <w:tcW w:w="3360" w:type="dxa"/>
            <w:vAlign w:val="bottom"/>
            <w:gridSpan w:val="16"/>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500" w:type="dxa"/>
            <w:vAlign w:val="bottom"/>
            <w:tcBorders>
              <w:bottom w:val="single" w:sz="8" w:color="0000EE"/>
            </w:tcBorders>
            <w:gridSpan w:val="6"/>
          </w:tcPr>
          <w:p>
            <w:pPr>
              <w:spacing w:after="0" w:line="133" w:lineRule="exact"/>
              <w:rPr>
                <w:sz w:val="20"/>
                <w:szCs w:val="20"/>
                <w:color w:val="auto"/>
              </w:rPr>
            </w:pPr>
            <w:r>
              <w:rPr>
                <w:rFonts w:ascii="Times New Roman" w:cs="Times New Roman" w:eastAsia="Times New Roman" w:hAnsi="Times New Roman"/>
                <w:sz w:val="12"/>
                <w:szCs w:val="12"/>
                <w:color w:val="0000EE"/>
                <w:w w:val="98"/>
              </w:rPr>
              <w:t>Item 16K.</w:t>
            </w:r>
          </w:p>
        </w:tc>
        <w:tc>
          <w:tcPr>
            <w:tcW w:w="620" w:type="dxa"/>
            <w:vAlign w:val="bottom"/>
          </w:tcPr>
          <w:p>
            <w:pPr>
              <w:spacing w:after="0"/>
              <w:rPr>
                <w:sz w:val="11"/>
                <w:szCs w:val="11"/>
                <w:color w:val="auto"/>
              </w:rPr>
            </w:pPr>
          </w:p>
        </w:tc>
        <w:tc>
          <w:tcPr>
            <w:tcW w:w="680" w:type="dxa"/>
            <w:vAlign w:val="bottom"/>
            <w:tcBorders>
              <w:bottom w:val="single" w:sz="8" w:color="0000EE"/>
            </w:tcBorders>
            <w:gridSpan w:val="2"/>
          </w:tcPr>
          <w:p>
            <w:pPr>
              <w:spacing w:after="0" w:line="133" w:lineRule="exact"/>
              <w:rPr>
                <w:sz w:val="20"/>
                <w:szCs w:val="20"/>
                <w:color w:val="auto"/>
              </w:rPr>
            </w:pPr>
            <w:r>
              <w:rPr>
                <w:rFonts w:ascii="Times New Roman" w:cs="Times New Roman" w:eastAsia="Times New Roman" w:hAnsi="Times New Roman"/>
                <w:sz w:val="12"/>
                <w:szCs w:val="12"/>
                <w:color w:val="0000EE"/>
                <w:w w:val="97"/>
              </w:rPr>
              <w:t>Cybersecurity</w:t>
            </w:r>
          </w:p>
        </w:tc>
        <w:tc>
          <w:tcPr>
            <w:tcW w:w="3840" w:type="dxa"/>
            <w:vAlign w:val="bottom"/>
            <w:gridSpan w:val="24"/>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91</w:t>
            </w:r>
          </w:p>
        </w:tc>
        <w:tc>
          <w:tcPr>
            <w:tcW w:w="1240" w:type="dxa"/>
            <w:vAlign w:val="bottom"/>
          </w:tcPr>
          <w:p>
            <w:pPr>
              <w:spacing w:after="0"/>
              <w:rPr>
                <w:sz w:val="11"/>
                <w:szCs w:val="11"/>
                <w:color w:val="auto"/>
              </w:rPr>
            </w:pPr>
          </w:p>
        </w:tc>
      </w:tr>
      <w:tr>
        <w:trPr>
          <w:trHeight w:val="133"/>
        </w:trPr>
        <w:tc>
          <w:tcPr>
            <w:tcW w:w="480" w:type="dxa"/>
            <w:vAlign w:val="bottom"/>
            <w:tcBorders>
              <w:bottom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b w:val="1"/>
                <w:bCs w:val="1"/>
                <w:color w:val="0000EE"/>
                <w:w w:val="92"/>
              </w:rPr>
              <w:t>PART III</w:t>
            </w:r>
          </w:p>
        </w:tc>
        <w:tc>
          <w:tcPr>
            <w:tcW w:w="640" w:type="dxa"/>
            <w:vAlign w:val="bottom"/>
            <w:gridSpan w:val="2"/>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bottom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92</w:t>
            </w:r>
          </w:p>
        </w:tc>
        <w:tc>
          <w:tcPr>
            <w:tcW w:w="1240" w:type="dxa"/>
            <w:vAlign w:val="bottom"/>
          </w:tcPr>
          <w:p>
            <w:pPr>
              <w:spacing w:after="0"/>
              <w:rPr>
                <w:sz w:val="11"/>
                <w:szCs w:val="1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17.</w:t>
            </w:r>
          </w:p>
        </w:tc>
        <w:tc>
          <w:tcPr>
            <w:tcW w:w="720" w:type="dxa"/>
            <w:vAlign w:val="bottom"/>
            <w:gridSpan w:val="4"/>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Financial Statements</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92</w:t>
            </w: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33"/>
        </w:trPr>
        <w:tc>
          <w:tcPr>
            <w:tcW w:w="400" w:type="dxa"/>
            <w:vAlign w:val="bottom"/>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18.</w:t>
            </w:r>
          </w:p>
        </w:tc>
        <w:tc>
          <w:tcPr>
            <w:tcW w:w="720" w:type="dxa"/>
            <w:vAlign w:val="bottom"/>
            <w:gridSpan w:val="4"/>
          </w:tcPr>
          <w:p>
            <w:pPr>
              <w:spacing w:after="0"/>
              <w:rPr>
                <w:sz w:val="11"/>
                <w:szCs w:val="11"/>
                <w:color w:val="auto"/>
              </w:rPr>
            </w:pPr>
          </w:p>
        </w:tc>
        <w:tc>
          <w:tcPr>
            <w:tcW w:w="4520" w:type="dxa"/>
            <w:vAlign w:val="bottom"/>
            <w:gridSpan w:val="26"/>
          </w:tcPr>
          <w:p>
            <w:pPr>
              <w:spacing w:after="0" w:line="133" w:lineRule="exact"/>
              <w:rPr>
                <w:sz w:val="20"/>
                <w:szCs w:val="20"/>
                <w:color w:val="auto"/>
              </w:rPr>
            </w:pPr>
            <w:r>
              <w:rPr>
                <w:rFonts w:ascii="Times New Roman" w:cs="Times New Roman" w:eastAsia="Times New Roman" w:hAnsi="Times New Roman"/>
                <w:sz w:val="12"/>
                <w:szCs w:val="12"/>
                <w:color w:val="0000EE"/>
              </w:rPr>
              <w:t>Financial Statements</w:t>
            </w:r>
          </w:p>
        </w:tc>
        <w:tc>
          <w:tcPr>
            <w:tcW w:w="5660" w:type="dxa"/>
            <w:vAlign w:val="bottom"/>
            <w:gridSpan w:val="3"/>
          </w:tcPr>
          <w:p>
            <w:pPr>
              <w:jc w:val="center"/>
              <w:ind w:left="3000"/>
              <w:spacing w:after="0" w:line="133" w:lineRule="exact"/>
              <w:rPr>
                <w:sz w:val="20"/>
                <w:szCs w:val="20"/>
                <w:color w:val="auto"/>
              </w:rPr>
            </w:pPr>
            <w:r>
              <w:rPr>
                <w:rFonts w:ascii="Times New Roman" w:cs="Times New Roman" w:eastAsia="Times New Roman" w:hAnsi="Times New Roman"/>
                <w:sz w:val="12"/>
                <w:szCs w:val="12"/>
                <w:color w:val="0000EE"/>
                <w:w w:val="99"/>
              </w:rPr>
              <w:t>92</w:t>
            </w:r>
          </w:p>
        </w:tc>
      </w:tr>
      <w:tr>
        <w:trPr>
          <w:trHeight w:val="133"/>
        </w:trPr>
        <w:tc>
          <w:tcPr>
            <w:tcW w:w="400" w:type="dxa"/>
            <w:vAlign w:val="bottom"/>
            <w:tcBorders>
              <w:top w:val="single" w:sz="8" w:color="0000EE"/>
            </w:tcBorders>
            <w:gridSpan w:val="3"/>
          </w:tcPr>
          <w:p>
            <w:pPr>
              <w:spacing w:after="0" w:line="133" w:lineRule="exact"/>
              <w:rPr>
                <w:sz w:val="20"/>
                <w:szCs w:val="20"/>
                <w:color w:val="auto"/>
              </w:rPr>
            </w:pPr>
            <w:r>
              <w:rPr>
                <w:rFonts w:ascii="Times New Roman" w:cs="Times New Roman" w:eastAsia="Times New Roman" w:hAnsi="Times New Roman"/>
                <w:sz w:val="12"/>
                <w:szCs w:val="12"/>
                <w:color w:val="0000EE"/>
                <w:w w:val="89"/>
              </w:rPr>
              <w:t>Item 19.</w:t>
            </w:r>
          </w:p>
        </w:tc>
        <w:tc>
          <w:tcPr>
            <w:tcW w:w="720" w:type="dxa"/>
            <w:vAlign w:val="bottom"/>
            <w:gridSpan w:val="4"/>
          </w:tcPr>
          <w:p>
            <w:pPr>
              <w:spacing w:after="0"/>
              <w:rPr>
                <w:sz w:val="11"/>
                <w:szCs w:val="11"/>
                <w:color w:val="auto"/>
              </w:rPr>
            </w:pPr>
          </w:p>
        </w:tc>
        <w:tc>
          <w:tcPr>
            <w:tcW w:w="1000" w:type="dxa"/>
            <w:vAlign w:val="bottom"/>
            <w:tcBorders>
              <w:top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rPr>
              <w:t>Exhibits</w:t>
            </w:r>
          </w:p>
        </w:tc>
        <w:tc>
          <w:tcPr>
            <w:tcW w:w="3520" w:type="dxa"/>
            <w:vAlign w:val="bottom"/>
            <w:gridSpan w:val="21"/>
          </w:tcPr>
          <w:p>
            <w:pPr>
              <w:spacing w:after="0"/>
              <w:rPr>
                <w:sz w:val="11"/>
                <w:szCs w:val="11"/>
                <w:color w:val="auto"/>
              </w:rPr>
            </w:pPr>
          </w:p>
        </w:tc>
        <w:tc>
          <w:tcPr>
            <w:tcW w:w="4300" w:type="dxa"/>
            <w:vAlign w:val="bottom"/>
          </w:tcPr>
          <w:p>
            <w:pPr>
              <w:spacing w:after="0"/>
              <w:rPr>
                <w:sz w:val="11"/>
                <w:szCs w:val="11"/>
                <w:color w:val="auto"/>
              </w:rPr>
            </w:pPr>
          </w:p>
        </w:tc>
        <w:tc>
          <w:tcPr>
            <w:tcW w:w="120" w:type="dxa"/>
            <w:vAlign w:val="bottom"/>
            <w:tcBorders>
              <w:top w:val="single" w:sz="8" w:color="0000EE"/>
            </w:tcBorders>
          </w:tcPr>
          <w:p>
            <w:pPr>
              <w:jc w:val="center"/>
              <w:spacing w:after="0" w:line="133" w:lineRule="exact"/>
              <w:rPr>
                <w:sz w:val="20"/>
                <w:szCs w:val="20"/>
                <w:color w:val="auto"/>
              </w:rPr>
            </w:pPr>
            <w:r>
              <w:rPr>
                <w:rFonts w:ascii="Times New Roman" w:cs="Times New Roman" w:eastAsia="Times New Roman" w:hAnsi="Times New Roman"/>
                <w:sz w:val="12"/>
                <w:szCs w:val="12"/>
                <w:color w:val="0000EE"/>
                <w:w w:val="99"/>
              </w:rPr>
              <w:t>92</w:t>
            </w:r>
          </w:p>
        </w:tc>
        <w:tc>
          <w:tcPr>
            <w:tcW w:w="1240" w:type="dxa"/>
            <w:vAlign w:val="bottom"/>
          </w:tcPr>
          <w:p>
            <w:pPr>
              <w:spacing w:after="0"/>
              <w:rPr>
                <w:sz w:val="11"/>
                <w:szCs w:val="11"/>
                <w:color w:val="auto"/>
              </w:rPr>
            </w:pPr>
          </w:p>
        </w:tc>
      </w:tr>
      <w:tr>
        <w:trPr>
          <w:trHeight w:val="304"/>
        </w:trPr>
        <w:tc>
          <w:tcPr>
            <w:tcW w:w="3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9"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CAUTIONARY NOTE REGARDING FORWARD-LOOKING STATEMENTS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This annual report on Form 20-F, or this Annual Report,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Annual Report include, but are not limited to, statements regarding our disclosure concerning our operations, cash flows, financial position, dividend policy, the anticipated benefits of strategic acquisitions, and the likelihood of success in acquiring additional vessels to expand our business.</w:t>
      </w:r>
    </w:p>
    <w:p>
      <w:pPr>
        <w:spacing w:after="0" w:line="117"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Forward-looking statements appear in a number of places in this Annual Report including, without limitation, in the sections entitled “Business Overview,” “Management’s Discussion and Analysis of Financial Conditions and Operations,” and “Dividend Policy.”</w:t>
      </w:r>
    </w:p>
    <w:p>
      <w:pPr>
        <w:spacing w:after="0" w:line="120"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Forward-looking statements are subject to known and unknown risks and uncertainties and are based on potentially inaccurate assumptions that could cause actual results to differ materially from those expected or implied by the forward-looking statements. Our actual results could differ materially from those anticipated in forward-looking statements for many reasons, including the factors described in “Risk Factors” in this Annual Report. The risks described under “Risk Factors” are not exhaustive. Other sections of this Annual Report describe additional factors that could adversely affect our results of operations, financial condition, liquidity and the development of the industries in which we operate. New risks can emerge from time to time, and it is not possible for us to predict all such risks, nor can we assess the impact of all such risks on our business or the extent to which any risks, or combination of risks and other factors, may cause actual results to differ materially from those contained in any forward-looking statements. Accordingly, you should not unduly rely on these forward-looking statements, which speak only as of the date of this Annual Report. We undertake no obligation to publicly update or revise any forward-looking statement to reflect circumstances or events after the date of this Annual Report or to reflect the occurrence of unanticipated events. You should, however, review the factors and risks we describe in the reports we will file from time to time with the Securities and Exchange Commission, or “SEC,” after the date of this Annual Report.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Unless the context otherwise requires, references to the “Company,” “we,” “us,” “our,” or “Global Ship Lease” refer to Global Ship Lease, Inc., “Technomar” refers to Technomar Shipping Inc., our technical ship manager, “Conchart” refers to Conchart Commercial Inc., our commercial ship manager, and “Managers” refers to Technomar and Conchart, together. For the definition of certain terms used in this Annual Report, please see “Glossary of Shipping Terms” at the end of this Annual Report. Unless otherwise indicated, all references in this Annual Report to “$” and “dollars” are in U.S. dollars and all references to “€” and “EUR” are in Euro. We use the term “TEU,” meaning twenty-foot equivalent unit, the international standard measure of container size, in describing volumes in world container trade and other measures, including the capacity of our containerships, which we also refer to as vessels or ships. Unless otherwise indicated, we calculate the average age of our vessels on a weighted average basis, based on TEU capacity.</w:t>
      </w:r>
    </w:p>
    <w:p>
      <w:pPr>
        <w:spacing w:after="0" w:line="140" w:lineRule="exact"/>
        <w:rPr>
          <w:sz w:val="20"/>
          <w:szCs w:val="20"/>
          <w:color w:val="auto"/>
        </w:rPr>
      </w:pPr>
    </w:p>
    <w:p>
      <w:pPr>
        <w:ind w:left="120"/>
        <w:spacing w:after="0"/>
        <w:tabs>
          <w:tab w:leader="none" w:pos="700" w:val="left"/>
        </w:tabs>
        <w:rPr>
          <w:sz w:val="20"/>
          <w:szCs w:val="20"/>
          <w:color w:val="auto"/>
        </w:rPr>
      </w:pPr>
      <w:r>
        <w:rPr>
          <w:rFonts w:ascii="Times New Roman" w:cs="Times New Roman" w:eastAsia="Times New Roman" w:hAnsi="Times New Roman"/>
          <w:sz w:val="12"/>
          <w:szCs w:val="12"/>
          <w:b w:val="1"/>
          <w:bCs w:val="1"/>
          <w:color w:val="auto"/>
        </w:rPr>
        <w:t>Item 1.</w:t>
      </w:r>
      <w:r>
        <w:rPr>
          <w:sz w:val="20"/>
          <w:szCs w:val="20"/>
          <w:color w:val="auto"/>
        </w:rPr>
        <w:tab/>
      </w:r>
      <w:r>
        <w:rPr>
          <w:rFonts w:ascii="Times New Roman" w:cs="Times New Roman" w:eastAsia="Times New Roman" w:hAnsi="Times New Roman"/>
          <w:sz w:val="11"/>
          <w:szCs w:val="11"/>
          <w:b w:val="1"/>
          <w:bCs w:val="1"/>
          <w:color w:val="auto"/>
        </w:rPr>
        <w:t>Identity of Directors, Senior Management and Advisers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Not applicable.</w:t>
      </w:r>
    </w:p>
    <w:p>
      <w:pPr>
        <w:spacing w:after="0" w:line="182" w:lineRule="exact"/>
        <w:rPr>
          <w:sz w:val="20"/>
          <w:szCs w:val="20"/>
          <w:color w:val="auto"/>
        </w:rPr>
      </w:pPr>
    </w:p>
    <w:p>
      <w:pPr>
        <w:ind w:left="180"/>
        <w:spacing w:after="0"/>
        <w:tabs>
          <w:tab w:leader="none" w:pos="760" w:val="left"/>
        </w:tabs>
        <w:rPr>
          <w:sz w:val="20"/>
          <w:szCs w:val="20"/>
          <w:color w:val="auto"/>
        </w:rPr>
      </w:pPr>
      <w:r>
        <w:rPr>
          <w:rFonts w:ascii="Times New Roman" w:cs="Times New Roman" w:eastAsia="Times New Roman" w:hAnsi="Times New Roman"/>
          <w:sz w:val="12"/>
          <w:szCs w:val="12"/>
          <w:b w:val="1"/>
          <w:bCs w:val="1"/>
          <w:color w:val="auto"/>
        </w:rPr>
        <w:t>Item 2.</w:t>
      </w:r>
      <w:r>
        <w:rPr>
          <w:sz w:val="20"/>
          <w:szCs w:val="20"/>
          <w:color w:val="auto"/>
        </w:rPr>
        <w:tab/>
      </w:r>
      <w:r>
        <w:rPr>
          <w:rFonts w:ascii="Times New Roman" w:cs="Times New Roman" w:eastAsia="Times New Roman" w:hAnsi="Times New Roman"/>
          <w:sz w:val="11"/>
          <w:szCs w:val="11"/>
          <w:b w:val="1"/>
          <w:bCs w:val="1"/>
          <w:color w:val="auto"/>
        </w:rPr>
        <w:t>Offer Statistics and Expected Timetable</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420"/>
        <w:spacing w:after="0"/>
        <w:tabs>
          <w:tab w:leader="none" w:pos="1000" w:val="left"/>
        </w:tabs>
        <w:rPr>
          <w:sz w:val="20"/>
          <w:szCs w:val="20"/>
          <w:color w:val="auto"/>
        </w:rPr>
      </w:pPr>
      <w:r>
        <w:rPr>
          <w:rFonts w:ascii="Times New Roman" w:cs="Times New Roman" w:eastAsia="Times New Roman" w:hAnsi="Times New Roman"/>
          <w:sz w:val="12"/>
          <w:szCs w:val="12"/>
          <w:b w:val="1"/>
          <w:bCs w:val="1"/>
          <w:color w:val="auto"/>
        </w:rPr>
        <w:t>Item 3.</w:t>
      </w:r>
      <w:r>
        <w:rPr>
          <w:sz w:val="20"/>
          <w:szCs w:val="20"/>
          <w:color w:val="auto"/>
        </w:rPr>
        <w:tab/>
      </w:r>
      <w:r>
        <w:rPr>
          <w:rFonts w:ascii="Times New Roman" w:cs="Times New Roman" w:eastAsia="Times New Roman" w:hAnsi="Times New Roman"/>
          <w:sz w:val="11"/>
          <w:szCs w:val="11"/>
          <w:b w:val="1"/>
          <w:bCs w:val="1"/>
          <w:color w:val="auto"/>
        </w:rPr>
        <w:t>Key Information</w:t>
      </w:r>
    </w:p>
    <w:p>
      <w:pPr>
        <w:spacing w:after="0" w:line="195" w:lineRule="exact"/>
        <w:rPr>
          <w:sz w:val="20"/>
          <w:szCs w:val="20"/>
          <w:color w:val="auto"/>
        </w:rPr>
      </w:pPr>
    </w:p>
    <w:p>
      <w:pPr>
        <w:ind w:left="480" w:hanging="245"/>
        <w:spacing w:after="0"/>
        <w:tabs>
          <w:tab w:leader="none" w:pos="48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[Reserved]</w:t>
      </w:r>
    </w:p>
    <w:p>
      <w:pPr>
        <w:spacing w:after="0" w:line="150" w:lineRule="exact"/>
        <w:rPr>
          <w:rFonts w:ascii="Times New Roman" w:cs="Times New Roman" w:eastAsia="Times New Roman" w:hAnsi="Times New Roman"/>
          <w:sz w:val="12"/>
          <w:szCs w:val="12"/>
          <w:b w:val="1"/>
          <w:bCs w:val="1"/>
          <w:color w:val="auto"/>
        </w:rPr>
      </w:pPr>
    </w:p>
    <w:p>
      <w:pPr>
        <w:ind w:left="480" w:hanging="245"/>
        <w:spacing w:after="0"/>
        <w:tabs>
          <w:tab w:leader="none" w:pos="48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Capitalization and Indebtedness</w:t>
      </w:r>
    </w:p>
    <w:p>
      <w:pPr>
        <w:spacing w:after="0" w:line="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74" w:lineRule="exact"/>
        <w:rPr>
          <w:sz w:val="20"/>
          <w:szCs w:val="20"/>
          <w:color w:val="auto"/>
        </w:rPr>
      </w:pPr>
    </w:p>
    <w:p>
      <w:pPr>
        <w:ind w:left="480" w:hanging="245"/>
        <w:spacing w:after="0"/>
        <w:tabs>
          <w:tab w:leader="none" w:pos="480" w:val="left"/>
        </w:tabs>
        <w:numPr>
          <w:ilvl w:val="0"/>
          <w:numId w:val="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Reasons for the Offer and Use of Proceeds</w:t>
      </w:r>
    </w:p>
    <w:p>
      <w:pPr>
        <w:spacing w:after="0" w:line="9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 applicable.</w:t>
      </w:r>
    </w:p>
    <w:p>
      <w:pPr>
        <w:spacing w:after="0" w:line="20" w:lineRule="exact"/>
        <w:rPr>
          <w:sz w:val="20"/>
          <w:szCs w:val="20"/>
          <w:color w:val="auto"/>
        </w:rPr>
      </w:pPr>
    </w:p>
    <w:p>
      <w:pPr>
        <w:ind w:left="480" w:hanging="245"/>
        <w:spacing w:after="0"/>
        <w:tabs>
          <w:tab w:leader="none" w:pos="480" w:val="left"/>
        </w:tabs>
        <w:numPr>
          <w:ilvl w:val="0"/>
          <w:numId w:val="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Risk Factors</w:t>
      </w:r>
    </w:p>
    <w:p>
      <w:pPr>
        <w:spacing w:after="0" w:line="134" w:lineRule="exact"/>
        <w:rPr>
          <w:sz w:val="20"/>
          <w:szCs w:val="20"/>
          <w:color w:val="auto"/>
        </w:rPr>
      </w:pPr>
    </w:p>
    <w:p>
      <w:pPr>
        <w:jc w:val="both"/>
        <w:ind w:firstLine="240"/>
        <w:spacing w:after="0" w:line="243" w:lineRule="auto"/>
        <w:rPr>
          <w:sz w:val="20"/>
          <w:szCs w:val="20"/>
          <w:color w:val="auto"/>
        </w:rPr>
      </w:pPr>
      <w:r>
        <w:rPr>
          <w:rFonts w:ascii="Times New Roman" w:cs="Times New Roman" w:eastAsia="Times New Roman" w:hAnsi="Times New Roman"/>
          <w:sz w:val="12"/>
          <w:szCs w:val="12"/>
          <w:i w:val="1"/>
          <w:iCs w:val="1"/>
          <w:color w:val="auto"/>
        </w:rPr>
        <w:t>The risks and uncertainties discussed below relate principally to the industry in which we operate and our business in general, and others relate to the market and ownership of our securities. The occurrence of any of the events described in this section could materially and adversely affect our business, financial condition and results of operations, cash available for the payment of dividends, and the market price of our securities. Our business, financial condition and results of operations and the market price of our securities could also be materially adversely affected by other matters that are not known to us or that we currently do not consider to be material risks.</w:t>
      </w:r>
    </w:p>
    <w:p>
      <w:pPr>
        <w:spacing w:after="0" w:line="14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Risk Factor Summary</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Below is a summary of the principal risk factors that make an investment in our securities speculative or risky. This summary does not address all of the risks that we face. Additional discussion of the risks summarized in this risk factor summary, and other risks that we face, can be found below and should be carefully considered, together with other information in this Annual Report before making an investment decision regarding our common stock.</w:t>
      </w:r>
    </w:p>
    <w:p>
      <w:pPr>
        <w:spacing w:after="0" w:line="110" w:lineRule="exact"/>
        <w:rPr>
          <w:sz w:val="20"/>
          <w:szCs w:val="20"/>
          <w:color w:val="auto"/>
        </w:rPr>
      </w:pPr>
    </w:p>
    <w:p>
      <w:pPr>
        <w:ind w:left="320" w:hanging="175"/>
        <w:spacing w:after="0" w:line="264"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101" w:lineRule="exact"/>
        <w:rPr>
          <w:rFonts w:ascii="Times New Roman" w:cs="Times New Roman" w:eastAsia="Times New Roman" w:hAnsi="Times New Roman"/>
          <w:sz w:val="12"/>
          <w:szCs w:val="12"/>
          <w:color w:val="auto"/>
        </w:rPr>
      </w:pPr>
    </w:p>
    <w:p>
      <w:pPr>
        <w:jc w:val="both"/>
        <w:ind w:left="320" w:hanging="175"/>
        <w:spacing w:after="0" w:line="241"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demands may be placed on us as a result of possible future acquisitions of additional vessels. Our growth depends on continued growth in the demand for containerships, and our ability to purchase additional vessels and obtain new charters. We may require additional financing to be able to grow and will face substantial competition to purchase vessels. We may be unable to acquire or realize expected benefits from acquisitions of vessels or container shipping-related assets and implementing our growth strategy through acquisitions may harm our business, financial condition, and operating results.</w:t>
      </w:r>
    </w:p>
    <w:p>
      <w:pPr>
        <w:spacing w:after="0" w:line="124" w:lineRule="exact"/>
        <w:rPr>
          <w:rFonts w:ascii="Times New Roman" w:cs="Times New Roman" w:eastAsia="Times New Roman" w:hAnsi="Times New Roman"/>
          <w:sz w:val="12"/>
          <w:szCs w:val="12"/>
          <w:color w:val="auto"/>
        </w:rPr>
      </w:pPr>
    </w:p>
    <w:p>
      <w:pPr>
        <w:ind w:left="320" w:hanging="175"/>
        <w:spacing w:after="0" w:line="264"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we expand our business, provide additional services to third parties, or bring certain functions in-house, we may need to improve our operating and financial systems, expand our commercial and technical management staff, and recruit suitable employees and crew for our vessels.</w:t>
      </w:r>
    </w:p>
    <w:p>
      <w:pPr>
        <w:spacing w:after="0" w:line="101"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exposed to risks associated with the purchase and operation of secondhand vessels. We may not perform underwater inspections of vessels prior to purchase.</w:t>
      </w:r>
    </w:p>
    <w:p>
      <w:pPr>
        <w:spacing w:after="0" w:line="150" w:lineRule="exact"/>
        <w:rPr>
          <w:rFonts w:ascii="Times New Roman" w:cs="Times New Roman" w:eastAsia="Times New Roman" w:hAnsi="Times New Roman"/>
          <w:sz w:val="12"/>
          <w:szCs w:val="12"/>
          <w:color w:val="auto"/>
        </w:rPr>
      </w:pPr>
    </w:p>
    <w:p>
      <w:pPr>
        <w:jc w:val="both"/>
        <w:ind w:left="320" w:hanging="175"/>
        <w:spacing w:after="0" w:line="241" w:lineRule="auto"/>
        <w:tabs>
          <w:tab w:leader="none" w:pos="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dependent on third parties, some of which are related parties, to manage our vessels and substantial fees will be payable to our ship managers regardless of our profitability. Our third-party technical and commercial ship managers, Technomar and Conchart, are privately held companies and there is little or no publicly available information about them. Our financial reporting is partly dependent on accounting and financial information provided to us by Technomar with respect to our vessels.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1" w:lineRule="exact"/>
        <w:rPr>
          <w:sz w:val="20"/>
          <w:szCs w:val="20"/>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Executive Chairman and our Managers may have conflicts of interest with us which may make them favor their own interests to our detriment.</w:t>
      </w:r>
    </w:p>
    <w:p>
      <w:pPr>
        <w:spacing w:after="0" w:line="159"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Due to our lack of diversification, adverse developments in the containership transportation business could harm our business, results of operations, and financial condition. We may be unable to recharter our vessels at profitable rates, if at all, upon their time charter expiry.</w:t>
      </w:r>
    </w:p>
    <w:p>
      <w:pPr>
        <w:spacing w:after="0" w:line="12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Technological developments that impact global trade flows and supply chains may affect the demand for our vessels.</w:t>
      </w:r>
    </w:p>
    <w:p>
      <w:pPr>
        <w:spacing w:after="0" w:line="150" w:lineRule="exact"/>
        <w:rPr>
          <w:rFonts w:ascii="Times New Roman" w:cs="Times New Roman" w:eastAsia="Times New Roman" w:hAnsi="Times New Roman"/>
          <w:sz w:val="12"/>
          <w:szCs w:val="12"/>
          <w:color w:val="auto"/>
        </w:rPr>
      </w:pPr>
    </w:p>
    <w:p>
      <w:pPr>
        <w:jc w:val="both"/>
        <w:ind w:left="320" w:right="20" w:hanging="175"/>
        <w:spacing w:after="0" w:line="265"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substantial existing indebtedness and may incur more in the future. Our substantial indebtedness could adversely affect our ability to raise additional capital to fund our operations or pursue other business opportunities and may limit our ability to react to changes in the economy or our industry. Our debt agreements contain restrictions that limit our flexibility in operating our business. Volatility of the Secured Overnight Financing Rate (“SOFR”) could affect our profitability, earnings, and cash flows.</w:t>
      </w:r>
    </w:p>
    <w:p>
      <w:pPr>
        <w:spacing w:after="0" w:line="118"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Vessel values may fluctuate, which may adversely affect our financial condition, affect our ability to comply with certain financial covenants under our debt agreements, result in the incurrence of a loss upon disposal of a vessel, or increase the cost of acquiring additional vessels.</w:t>
      </w:r>
    </w:p>
    <w:p>
      <w:pPr>
        <w:spacing w:after="0" w:line="111" w:lineRule="exact"/>
        <w:rPr>
          <w:rFonts w:ascii="Times New Roman" w:cs="Times New Roman" w:eastAsia="Times New Roman" w:hAnsi="Times New Roman"/>
          <w:sz w:val="12"/>
          <w:szCs w:val="12"/>
          <w:color w:val="auto"/>
        </w:rPr>
      </w:pPr>
    </w:p>
    <w:p>
      <w:pPr>
        <w:jc w:val="both"/>
        <w:ind w:left="320" w:hanging="175"/>
        <w:spacing w:after="0" w:line="265"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vessels may be subject to extended periods of off-hire, which could materially adversely affect our business, financial condition, and results of operations. The vessels’ mortgagee or other maritime claimants could arrest our vessels, which could interrupt the charterers’ or our cash flow. Governments could requisition our vessels during a period of war or emergency without adequate compensation, which under most of our time charter agreements would permit the customer to terminate the charter agreement for that vessel.</w:t>
      </w:r>
    </w:p>
    <w:p>
      <w:pPr>
        <w:spacing w:after="0" w:line="118"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need to make substantial expenditures to maintain our fleet, meet new regulatory and commercial requirements, or acquire vessels.</w:t>
      </w:r>
    </w:p>
    <w:p>
      <w:pPr>
        <w:spacing w:after="0" w:line="150"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our fleet ages, we may incur increased operating costs beyond normal inflation, which would adversely affect our results of operations. Unless we set aside reserves or are able to borrow funds for vessel replacement, at the end of the useful lives of our vessels our revenue will decline, which would adversely affect our business, results of operations, and financial condition.</w:t>
      </w:r>
    </w:p>
    <w:p>
      <w:pPr>
        <w:spacing w:after="0" w:line="111"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business depends upon certain individuals who may not necessarily continue to be affiliated with us in the future. Rising crew and other vessel operating costs may adversely affect our profits. Increased fuel prices may have a material adverse effect on our profits.</w:t>
      </w:r>
    </w:p>
    <w:p>
      <w:pPr>
        <w:spacing w:after="0" w:line="111"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holding company and we depend on the ability of our subsidiaries to distribute funds to us in order to satisfy our financial and other obligations. Because we generate all of our revenues in U.S. dollars but incur a portion of our expenses in other currencies, exchange rate fluctuations could hurt our results of operations.</w:t>
      </w:r>
    </w:p>
    <w:p>
      <w:pPr>
        <w:spacing w:after="0" w:line="111"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insurance may be insufficient to cover losses that may occur to our property or result from our operations. We may be subject to litigation that, if not resolved in our favor and not sufficiently insured against, could have a material adverse effect on us.</w:t>
      </w:r>
    </w:p>
    <w:p>
      <w:pPr>
        <w:spacing w:after="0" w:line="111" w:lineRule="exact"/>
        <w:rPr>
          <w:rFonts w:ascii="Times New Roman" w:cs="Times New Roman" w:eastAsia="Times New Roman" w:hAnsi="Times New Roman"/>
          <w:sz w:val="12"/>
          <w:szCs w:val="12"/>
          <w:color w:val="auto"/>
        </w:rPr>
      </w:pPr>
    </w:p>
    <w:p>
      <w:pPr>
        <w:ind w:left="320" w:right="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Fourth Amended and Restated Bylaws include forum selection provisions for certain disputes between us and our shareholders, which could limit our shareholders’ ability to obtain a favorable judicial forum for disputes with us or our directors, officers, or other employees. We may not achieve the intended benefits of having forum selection provisions if they are found to be unenforceable.</w:t>
      </w:r>
    </w:p>
    <w:p>
      <w:pPr>
        <w:spacing w:after="0" w:line="111"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cyber-attack could materially disrupt our business.</w:t>
      </w:r>
    </w:p>
    <w:p>
      <w:pPr>
        <w:spacing w:after="0" w:line="150" w:lineRule="exact"/>
        <w:rPr>
          <w:rFonts w:ascii="Times New Roman" w:cs="Times New Roman" w:eastAsia="Times New Roman" w:hAnsi="Times New Roman"/>
          <w:sz w:val="12"/>
          <w:szCs w:val="12"/>
          <w:color w:val="auto"/>
        </w:rPr>
      </w:pPr>
    </w:p>
    <w:p>
      <w:pPr>
        <w:jc w:val="both"/>
        <w:ind w:left="320" w:hanging="175"/>
        <w:spacing w:after="0" w:line="257"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state of the world financial markets and economic conditions and geopolitical conflicts could have a material adverse impact on our results of operations, financial condition, and cash flows. The container shipping industry is cyclical and volatile and our growth and long-term profitability depend mainly upon growth in demand for containerships, the condition of the charter market, and the availability of capital. A decrease in the export and/or import of containerized cargo or an increase in trade protectionism may harm our customers’ business and, in turn, harm our business, results of operations, and financial condition. Recent actions by the U.S. and China imposing new port fees and related uncertainty in their implementation could have a material adverse effect on our operations and financial results. Adverse economic conditions, especially in the Asia Pacific region, the European Union, or the United States, could harm our business, results of operations, and financial condition.</w:t>
      </w:r>
    </w:p>
    <w:p>
      <w:pPr>
        <w:spacing w:after="0" w:line="125"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have more difficulty entering into long-term charters if a more active and cheaper short-term or spot container shipping market develops. An over-supply of containership capacity may lead to reductions in charter hire rates and profitability. Increased competition in technology and innovation could reduce our charter hire income and the value of our vessels.</w:t>
      </w:r>
    </w:p>
    <w:p>
      <w:pPr>
        <w:spacing w:after="0" w:line="111"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of piracy on ocean-going vessels, terrorist attacks, and international hostilities could affect our results of operations and financial condition.</w:t>
      </w:r>
    </w:p>
    <w:p>
      <w:pPr>
        <w:spacing w:after="0" w:line="150"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our vessels call on ports located in countries or territories that are the subject of sanctions or embargoes, it could lead to monetary fines or other penalties and have a material adverse effect on the market for our securities.</w:t>
      </w:r>
    </w:p>
    <w:p>
      <w:pPr>
        <w:spacing w:after="0" w:line="150"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safety and other vessel requirements imposed by classification societies may be costly and may adversely affect our business and operating results. We are subject to evolving regulation and liability under environmental laws, including those related to emissions and decarbonization, which may adversely affect our revenues and profitability.</w:t>
      </w:r>
    </w:p>
    <w:p>
      <w:pPr>
        <w:spacing w:after="0" w:line="111"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inspection procedures, tighter import and export controls, and new security regulations could increase costs and cause disruption of our containership business. Changing industry regulations may affect our cash flows and net income.</w:t>
      </w:r>
    </w:p>
    <w:p>
      <w:pPr>
        <w:spacing w:after="0" w:line="111"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our securities may be volatile. Future sales and the imbalance of willing sellers and willing buyers of our common stock could cause the market price of our common stock to decline.</w:t>
      </w:r>
    </w:p>
    <w:p>
      <w:pPr>
        <w:spacing w:after="0" w:line="150" w:lineRule="exact"/>
        <w:rPr>
          <w:rFonts w:ascii="Times New Roman" w:cs="Times New Roman" w:eastAsia="Times New Roman" w:hAnsi="Times New Roman"/>
          <w:sz w:val="12"/>
          <w:szCs w:val="12"/>
          <w:color w:val="auto"/>
        </w:rPr>
      </w:pPr>
    </w:p>
    <w:p>
      <w:pPr>
        <w:jc w:val="both"/>
        <w:ind w:left="320" w:hanging="175"/>
        <w:spacing w:after="0" w:line="265"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change of control provisions in our organizational documents. We are incorporated in the Republic of the Marshall Islands, which does not have a well-developed body of corporate law. It may not be possible for investors to serve process on or enforce U.S. judgments against us. We are subject to certain risks relating to the inability to obtain the minimum quorum established in our Amended and Restated Articles of Incorporation and our Fourth Amended and Restated Bylaws for the conduct of business at shareholder meetings.</w:t>
      </w:r>
    </w:p>
    <w:p>
      <w:pPr>
        <w:spacing w:after="0" w:line="118" w:lineRule="exact"/>
        <w:rPr>
          <w:rFonts w:ascii="Times New Roman" w:cs="Times New Roman" w:eastAsia="Times New Roman" w:hAnsi="Times New Roman"/>
          <w:sz w:val="12"/>
          <w:szCs w:val="12"/>
          <w:color w:val="auto"/>
        </w:rPr>
      </w:pPr>
    </w:p>
    <w:p>
      <w:pPr>
        <w:ind w:left="320" w:hanging="175"/>
        <w:spacing w:after="0" w:line="279"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 Our management is required to devote substantial time to complying with public company regulations.</w:t>
      </w:r>
    </w:p>
    <w:p>
      <w:pPr>
        <w:spacing w:after="0" w:line="111" w:lineRule="exact"/>
        <w:rPr>
          <w:rFonts w:ascii="Times New Roman" w:cs="Times New Roman" w:eastAsia="Times New Roman" w:hAnsi="Times New Roman"/>
          <w:sz w:val="12"/>
          <w:szCs w:val="12"/>
          <w:color w:val="auto"/>
        </w:rPr>
      </w:pPr>
    </w:p>
    <w:p>
      <w:pPr>
        <w:jc w:val="both"/>
        <w:ind w:left="320" w:hanging="175"/>
        <w:spacing w:after="0" w:line="265" w:lineRule="auto"/>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cannot guarantee that our Board of Directors (our “Board of Directors”) will declare dividends or otherwise return cash to shareholders. We may not have sufficient cash from our operations to enable us to pay dividends on or to redeem our Series B Preferred Shares, and accordingly the Depositary Shares, as the case may be. Our ability to pay dividends on and to redeem our Series B Preferred Shares is limited by the requirements of Marshall Islands law and by our contractual obligations.</w:t>
      </w:r>
    </w:p>
    <w:p>
      <w:pPr>
        <w:spacing w:after="0" w:line="118" w:lineRule="exact"/>
        <w:rPr>
          <w:rFonts w:ascii="Times New Roman" w:cs="Times New Roman" w:eastAsia="Times New Roman" w:hAnsi="Times New Roman"/>
          <w:sz w:val="12"/>
          <w:szCs w:val="12"/>
          <w:color w:val="auto"/>
        </w:rPr>
      </w:pPr>
    </w:p>
    <w:p>
      <w:pPr>
        <w:ind w:left="320" w:hanging="175"/>
        <w:spacing w:after="0"/>
        <w:tabs>
          <w:tab w:leader="none" w:pos="320"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may be subject to taxes which will reduce our cash flow. Certain adverse U.S. federal income tax consequences could arise for U.S. holders.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Revenue Risk</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We are dependent on our charterers and other counterparties fulfilling their obligations under agreements with us, and their inability or unwillingness to honor these obligations could significantly reduce our revenues and cash flow.</w:t>
      </w:r>
    </w:p>
    <w:p>
      <w:pPr>
        <w:spacing w:after="0" w:line="107"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2"/>
          <w:szCs w:val="12"/>
          <w:color w:val="auto"/>
        </w:rPr>
        <w:t>Payments to us by our charterers under time charters are, and will continue to be, our sole source of operating cash flow. We are consequently dependent on the performance by our charterers of their obligations under the charters. The container shipping industry is cyclical and, notwithstanding periods of improved financial performance, suffered an extended cyclical downturn as a consequence of the global financial crisis lasting from around 2008 through 2016 (the “Global Financial Crisis”), with freight rates, charter rates, asset values, and liner operator earnings under pressure due to an oversupply of container ship capacity. Industry conditions generally improved from 2017 through 2019. The compound annual growth rate (“CAGR”) of containerized trade volumes from 2010 through 2024 was 3.0%, which rate is the outcome of, among other things, a period of negative growth in 2020 in response to the COVID-19 pandemic, a subsequent rebound in 2021, a period of further negative growth in 2022 and 2023 resulting from geopolitical tensions driving inflationary macro-economic headwinds, followed by a rebound in 2024. Volumes are estimated to have increased in 2025 by approximately 5.0%. The uncertainty concerning the COVID-19 pandemic and its impact on container shipping and the macro-economic environment has waned significantly over the past few years. However, global public health threats, pandemics, epidemics, and other disease outbreaks, such as COVID-19, influenza, and other highly communicable diseases or viruses, could adversely impact our operations and our charterers and other counterparties’ ability or willingness to fulfill their obligations to us. Additionally, uncertainty exists regarding the broader global economic impact of changes in tariffs, trade barriers, and embargos, including recently imposed or announced tariffs by the U.S. and the effects of retaliatory tariffs and countermeasures from affected countries, geopolitical events, such as the continuing war between Russia and Ukraine, ongoing disputes between China and Taiwan, deteriorating trade relations between the U.S. and China, and ongoing political unrest and conflicts in the Middle East, including the recent military conflict in Iran, and other regions throughout the world. Such uncertainty may adversely impact our business, and any escalation or spillover effects from these and similar conflicts may lead to further regional and international conflicts or armed action. It is possible that such conflicts could disrupt supply chains and cause instability in the global economy. Equally unpredictable is the impact these uncertainties may have upon our charterers’ operations and cash flows, and their payment of charter hire to us. If we lose a time charter because the charterer is unable to pay us or for any other reason, we may be unable to re-deploy the related vessel on similar terms or at all. Also, we will not receive any revenues from such a vessel while it is not subject to a charter, but we will be required to pay expenses necessary to maintain and insure the vessel and service any indebtedness on it.</w:t>
      </w:r>
    </w:p>
    <w:p>
      <w:pPr>
        <w:spacing w:after="0" w:line="13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While there were no delays in receiving charter hire payments in 2023, 2024, or 2025, we may experience delays in the future in receiving charter hire payments from some of our charterers, which under the terms of our charter contracts are due to be paid two weeks or one month in advance, as the case may be. As of December 31, 2025, no charter hire payments were outstanding.</w:t>
      </w:r>
    </w:p>
    <w:p>
      <w:pPr>
        <w:spacing w:after="0" w:line="110"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If any of our charterers ceases doing business or fails to perform their respective obligations under their charters with us, our business, financial position, and results of operations could be materially adversely affected if we face difficulties finding immediate replacement charters, or if such replacement charters are at lower daily rates and for shorter durations. If such events occur, these events may give rise to uncertainty about our ability to continue as a going concern. Please also see below “—We may be unable to recharter our vessels at profitable rates, if at all, upon their time charter expiry.”</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Operational Growth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Significant demands may be placed on us as a result of possible future acquisitions of additional vessels.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As a result of possible future acquisitions of vessels, significant demands may be placed on our managerial, operational, and financial personnel and systems. We cannot assure you that our systems, procedures, and controls will be adequate to support the expansion of our operations. Our future operating results will be affected by the ability of our officers and key employees to manage changing business conditions and to implement and expand our operational and financial controls and reporting systems as a result of future acquisitions.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Our growth depends on continued growth in the demand for containerships, and our ability to purchase additional vessels and obtain new charters. We may require additional financing to be able to grow and will face substantial competition to purchase vessels.</w:t>
      </w:r>
    </w:p>
    <w:p>
      <w:pPr>
        <w:spacing w:after="0" w:line="8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One of our objectives is to grow by acquiring additional vessels and chartering them out to container shipping companies. The opportunity to acquire additional containerships will, in part, depend on the state of and prospects for container shipping. The container shipping industry is both cyclical and volatile in terms of supply and demand, freight rates, charter rates, vessel values, and overall profitability. Although supply-side fundamentals have generally been improving since 2017, the industry remains vulnerable to an excess supply of containership capacity and mediocre demand growth. As at December 31, 2025, idle capacity of the global containership fleet was 0.8%, and the global containership orderbook to fleet ratio was 34.5%, which was weighted heavily towards containerships larger than 10,000 TEU. The factors affecting the supply of and demand for containerships, and the nature, timing, and degree of changes in industry conditions are unpredictable.</w:t>
      </w:r>
    </w:p>
    <w:p>
      <w:pPr>
        <w:spacing w:after="0" w:line="11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Acquisition of vessels will be challenging as, among other things, we may need to obtain additional financing in order to complete vessel purchases. In recent years, financing for investment in containerships, whether newbuildings or existing vessels, has been severely limited. Further, the cost of available financing is currently high and may increase significantly in the future. In addition, the number of lenders for shipping companies has fluctuated and lenders have generally lowered their loan-to-value advance ratios, shortened loan terms, and accelerated repayment schedules. The actual or perceived credit quality of our charterers and proposed charterers, and any defaults by them, may materially affect our ability to obtain the additional capital resources that we will require to purchase additional vessels or may significantly increase our costs of obtaining such capital. These factors may hinder our ability to access financing and we may be unable to obtain adequate funding for growth.</w:t>
      </w:r>
    </w:p>
    <w:p>
      <w:pPr>
        <w:spacing w:after="0" w:line="1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process of obtaining further vessels and new charters is highly competitive and depends on a variety of factors, including, among other things:</w:t>
      </w:r>
    </w:p>
    <w:p>
      <w:pPr>
        <w:spacing w:after="0" w:line="141" w:lineRule="exact"/>
        <w:rPr>
          <w:sz w:val="20"/>
          <w:szCs w:val="20"/>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competitiveness of overall price;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availability of committed financing;</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containership leasing experience and quality of ship operations (including cost effectiveness);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shipping industry relationships and reputation for reliability, customer service, and safety;</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quality and experience of seafaring crew;</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ability to finance containerships at competitive rates and financial stability generally;</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relationships with shipyards and the ability to get suitable berths for newbuildings;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management experience, including the ability to obtain on-time delivery of new vessels according to customer specifications; and</w:t>
      </w:r>
    </w:p>
    <w:p>
      <w:pPr>
        <w:spacing w:after="0" w:line="150" w:lineRule="exact"/>
        <w:rPr>
          <w:rFonts w:ascii="Times New Roman" w:cs="Times New Roman" w:eastAsia="Times New Roman" w:hAnsi="Times New Roman"/>
          <w:sz w:val="12"/>
          <w:szCs w:val="12"/>
          <w:color w:val="auto"/>
        </w:rPr>
      </w:pPr>
    </w:p>
    <w:p>
      <w:pPr>
        <w:ind w:left="5620" w:right="1680" w:hanging="5268"/>
        <w:spacing w:after="0" w:line="530" w:lineRule="auto"/>
        <w:tabs>
          <w:tab w:leader="none" w:pos="533"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energy efficiency and carbon profile of our and our competitors’ vessels, including technical advances in vessel design, capacity, propulsion technology, and fuel consumption efficiency.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-105410</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will face substantial competition in expanding our business from a number of companies. Many of these competitors may have greater financial resources and a lower cost of capital than us, may operate larger fleets, may have been established for longer, and may be able to offer better charter rates. During an industry downturn there is an increased number of vessels available for charter, including many from owners with strong reputations and experience. An excess supply of vessels in the container shipping market results in greater price competition for charters. During strong industry conditions, the value of vessels rises and there is substantially greater competition for purchase opportunities. As a result of these factors, we may be unable to purchase additional containerships, expand our relationships with our existing charterers, or obtain new charters on a profitable basis, if at all, which would have a material adverse effect on our business, results of operations, and financial condition.</w:t>
      </w:r>
    </w:p>
    <w:p>
      <w:pPr>
        <w:spacing w:after="0" w:line="1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We may be unable to acquire or realize expected benefits from acquisitions of vessels or container shipping-related assets and implementing our growth strategy through acquisitions may harm our business, financial condition, and operating results.</w:t>
      </w:r>
    </w:p>
    <w:p>
      <w:pPr>
        <w:spacing w:after="0" w:line="88"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Our growth strategy includes, among other things, selectively acquiring secondhand and, potentially, newbuilding vessels and diversifying our asset base if an attractive investment opportunity presents itself. Growing any business through acquisition presents numerous risks, such as undisclosed liabilities and obligations, the possibility that indemnification agreements will be unenforceable or insufficient to cover potential losses, and failure to obtain the necessary resources to effectively scale our business. We cannot give any assurance that we will be successful in executing our growth plans, that we will be able to employ any acquired vessels under charters, that we will be able to purchase secondhand vessels or newbuildings at satisfactory prices or obtain ship management agreements with similar or better terms than those we obtained from our current ship managers, that we will be able to purchase container shipping-related assets and subsequently lease them out at satisfactory prices, or that we will not incur significant expenses and losses in connection with our future growth.</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Factors that may limit our ability to acquire additional vessels and container shipping-related assets include competition from other owners and lessors, availability of financing, shipyard capacity for newbuildings, and the limited number of modern vessels with appropriate characteristics not already subject to existing long-term or other charters. Competition from other purchasers could reduce our acquisition opportunities or cause us to pay higher prices.</w:t>
      </w:r>
    </w:p>
    <w:p>
      <w:pPr>
        <w:spacing w:after="0" w:line="11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Any acquisition of a vessel or container shipping-related assets may not be profitable to us and may not generate cash flow sufficient to justify our investment. In addition, our acquisition growth strategy exposes us to risks that may harm our business, financial condition, and operating results, including risks that we may:</w:t>
      </w:r>
    </w:p>
    <w:p>
      <w:pPr>
        <w:spacing w:after="0" w:line="119" w:lineRule="exact"/>
        <w:rPr>
          <w:sz w:val="20"/>
          <w:szCs w:val="20"/>
          <w:color w:val="auto"/>
        </w:rPr>
      </w:pPr>
    </w:p>
    <w:p>
      <w:pPr>
        <w:ind w:left="540" w:hanging="188"/>
        <w:spacing w:after="0"/>
        <w:tabs>
          <w:tab w:leader="none" w:pos="5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obtain financing, ship management agreements, and charters on acceptable terms;</w:t>
      </w:r>
    </w:p>
    <w:p>
      <w:pPr>
        <w:spacing w:after="0" w:line="14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unable, including through our ship managers, to hire, train, or retain qualified shore and seafaring personnel to manage and operate our enlarged business and fleet;</w:t>
      </w:r>
    </w:p>
    <w:p>
      <w:pPr>
        <w:spacing w:after="0" w:line="159"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fail to realize anticipated benefits of cost savings or cash flow enhancements;</w:t>
      </w:r>
    </w:p>
    <w:p>
      <w:pPr>
        <w:spacing w:after="0" w:line="14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 our liquidity by using a significant portion of our available cash or borrowing capacity to finance acquisitions or by additional repayments of debt;</w:t>
      </w:r>
    </w:p>
    <w:p>
      <w:pPr>
        <w:spacing w:after="0" w:line="159"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significantly increase our interest expense or financial leverage if we incur additional debt to finance acquisitions; or</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or assume unanticipated liabilities, losses, or costs associated with the vessels acquired.</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If we expand our business, provide additional services to third parties, or bring certain functions in-house, we may need to improve our operating and financial systems, expand our commercial and technical management staff, and recruit suitable employees and crew for our vessels.</w:t>
      </w:r>
    </w:p>
    <w:p>
      <w:pPr>
        <w:spacing w:after="0" w:line="8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current operating and financial systems may not be adequate if we further expand the size of our fleet or begin to provide additional services and our attempts to improve those systems may be ineffective. In addition, we may need to recruit suitable additional administrative and management personnel to manage any growth. We may not be able to continue to hire suitable employees in such circumstances. If a shortage of experienced labor exists or if we encounter business or financial difficulties, we may not be able to adequately staff our vessels. If we further expand our fleet, or begin to provide additional services, and we are unable to grow our financial and operating systems or recruit suitable employees, our business, results of operations, and financial condition may be harmed.</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risks associated with the purchase and operation of secondhand vessels.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Secondhand vessels typically do not carry warranties as to their condition at the time of acquisition. While we would generally inspect secondhand containerships prior to purchase, such an inspection would normally not provide us with a complete account of the vessel’s condition and may fail to uncover existing deficiencies, which we would otherwise be aware of if the vessel had been built for and operated by us during its life. Future repairs and maintenance costs for secondhand vessels are difficult to predict and may be substantially higher than those for equivalent vessels of which we have had direct experience. These additional costs could decrease our cash flow and reduce our liquidity. There can be no assurance that market conditions will justify such expenditures or enable us to operate our vessels profitably during the remainder of the economic lives of such vessels.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perform underwater inspections of vessels prior to purchase.</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Although we would perform physical inspections of any vessel prior to its purchase, it may not be possible for us to undertake any underwater inspections. As a result, we will not be aware of any damage to a vessel that may exist at the time of purchase and which could only be discovered through an underwater inspection. If any damage is found following our purchase, we could incur substantial costs to repair the damage, which would not be recoverable from the sellers.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Parties’ Performance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dependent on third parties, some of which are related parties, to manage our vessels and substantial fees will be payable to our ship managers regardless of our profitability.</w:t>
      </w:r>
    </w:p>
    <w:p>
      <w:pPr>
        <w:spacing w:after="0" w:line="12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As of the date of this Annual Report, all of our vessels are technically managed by Technomar, a company of which our Executive Chairman is the Founder, Managing Director, and majority beneficial owner, for an annual management fee. Technomar provides all day-to-day technical ship management, including crewing, purchasing stores, lubricating oils, and spare parts, paying wages, pensions, and insurance for the crew, and organizing other vessel operating necessities, such as the arrangement and management of drydocking and services in relation to compliance with the European Union Emission Trading System (“EU ETS” or “ETS”) and FuelEU Maritime (“FEUM”).</w:t>
      </w:r>
    </w:p>
    <w:p>
      <w:pPr>
        <w:spacing w:after="0" w:line="111"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Additionally, all of our vessels are commercially managed by Conchart, a company of which our Executive Chairman is the sole beneficial owner. The services provided by Conchart, as our commercial manager, include chartering, sale and purchase, and post-fixture administration.</w:t>
      </w:r>
    </w:p>
    <w:p>
      <w:pPr>
        <w:spacing w:after="0" w:line="10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fees and expenses payable pursuant to our technical and commercial ship management agreements with Technomar and Conchart, respectively, will be payable without regard to our business, results of operation, and financial condition and we have limited rights to terminate our management agreements. The payment of fees to our managers could adversely affect our results of operations and ability to pay dividends. For additional information please see “Item 4. Information on the Company—B. Business Overview—Management of our Fleet.”</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third-party technical and commercial ship managers are privately held companies and there is little or no publicly available information about them.</w:t>
      </w:r>
    </w:p>
    <w:p>
      <w:pPr>
        <w:spacing w:after="0" w:line="13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ability of our third-party ship managers, Technomar and Conchart, to render technical and commercial ship management services will depend in part on their own financial strength. Circumstances beyond our control could impair our third-party ship managers’ financial strength, and because each is a privately held company, information about the financial strength of our third-party ship managers is not publicly available. As a result, we and our shareholders might have little or no advance warning of financial or other problems affecting our third-party ship managers even though their financial or other problems could have a material adverse effect on us.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Certain of our Related Parties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Executive Chairman and our Managers may have conflicts of interest with us which may make them favor their own interests to our detriment.</w:t>
      </w:r>
    </w:p>
    <w:p>
      <w:pPr>
        <w:spacing w:after="0" w:line="11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Executive Chairman is the Founder, Managing Director, and majority beneficial owner of Technomar and the sole beneficial owner of Conchart, our third-party technical and commercial ship managers. Our Executive Chairman also beneficially owns approximately 7.9% of our Class A common shares. Accordingly, Technomar, Conchart, and our Executive Chairman (including their affiliates) have the power to exert considerable influence over our actions. These relationships could create conflicts of interest between us and our Managers. Such conflicts of interest may result in transactions on terms not determined by market forces. Any such conflicts of interest could adversely affect our business, financial condition, results of operations, and the trading price of our Class A common shares.</w:t>
      </w:r>
    </w:p>
    <w:p>
      <w:pPr>
        <w:spacing w:after="0" w:line="107"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Such conflicts of interest may arise in connection with the chartering, purchase, sale, and operations of the vessels in our fleet versus vessels managed or owned by other companies affiliated with our Managers. As a result of these conflicts, our Managers may favor their own or their affiliates’ interests over our interests. These conflicts may have unfavorable consequences for us. Although our Executive Chairman and Conchart, respectively, have entered into a non-competition agreement with us, conflicts of interest may arise between us and our Managers, and such conflicts may not be resolved in our favor and could have an adverse effect on our results of operations.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financial reporting is partly dependent on accounting and financial information provided to us by Technomar with respect to our vessels.</w:t>
      </w:r>
    </w:p>
    <w:p>
      <w:pPr>
        <w:spacing w:after="0" w:line="20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Technomar is obliged to provide us with requisite financial and accounting information on a timely basis so that we can meet our own reporting obligations under U.S. securities laws. Technomar is a privately held company with financial reporting arrangements different from ours. If it is delayed in providing us with key financial information, or it otherwise fails to meet its contractual obligations to us, we could fail to meet our financial reporting deadlines, which could lead to regulatory sanctions being imposed on us and cause us to default on reporting covenants under our financing agreements. Any such results may have a material adverse effect on our results of operation, financial condition, and reputation.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Related Risks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Due to our lack of diversification, adverse developments in our containership transportation business could harm our business, results of operations, and financial condition.</w:t>
      </w:r>
    </w:p>
    <w:p>
      <w:pPr>
        <w:spacing w:after="0" w:line="21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Nearly all of our cash flow is generated from our chartering of containerships. Due to our lack of diversification, an adverse development in the containership industry may harm our business, results of operations, and financial condition more significantly than if we maintained more diverse assets or lines of business.</w:t>
      </w:r>
    </w:p>
    <w:p>
      <w:pPr>
        <w:spacing w:after="0" w:line="110"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 addition, we operate our vessels in markets that have historically exhibited seasonal, as well as cyclical, variations in demand and, as a result, in charter hire rates. This seasonality may result in quarter-to-quarter volatility in our operating results, which could affect the amount of our cash flow.</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unable to recharter our vessels at profitable rates, if at all, upon their time charter expiry.</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According to Maritime Strategies International Ltd. (“MSI”), as of December 31, 2025, idle capacity of the global containership fleet was 0.8%, and the overall orderbook-to-fleet ratio stood at 34.5%.Notwithstanding scrapping, the size of the orderbook will likely result in an increase in the size of the world containership fleet over the next few years, particularly in the larger vessel sizes (over 10,000 TEU). An over-supply of containership capacity, combined with a lack of growth in the demand for containerships, may result in downward pressure on charter rates. As at December 31, 2025, but adjusted to include the last three 8,586 TEU, Korean-built containerships with ECO upgrades (the “Newly Acquired Vessels”) of which two were delivered in December 2025 and the third, Cypress, on January 9, 2026, and all charters agreed through February 28, 2026, the charters for three of our containerships either have expired or could expire before the end of the first half of 2026 and a further six vessels have charters which may expire during the second half of 2026.</w:t>
      </w:r>
    </w:p>
    <w:p>
      <w:pPr>
        <w:spacing w:after="0" w:line="12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cannot be assured that we will be able to obtain new time charters for our vessels on expiry of existing charters or that, if we do, the new rates will be favorable. If we are unable to obtain new time charters for our containerships at favorable rates or are unable to secure new charters promptly, or at all, the vessels would be idle. We would continue to incur certain operating costs but earn no revenue, which would have a material adverse effect on our business, financings, results of operations, and financial condition. Please also see “—We are dependent on our charterers and other counterparties fulfilling their obligations under agreements with us, and their inability or unwillingness to honor these obligations could significantly reduce our revenues and cash flow” above.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Technological developments that impact global trade flows and supply chains may affect the demand for our vessels.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By reducing the cost of labor through automation and digitization and empowering consumers to demand goods whenever and wherever they choose, technology, including artificial intelligence (“AI”), may change the business models and production of goods in many industries, including ours. Supply chains may become more efficient, optimized, and responsive to changing demand patterns in ways that may reduce demand for our vessels. If automation and digitization allow production to become more regional or local, total containerized trade volumes may decrease, which may adversely affect demand for our services. Supply chain disruptions caused by geopolitical events, rising tariff barriers, and environmental concerns may increase costs such that consumer demand is impacted, which may also reduce demand for our vessels.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Financing/Debt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substantial indebtedness could adversely affect our ability to raise additional capital to fund our operations or pursue other business opportunities and may limit our ability to react to changes in the economy or our industry.</w:t>
      </w:r>
    </w:p>
    <w:p>
      <w:pPr>
        <w:spacing w:after="0" w:line="127" w:lineRule="exact"/>
        <w:rPr>
          <w:sz w:val="20"/>
          <w:szCs w:val="20"/>
          <w:color w:val="auto"/>
        </w:rPr>
      </w:pPr>
    </w:p>
    <w:p>
      <w:pPr>
        <w:jc w:val="both"/>
        <w:ind w:firstLine="265"/>
        <w:spacing w:after="0" w:line="264" w:lineRule="auto"/>
        <w:rPr>
          <w:sz w:val="20"/>
          <w:szCs w:val="20"/>
          <w:color w:val="auto"/>
        </w:rPr>
      </w:pPr>
      <w:r>
        <w:rPr>
          <w:rFonts w:ascii="Times New Roman" w:cs="Times New Roman" w:eastAsia="Times New Roman" w:hAnsi="Times New Roman"/>
          <w:sz w:val="12"/>
          <w:szCs w:val="12"/>
          <w:color w:val="auto"/>
        </w:rPr>
        <w:t>As of December 31, 2025, we had $694.7 million of outstanding indebtedness, consisting of $179.4 million of publicly rated/investment grade 5.69% Senior Secured Notes due 2027 (the “2027 Secured Notes”), $204.3 million of finance leases, and $311.0 million of secured credit facilities.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leverage could have important consequences, including:</w:t>
      </w:r>
    </w:p>
    <w:p>
      <w:pPr>
        <w:spacing w:after="0" w:line="150" w:lineRule="exact"/>
        <w:rPr>
          <w:sz w:val="20"/>
          <w:szCs w:val="20"/>
          <w:color w:val="auto"/>
        </w:rPr>
      </w:pPr>
    </w:p>
    <w:p>
      <w:pPr>
        <w:ind w:left="540" w:hanging="188"/>
        <w:spacing w:after="0"/>
        <w:tabs>
          <w:tab w:leader="none" w:pos="5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our vulnerability to adverse economic, industry, or competitive developments;</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requiring a substantial portion of our cash flows from operations to be dedicated to the payment of interest and amortization payments for our indebtedness, therefore reducing our ability to use our cash flows to fund operations, capital expenditure, and future business opportunities;</w:t>
      </w:r>
    </w:p>
    <w:p>
      <w:pPr>
        <w:spacing w:after="0" w:line="111"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it more difficult for us to satisfy our obligations with respect to our indebtedness, and any failure to comply with the obligations of any of our debt instruments, including restrictive covenants and borrowing conditions, could result in an event of default under our 2027 Secured Notes and the agreements governing our other indebtedness;</w:t>
      </w:r>
    </w:p>
    <w:p>
      <w:pPr>
        <w:spacing w:after="0" w:line="11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restricting us from making strategic acquisitions or causing us to make non-strategic divestitures;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ability to obtain additional financing for working capital, capital expenditures, debt service requirements, acquisitions, and general corporate or other purposes; and</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limiting our flexibility in planning for, or reacting to, changes in our business or market conditions and placing us at a competitive disadvantage compared to our competitors who are less highly leveraged and who, therefore, may be able to take advantage of opportunities that our leverage may prevent us from exploiting.</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Despite our existing indebtedness, we may incur substantially more indebtedness in the future, which could further exacerbate the risks associated with our substantial indebtedness.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may incur substantial additional indebtedness in the future. Although certain of our debt agreements contain restrictions on the incurrence of additional indebtedness, these restrictions are subject to significant qualifications and exceptions, and, under certain circumstances, the amount of indebtedness that may be incurred in compliance with these restrictions is substantial. In addition, our debt agreements will not prevent us from incurring obligations that do not constitute indebtedness thereunder. If we incur substantially more indebtedness, the risks associated with our indebtedness as described above could be exacerbated.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debt agreements contain restrictions that limit our flexibility in operating our business.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debt agreements contain various covenants that limit our ability to engage in specified types of transactions. These covenants limit or restrict our ability and the ability of certain of our subsidiaries to, among other things:</w:t>
      </w:r>
    </w:p>
    <w:p>
      <w:pPr>
        <w:spacing w:after="0" w:line="150" w:lineRule="exact"/>
        <w:rPr>
          <w:sz w:val="20"/>
          <w:szCs w:val="20"/>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 additional indebtedness;</w:t>
      </w:r>
    </w:p>
    <w:p>
      <w:pPr>
        <w:spacing w:after="0" w:line="1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any substantial change to the nature of our business;</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dividends;</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 or repurchase capital stock;</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the collateral vessel, if applicable;</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certain transactions other than arm’s length transactions;</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a company, shares or securities, or a business or undertaking;</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 a change of control of us, enter into any amalgamation, demerger, merger, consolidation, or corporate restructuring, or sell all or substantially all of our assets;</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 the flag, class, or technical or commercial management of the applicable collateral vessel or terminate or materially amend the management agreements relating to such vessel; and</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experience any change in the position and ownership of our Executive Chairman.</w:t>
      </w:r>
    </w:p>
    <w:p>
      <w:pPr>
        <w:spacing w:after="0" w:line="12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certain of our debt agreements require us and our subsidiaries to satisfy certain financial covenants, including minimum liquidity, and value adjusted leverage ratio. Our ability to meet those financial covenants and other tests will depend on our ongoing financial and operating performance, which, in turn, will be subject to economic conditions and financial, market, and competitive factors, many of which are beyond our control.</w:t>
      </w:r>
    </w:p>
    <w:p>
      <w:pPr>
        <w:spacing w:after="0" w:line="101"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Due to restrictions in our debt agreements, we may need to seek consent from our lenders in order to engage in certain corporate and commercial actions that we believe would be in the best interest of our business, and a denial of such consent may make it difficult for us to successfully execute our business strategy or effectively compete with companies that are not similarly restricted. For example, our debt agreements restrict our entry into certain transactions or the termination or amendment of our third-party ship management agreements with Technomar and Conchart and require that George Giouroukos remain our Executive Chairman. Our lenders’ interests may be different from ours, and we cannot guarantee that we will be able to obtain their approval when needed. This may prevent us from taking actions that we believe are in our or our shareholders’ best interest. Any future agreements governing our indebtedness may include similar or more restrictive restrictions.</w:t>
      </w:r>
    </w:p>
    <w:p>
      <w:pPr>
        <w:spacing w:after="0" w:line="114"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A breach of any of these covenants could result in a default under one or more of our debt agreements, including as a result of cross-default provisions, and may permit the lenders (and other similar counterparties) to cease making loans to us. Upon the occurrence of an event of default under our debt agreements, the lenders (or other similar counterparties) could elect to declare all amounts outstanding under the loan to be immediately due and payable. Such actions by the lenders (or other similar counterparties) could cause cross-defaults under our other debt agreements.</w:t>
      </w:r>
    </w:p>
    <w:p>
      <w:pPr>
        <w:spacing w:after="0" w:line="10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All but 18 of the vessels owned by us as of December 31, 2025, serve as security under our secured debt agreements. If our operating performance declines, we may be required to obtain waivers from our lenders (and other similar counterparties) to avoid default thereunder. If we are not able to obtain such waivers, our lenders (and other similar counterparties) could exercise their rights upon default and we could be forced into bankruptcy or liquidation.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vessels’ mortgagee or other maritime claimants could arrest our vessels, which could interrupt the charterers’ or our cash flow.</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we default under any of our credit facilities or other debt agreements, lenders under our other credit facilities and debt agreements who hold mortgages on our vessels could arrest some or all of our vessels and cause them to be sold. We would not receive any proceeds of such sale unless and until all amounts outstanding under such agreements had been repaid in full. Crew members, suppliers of goods and services to a vessel, shippers of cargo, and other parties may be entitled to a maritime lien against that vessel for unsatisfied debts, claims, or damages. In many jurisdictions, a maritime lien holder may enforce its lien by arresting a vessel through foreclosure proceedings. The arrest or attachment of one or more of our vessels, for valid or invalid reasons, could interrupt the charterers’ or our cash flow and require the charterer or us or our insurer to pay a significant amount to have the arrest lifted. In addition, in some jurisdictions, such as South Africa, under the “sister ship” theory of liability, a claimant may arrest both the vessel that is subject to the claimant’s maritime lien and any “associated” vessel, which is any vessel owned or controlled by the same owner. Claimants could try to assert “sister ship” liability against one vessel in our fleet for claims relating to another vessel in our fleet. In any event, any lien imposed may adversely affect our results of operations by delaying the revenue gained from our vessels.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Volatility of SOFR could affect our profitability, earnings, and cash flows.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secured credit facilities and finance lease obligations accrue interest based on SOFR. An increase in SOFR, including as a result of the interest rate increases effected by the United States Federal Reserve and the United States Federal Reserve’s hike of U.S. interest rates in response to rising inflation, would affect the amount of interest payable under our loan agreements, which, in turn, could have an adverse effect on our profitability, earnings, cash flow, and ability to pay dividends. If SOFR performs differently than expected or if our lenders insist on a different reference rate to replace SOFR, that could increase our borrowing costs (and administrative costs to reflect the transaction), which would have an adverse effect on our profitability, earnings, and cash flows. Alternative reference rates may behave in a similar manner or have other disadvantages or advantages in relation to our future indebtedness and the transition to SOFR or other alternative reference rates in the future could have a material adverse effect on us.</w:t>
      </w:r>
    </w:p>
    <w:p>
      <w:pPr>
        <w:spacing w:after="0" w:line="1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order to manage our exposure to interest rate fluctuations, we have in the past used, and may from time to time in the future use, interest rate derivatives to effectively fix any floating rate debt obligations. No assurance can be given, however, that the use of these derivative instruments, if any, may effectively protect us from adverse interest rate movements. As of December 31, 2025, $515.3 million of our total outstanding debt was floating rate debt across a number of facilities and sale and leaseback arrangements, bearing interest at SOFR based on interest rate cap agreements that we have in place that expire in late 2026. As of December 31, 2025, our interest rate caps cover 75% of our floating rate debt. An increase in interest rates upon expiry of these interest rate cap agreements could cause us to incur additional costs associated with our debt service, which may materially and adversely affect our results of operations.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Assets’ Fair Value Risks</w:t>
      </w:r>
    </w:p>
    <w:p>
      <w:pPr>
        <w:spacing w:after="0" w:line="14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Vessel values may fluctuate, which may adversely affect our financial condition, affect our ability to comply with certain financial covenants under our debt agreements, result in the incurrence of a loss upon disposal of a vessel, or increase the cost of acquiring additional vessels.</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Vessel values may fluctuate due to a number of different factors, including:</w:t>
      </w:r>
    </w:p>
    <w:p>
      <w:pPr>
        <w:spacing w:after="0" w:line="150" w:lineRule="exact"/>
        <w:rPr>
          <w:sz w:val="20"/>
          <w:szCs w:val="20"/>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 economic and market conditions affecting the shipping industry;</w:t>
      </w:r>
    </w:p>
    <w:p>
      <w:pPr>
        <w:spacing w:after="0" w:line="1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types and sizes of and demand for available vessels;</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other modes of transportation;</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increases in the supply of vessel capacity;</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cost of newbuildings;</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or other regulations; and</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need to upgrade secondhand and previously owned vessels as a result of regulatory changes, charterer requirements, technological advances in vessel design or equipment, or otherwise.</w:t>
      </w:r>
    </w:p>
    <w:p>
      <w:pPr>
        <w:spacing w:after="0" w:line="112"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In addition, as vessels grow older, they generally decline in value. If the fair market values of our vessels decline, we may not be in compliance with certain covenants contained in our secured debt agreements, which may result in an event of default. In such circumstances, we may not be able to refinance our debt, obtain additional financing or make distributions to our shareholders and our subsidiaries may not be able to make distributions to us. The prepayment of certain debt facilities may be necessary to cause us to maintain compliance with certain covenants in the event that the value of our vessels falls below certain levels. If we are not able to comply with the covenants in our secured debt agreements, and are unable to remedy the relevant breach, our lenders could accelerate our debt and foreclose on our fleet. As of December 31, 2025, and as of the date of this Annual Report, we were in compliance with the financial covenants contained in our debt agreements.</w:t>
      </w:r>
    </w:p>
    <w:p>
      <w:pPr>
        <w:spacing w:after="0" w:line="10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Furthermore, if a charter terminates, we may be unable to re-deploy the vessel at attractive rates, or at all, and, rather than continue to incur costs to maintain and finance the vessel, may seek to dispose of it. Our inability to dispose of the containership at a reasonable price, or at all, could result in a loss on its sale and harm our business, results of operations, and financial condition. We may be forced to sell some of our vessels for a lesser amount because of these constraints. Moreover, if the book value of a vessel is impaired due to unfavorable market conditions, we may incur a loss that could adversely affect our operating results.</w:t>
      </w:r>
    </w:p>
    <w:p>
      <w:pPr>
        <w:spacing w:after="0" w:line="11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Conversely, if vessel values are elevated at a time when we wish to acquire additional vessels, the cost of acquisition may increase and this could adversely affect our business, results of operations, cash flow, and financial condition.</w:t>
      </w:r>
    </w:p>
    <w:p>
      <w:pPr>
        <w:spacing w:after="0" w:line="11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if we determine at any time that a vessel’s value has been impaired, we may need to recognize an impairment charge, which could be significant, that would reduce our earnings and net assets. We review our containership assets for impairment whenever events or changes in circumstances indicate that the carrying amount of the assets may not be recoverable, which occurs when the assets’ carrying value is greater than the undiscounted future cash flows the asset is expected to generate over its remaining useful life. In our experience, certain assumptions relating to our estimates of future cash flows are more predictable by their nature, including estimated revenue under existing contract terms and remaining vessel life. Certain assumptions relating to our estimates of future cash flows require more judgement and are inherently less predictable, such as future charter rates beyond the firm period of existing contracts, the amount of time a vessel is off-hire, ongoing operating costs, and vessel residual values, due to factors such as the volatility in vessel charter rates, vessel values, and inflation in expenses. We believe that the assumptions used to estimate future cash flows of our vessels are reasonable at the time they are made. We can provide no assurances, however, as to whether our estimates of future cash flows, particularly future vessel charter revenues or vessel values, will be accurate. Vessels that currently are not considered impaired may become impaired over time if the future estimated undiscounted cash flows decline at a rate that is faster than the depreciation of our vessels. Future fluctuations in charter rates and vessel values may trigger a possible impairment of our vessels as described in “Item 5. Operating and Financial Review and Prospects—A. Results of Operations—Management’s Discussion and Analysis of Financial Conditions and Results of Operations—Critical Accounting Estimates.”</w:t>
      </w:r>
    </w:p>
    <w:p>
      <w:pPr>
        <w:spacing w:after="0" w:line="11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Declining containership values could affect our ability to raise cash by limiting our ability to refinance vessels or use unencumbered vessels as collateral for new loans or result in prepayments under certain of our credit facilities.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could harm our business, results of operations, financial condition, or ability to raise capital.</w:t>
      </w:r>
    </w:p>
    <w:p>
      <w:pPr>
        <w:spacing w:after="0" w:line="102"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impairment testing is required, we may need to recognize impairment charges. The determination of the fair value of vessels will depend on various market factors, including charter and discount rates, ship operating costs, and vessel trading values, and our reasonable assumptions at that time. For example, we recorded an impairment loss of $18.8 million, in aggregate, in 2023 for two vessels. No impairment loss was recorded in 2024 or 2025. The amount, if any, and timing of any impairment charges we may need to recognize in the future will depend upon the then-current and expected future charter rates, vessel utilization, operating and dry-docking expenditures, vessel residual values, inflation, and the remaining expected useful lives of our vessels, which may differ materially from those used in our assessments as of December 31, 2025.</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Loss of Income Risks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vessels may be subject to extended periods of off-hire, which could materially adversely affect our business, financial condition, and results of operations.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Under the time charters for our vessels, when the vessel is not available for service, it will likely be “off-hire,” in which case the charterer is generally not required to pay hire, and we will be responsible for all costs unless the charterer is responsible for the circumstances giving rise to the lack of availability. Additionally, in many cases the charterer has the option to extend the latest redelivery date by the number of off-hire days. A vessel generally will be deemed to be off-hire if there is an occurrence that affects the full working condition of the vessel, such as:</w:t>
      </w:r>
    </w:p>
    <w:p>
      <w:pPr>
        <w:spacing w:after="0" w:line="268" w:lineRule="exact"/>
        <w:rPr>
          <w:sz w:val="20"/>
          <w:szCs w:val="20"/>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drydocking for repairs, maintenance, or classification society inspection;</w:t>
      </w:r>
    </w:p>
    <w:p>
      <w:pPr>
        <w:spacing w:after="0" w:line="150" w:lineRule="exact"/>
        <w:rPr>
          <w:rFonts w:ascii="Times New Roman" w:cs="Times New Roman" w:eastAsia="Times New Roman" w:hAnsi="Times New Roman"/>
          <w:sz w:val="12"/>
          <w:szCs w:val="12"/>
          <w:color w:val="auto"/>
        </w:rPr>
      </w:pPr>
    </w:p>
    <w:p>
      <w:pPr>
        <w:ind w:left="540" w:right="20" w:hanging="188"/>
        <w:spacing w:after="0" w:line="279" w:lineRule="auto"/>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out of service necessary for owners to upgrade vessels to meet new regulatory requirements, such as those relating to ballast water treatment or emission control, or to improve the specification and commercial characteristics of our vessels;</w:t>
      </w:r>
    </w:p>
    <w:p>
      <w:pPr>
        <w:spacing w:after="0" w:line="11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defect, breakdown, or deficiency of the vessel’s hull, machinery, or equipment or repairs or maintenance thereto;</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deficiency of the vessel’s master, officers, and/or crew, including the failure, refusal, or inability of the vessel’s master, officers, and/or crew to perform the service immediately required, whether or not within its control;</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course deviation, other than to save life or property, which results in a charterer’s lost time;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crewing labor boycotts or certain vessel arrests;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maintain the vessel in compliance with the charter’s requirements, such as maintaining operational certificates;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reduction of the vessel’s declared performance speed or increase of fuel consumption by more than 5% over a specified period of time; or</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the vessel by any government or governmental authority.</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Additionally, the charterer may have the right to terminate the charter agreement under a number of circumstances, such as if:</w:t>
      </w:r>
    </w:p>
    <w:p>
      <w:pPr>
        <w:spacing w:after="0" w:line="150" w:lineRule="exact"/>
        <w:rPr>
          <w:sz w:val="20"/>
          <w:szCs w:val="20"/>
          <w:color w:val="auto"/>
        </w:rPr>
      </w:pPr>
    </w:p>
    <w:p>
      <w:pPr>
        <w:ind w:left="540" w:hanging="188"/>
        <w:spacing w:after="0"/>
        <w:tabs>
          <w:tab w:leader="none" w:pos="5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off-hire for a specified number of days, subject to certain conditions;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informs us of a default under the charter, and the default is not rectified;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total (actual or constructive) loss of the vessel;</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requisitioned by any government or governmental authority; or</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declared performance speed is reduced or fuel consumption is increased in excess of a pre-agreed percentage over a continuous period of an agreed number of days, (for example, consumption in excess of 10% of that declared for a given speed over a continuous period of 30 days) and the reason is within our or the vessel’s control.</w:t>
      </w:r>
    </w:p>
    <w:p>
      <w:pPr>
        <w:spacing w:after="0" w:line="102"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Our business, financial condition, and results of operations may be materially adversely affected if our vessels are subject to extended off-hire periods. For additional information, please see “Item 4. Information on the Company— B. Business Overview—Time Charters.”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Vessels’ Operational Risks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need to make substantial expenditures to maintain our fleet, meet new regulatory and commercial requirements, or acquire vessels.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must make substantial expenditures to maintain our fleet and we generally expect to finance these expenditures from operating cash flow. In addition, we will need to make substantial capital expenditures to acquire vessels in accordance with our growth strategy. Further, we may be obliged to make substantial expenditures to comply with regulatory changes, particularly concerning decarbonization, emission control, and ballast water treatment. We may also make substantial expenditures to improve the specification and commercial characteristics and competitiveness of some of our vessels. Such expenditures could increase as a result of, among other things, the cost of labor and materials, customer requirements, and governmental regulations and maritime self-regulatory organization standards relating to safety, security, or the environment. If we are unable to generate sufficient operating cash flow, we will need to fund these significant expenditures, including those required to maintain our fleet, with additional borrowings or otherwise find alternative sources of financing. Such financing arrangements may not be available on favorable economic terms or at all, which could have a material adverse effect on our business and results of operations.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As our fleet ages, we may incur increased operating costs beyond normal inflation, which would adversely affect our results of operations.</w:t>
      </w:r>
    </w:p>
    <w:p>
      <w:pPr>
        <w:spacing w:after="0" w:line="127"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In general, the day-to-day cost of operating and maintaining a vessel increases with age. In addition, older vessels are typically less fuel efficient and may attract lower charter rates compared to modern, more fuel-efficient vessels. Governmental regulations and safety or other equipment standards may also require expenditures for modifications or the addition of new equipment and may restrict the type of activities in which our vessels may engage. We cannot assure you that, as our vessels age, market conditions will justify any such expenditures or expenditures to otherwise improve their operating characteristics, such as fuel efficiency, to enable us to operate our vessels profitably during the remainder of their useful lives, which could adversely affect our results of operations.</w:t>
      </w:r>
    </w:p>
    <w:p>
      <w:pPr>
        <w:spacing w:after="0" w:line="10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fleet of 71 vessels as of December 31, 2025, including the third Newly Acquired Vessel, Cypress, delivered in January 2026, had an average age weighted by TEU capacity of 17.9 years. On December 1, 2025, we announced the purchase of three 8,586 TEU Korean built containerships with ECO upgrades, of which two were delivered to us in December 2025 and the third was delivered to us in January 2026.</w:t>
      </w:r>
    </w:p>
    <w:p>
      <w:pPr>
        <w:spacing w:after="0" w:line="101"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 xml:space="preserve">In November 2024, we agreed to purchase four high-reefer ECO 9,019 TEU vessels (the “2024 Acquired Vessels”), of which three were delivered in December 2024 and the fourth in January 2025. In addition, during December 2024, we agreed to sell an older vessel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(5,936 TEU, built in 2000) and in February 2025, we agreed to sell two more vessels,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(2,220 TEU, built in 2002) and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(2,207 TEU, built in 2003).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was delivered to her new owners on February 19, 2025,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was delivered to her new owners on March 10, 2025, and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was delivered to her new owners on March 24, 2025. Subsequently in May 2025, </w:t>
      </w:r>
      <w:r>
        <w:rPr>
          <w:rFonts w:ascii="Times New Roman" w:cs="Times New Roman" w:eastAsia="Times New Roman" w:hAnsi="Times New Roman"/>
          <w:sz w:val="12"/>
          <w:szCs w:val="12"/>
          <w:i w:val="1"/>
          <w:iCs w:val="1"/>
          <w:color w:val="auto"/>
        </w:rPr>
        <w:t>Dimitris Y</w:t>
      </w:r>
      <w:r>
        <w:rPr>
          <w:rFonts w:ascii="Times New Roman" w:cs="Times New Roman" w:eastAsia="Times New Roman" w:hAnsi="Times New Roman"/>
          <w:sz w:val="12"/>
          <w:szCs w:val="12"/>
          <w:color w:val="auto"/>
        </w:rPr>
        <w:t xml:space="preserve"> (5,936 TEU, built in 2000) was contracted to be sold and was delivered to her new owners on October 13, 2025.</w:t>
      </w:r>
    </w:p>
    <w:p>
      <w:pPr>
        <w:spacing w:after="0" w:line="1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Unless we set aside reserves or are able to borrow funds for vessel replacement, at the end of the useful lives of our vessels our revenue will decline, which would adversely affect our business, results of operations, and financial condition.</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fleet of 71 vessels as of December 31, 2025, including the third Newly Acquired Vessel, Cypress, delivered in January 2026, had an average age weighted by TEU capacity of 17.9 years. Unless we maintain reserves or are able to borrow or raise funds for vessel replacement, we will be unable to replace the older vessels in our fleet. Our cash flows and income are dependent on the revenues earned by the chartering of our containerships. The inability to replace the vessels in our fleet upon the expiration of their useful lives could have a material adverse effect on our business, results of operations, and financial condition. Any reserves set aside by any of our subsidiaries for vessel replacement will not be available for servicing our indebtedness.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Our business depends upon certain individuals who may not necessarily continue to be affiliated with us in the future.</w:t>
      </w:r>
    </w:p>
    <w:p>
      <w:pPr>
        <w:spacing w:after="0" w:line="145"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Our current performance and future success depend to a significant extent upon our Executive Chairman, George Giouroukos, our Chief Executive Officer, Thomas A. Lister, and our Chief Financial Officer, Anastasios Psaropoulos, who collectively have over 80 years of experience in the shipping industry and have worked with several of the world’s largest shipping, ship leasing, and ship management companies. They and the members of our Board of Directors are crucial to the execution of our business strategies and to the growth and development of our business. Mr. Giouroukos has committed to spend approximately half of his time on matters related to our affairs. If these individuals were no longer to be affiliated with us, or if we were to otherwise cease receiving advisory services from them, we may be unable to recruit other employees with equivalent talent and experience, and our business and financial condition may suffer as a result.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Rising crew and other vessel operating costs may adversely affect our profits.</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Acquiring and renewing charters with leading liner companies depends on a number of factors, including our ability to man our containerships with suitably experienced, high-quality masters, officers, and crews. The limited supply of and increased demand for well-qualified crew, due to the increase in the size of the global shipping fleet, has from time to time created upward pressure on crewing costs, which we generally bear under our time charters. Increases in crew costs and other vessel operating costs such as insurance, repairs and maintenance, and lubricants may adversely affect our profitability. In addition, if we cannot retain a sufficient number of high-quality onboard seafaring personnel, our fleet utilization will decrease, which could have a material adverse effect on our business, results of operations, and financial condition.</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fuel prices may have a material adverse effect on our profits.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cost of fuel is a significant factor in negotiating charter rates and can affect us both directly and indirectly. The cost of fuel is borne by us when our vessels are off-hire, being positioned for and undergoing drydockings, between charters, and employed on voyage charters or contracts of affreightment. We currently have no voyage charters or contracts of affreightment, but we may enter into such arrangements in the future, and to the extent we do so, an increase in the price of fuel beyond our expectations may adversely affect our profitability. Voyage charter contracts generally provide that the vessel owner bears the cost of fuel in the form of bunkers, which is a material operating expense. In such case, we cannot guarantee that we will hedge our fuel costs on any prospective future voyage charters, and, therefore, an increase in the price of fuel may negatively affect our profitability and our cash flows. Even where the cost of fuel is ordinarily borne by the charterer, which is the case with all of our existing time charters, that cost will affect the charter rates that charterers are prepared to pay, depending in part on the fuel efficiency of a particular vessel. Upon redelivery of any vessel at the end of a time charter, we may be obligated to repurchase bunkers on board at prevailing market prices, which could be materially higher than the fuel prices at the start of the charter period.</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price of fuel is unpredictable and fluctuates based on events outside our control, including but not limited to conflicts, geopolitical developments, supply of and demand for oil, actions by members of the Organization of the Petroleum Exporting Countries and other oil and gas producers, economic or other sanctions levied against oil and gas producing countries, war and unrest in oil producing countries and regions, regional production patterns, and environmental concerns and regulations.</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In addition, since the implementation of the International Maritime Organization’s regulations limiting sulfur emissions effective January 1, 2020, our vessels have been and continue to be operated using compliant low sulfur fuels, the price of which has increased as a result of increased demand. Fuel may continue to be more expensive, which may reduce our profitability and the competitiveness of our business compared to other forms of transportation. Further, as fuel costs are generally paid by our charterers, high fuel prices may impact their profitability if they are unable to pass these costs through to their customers. High fuel prices could have a material adverse effect on our business, results of operations, and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Subsidiaries’ Performance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a holding company and we depend on the ability of our subsidiaries to distribute funds to us in order to satisfy our financial and other obligations.</w:t>
      </w:r>
    </w:p>
    <w:p>
      <w:pPr>
        <w:spacing w:after="0" w:line="145"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We are a holding company and have no significant assets other than the equity interests in our subsidiaries. Our subsidiaries own all of the vessels and payments under charters are made to them. As a result, our ability to pay dividends and meet any debt service obligations and other liabilities depends on the performance of our subsidiaries and their ability to distribute funds to us. The ability of our subsidiaries to pay dividends or make other distributions or payments to us will be subject to the availability of profits or funds for such purpose which, in turn, will depend on the future performance of the subsidiary concerned which, to a certain extent, is subject to general economic, financial, competitive, legislative, regulatory, and other factors that may be beyond its control. Additionally, the ability of our subsidiaries to make these distributions could be affected by the provisions of our financing arrangements or a claim or other action by a third party, including a creditor, or by English law, Marshall Islands law, or the laws of any jurisdiction which applies to us and regulates the payment of dividends by companies. Applicable tax laws may also subject such payments to further taxation. Applicable law may also limit the amounts that some of our subsidiaries will be permitted to pay as dividends or distributions on their equity interests, or even prevent such payments. Limitations on our ability to transfer cash among and within our group may mean that even though we, in aggregate, may have sufficient resources to meet our obligations, we may not be permitted to make the necessary transfers from one entity in our group to another entity in our group in order to make payments on our obligations. Therefore, if we are unable to obtain funds from our subsidiaries, we may not be able to pay dividends, including on our 8.75% Series B Cumulative Perpetual Preferred Shares (the “Series B Preferred Shares”), or meet our debt service obligations or our other liabilities.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Exchange Rates Fluctuation Risk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Because we generate all of our revenues in U.S. dollars but incur a portion of our expenses in other currencies, exchange rate fluctuations could hurt our results of operations.</w:t>
      </w:r>
    </w:p>
    <w:p>
      <w:pPr>
        <w:spacing w:after="0" w:line="12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generate all of our revenues in U.S. dollars and some of our expenses are denominated in currencies other than U.S. dollars. The variation in currencies present in our operations could lead to fluctuations in net income due to changes in the value of the U.S. dollar relative to other currencies. Expenses incurred in foreign currencies against which the U.S. dollar falls in value could increase, thereby decreasing our net income. For instance, the exchange rate for Euro to U.S. dollar increased by 13.34% in 2025. On April 4, 2024, we entered into a foreign exchange option strip (“FX option”) to purchase €3.0 million, with a strike price of EURUSD 1.10 and with monthly settlements starting on April 11, 2024, and ended on March 13, 2025. We entered into this option to hedge the downside foreign exchange risk associated with expenses denominated in EUR against fluctuations between the U.S. dollar and Euro. This FX option was designated as a cash flow hedge of anticipated expenses totaling €3.0 million, expected to occur each month. Future declines in the U.S. dollar versus other currencies could have a material adverse effect on our operating expenses and net income.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 and Litigation Related Risks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insurance may be insufficient to cover losses that may occur to our property or result from our operations.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shipping industry has inherent operational risks. Although we carry hull and machinery insurance, war risks insurance, and protection and indemnity insurance (which includes coverage for environmental damage and pollution) and other insurances commonly held by vessel owners, we may not be adequately insured against all risks or our insurers may not pay every claim. Even if our insurance coverage is adequate to cover our losses, we may not be able to obtain a replacement vessel in the event of a total or constructive total loss in a timely manner. Further, under our financings, we are subject to restrictions on the use of any proceeds we may receive under claims in the event of a total loss or a constructive total loss. Furthermore, in the future, we may not be able to obtain adequate insurance coverage at reasonable rates for our fleet. We may also be subject to calls, or premiums, in amounts based not only on our own claim records but also the claim records of all other members of the protection and indemnity associations through which we receive indemnity insurance coverage for tort liability. In addition, insurers typically charge additional premiums if vessels transit certain “excluded areas,” which may be subject to higher risk of piracy, war, or terrorism. We cannot be certain that our insurers will continue to provide such coverage, or that we will be able to recover these increased costs from our charterers. Our insurance policies also contain deductibles, limitations, and exclusions which, although we believe are standard in the shipping industry, may nevertheless increase our costs.</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addition, we do not presently carry loss-of-hire insurance, which covers the loss of revenue during extended vessel off-hire periods, such as those that might occur during an unscheduled drydocking due to damage to the vessel from a major accident. Accordingly, any vessel that is off-hire for an extended period of time, due to an accident or otherwise, could have a material adverse effect on our business, results of operations, and financial condition.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be subject to litigation that, if not resolved in our favor and not sufficiently insured against, could have a material adverse effect on us.</w:t>
      </w:r>
    </w:p>
    <w:p>
      <w:pPr>
        <w:spacing w:after="0" w:line="11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may be, from time to time, involved in various litigation matters. These matters may include, among other things, contract disputes, personal injury claims, environmental claims or proceedings, asbestos and other toxic tort claims, employment matters, governmental claims for taxes or duties, and other litigation that arises in the ordinary course of our business. Although we intend to defend these matters vigorously, we cannot predict with certainty the outcome or effect of any claim or other litigation matter, and the ultimate outcome of any litigation or the potential costs to resolve them may have a material adverse effect on us. Insurance may not be applicable or sufficient in all cases and/or insurers may not remain solvent which may have a material adverse effect on our financial condition. Please see “Item 8. Consolidated Statements and Other Financial Information—A. Legal Proceedings.”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Certain Corporate Affairs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incorporated in the Republic of the Marshall Islands, which does not have a well-developed body of corporate law.</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corporate affairs are governed by our amended and restated articles of incorporation (our “Amended and Restated Articles of Incorporation”) and fourth amended and restated bylaws (our “Fourth Amended and Restated Bylaws”) and by the Business Corporations Act of the Republic of the Marshall Islands, or the BCA. The provisions of the BCA resemble provisions of the corporation laws of a number of states in the United States. However, there have been very few judicial cases in the Republic of the Marshall Islands interpreting the BCA. The rights and fiduciary responsibilities of directors under the law of the Republic of the Marshall Islands are not as clearly established as the rights and fiduciary responsibilities of directors under statutes or judicial precedent in existence in certain U.S. jurisdictions. Shareholder rights may differ as well. While the BCA does specifically incorporate the non-statutory law, or judicial case law, of the State of Delaware and other states with substantially similar legislative provisions, our shareholders may have more difficulty protecting their interests in the face of actions by the management, directors, or controlling shareholders than would shareholders of a corporation incorporated in a U.S. jurisdiction.</w:t>
      </w:r>
    </w:p>
    <w:p>
      <w:pPr>
        <w:spacing w:after="0" w:line="100"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Additionally, the Republic of the Marshall Islands does not have a legal provision for bankruptcy or a general statutory mechanism for insolvency proceedings. As such, in the event of a future insolvency or bankruptcy, our shareholders and creditors may experience delays in their ability to recover for their claims after any such insolvency or bankruptcy. Further, in the event of any bankruptcy, insolvency, liquidation, dissolution, reorganization, or similar proceeding involving us or any of our subsidiaries, bankruptcy laws other than those of the United States could apply. If we become a debtor under U.S. bankruptcy law, bankruptcy courts in the United States may seek to assert jurisdiction over all of our assets, wherever located, including property situated in other countries. There can be no assurance, however, that we would become a debtor in the United States, or that a U.S. bankruptcy court would be entitled to, or accept, jurisdiction over such a bankruptcy case, or that courts in other countries that have jurisdiction over us and our operations would recognize a U.S. bankruptcy court’s jurisdiction if any other bankruptcy court would determine it had jurisdiction.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It may not be possible for investors to serve process on or enforce U.S. judgments against us.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and 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or our subsidiaries or to realize against us or them judgments obtained in United States courts, including judgments predicated upon the civil liability provisions of the securities laws of the United States or any state in the United States. In addition, you should not assume that courts in the country in which we or our subsidiaries are incorporated or where our assets or the assets of our subsidiaries are located (1) would enforce judgments of U.S. courts obtained in actions against us or our subsidiaries based upon the civil liability provisions of applicable U.S. federal and state securities laws or (2) would enforce, in original actions, liabilities against us or our subsidiaries based on those laws.</w:t>
      </w:r>
    </w:p>
    <w:p>
      <w:pPr>
        <w:spacing w:after="0" w:line="11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Our Fourth Amended and Restated Bylaws include forum selection provisions for certain disputes between us and our shareholders, which could limit our shareholders</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i w:val="1"/>
          <w:iCs w:val="1"/>
          <w:color w:val="auto"/>
        </w:rPr>
        <w:t xml:space="preserve"> ability to obtain a favorable judicial forum for disputes with us or our directors, officers, or other employees.</w:t>
      </w:r>
    </w:p>
    <w:p>
      <w:pPr>
        <w:spacing w:after="0" w:line="9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Fourth Amended and Restated Bylaws provide that, unless we consent in writing to the selection of an alternative forum, to the fullest extent permitted by law, the High Court of the Republic of the Marshall Islands shall be the sole and exclusive forum for any internal corporate claim, intra-corporate claim, or claim governed by the internal affairs doctrine, including (i) any derivative action or proceeding brought on behalf of us, (ii) any action asserting a claim of breach of a fiduciary duty owed by any director, officer, employee, or shareholder of ours to us or our shareholders, and (iii) any action asserting a claim arising pursuant to any provision of the BCA or our Amended and Restated Articles of Incorporation or our Fourth Amended and Restated Bylaws. Our Fourth Amended and Restated Bylaws further provide that, unless we consent in writing to the selection of an alternative forum and subject to the foregoing, and except as otherwise provided above, the United States District Court for the Southern District of New York (or, if such court does not have jurisdiction over such claim, any other federal district court of the United States) shall be the sole and exclusive forum for claims arising under the U.S. Securities Act of 1933, as amended (the “Securities Act”) or the U.S. Securities Exchange Act of 1934, as amended (the “Exchange Act”). These forum selection provisions may increase costs associated with, and/or limit a shareholder’s ability to, bring a claim in a judicial forum that it finds favorable for disputes with us or our directors, officers, or other employees, which may discourage lawsuits with respect to such claims, although shareholders will not be deemed to have waived our compliance with federal securities laws and the rules and regulations thereunder. Please also see below “We may not achieve the intended benefits of having forum selection provisions if they are found to be unenforceable.”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achieve the intended benefits of having forum selection provisions if they are found to be unenforceable.</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Fourth Amended and Restated Bylaws include forum selection provisions as described above. However, the enforceability of similar forum selection provisions in other companies’ governing documents has been challenged in legal proceedings, and it is possible that in connection with any action a court could find the forum selection provisions contained in our Fourth Amended and Restated Bylaws to be inapplicable or unenforceable (in whole or in part) in such action. Section 22 of the Securities Act creates concurrent jurisdiction for federal and state courts over all suits brought to enforce any duty or liability created by the Securities Act and the rules and regulations thereunder and Section 27 of the Exchange Act creates exclusive federal jurisdiction over all suits brought to enforce any duty or liability created by the Exchange Act and the rules and regulations thereunder, and accordingly, we cannot be certain that a court would enforce our forum selection provisions. It is possible that a court could find our forum selection provisions to be inapplicable or unenforceable, and, accordingly, we could be required to litigate claims in multiple jurisdictions, incur additional costs to resolve such claims in other jurisdictions, or otherwise not receive the benefits that we expect our forum selection provisions to provide, which could adversely affect our business, financial condition, and results of operations.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Cybersecurity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cyber-attack could materially disrupt our business.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We rely on information technology systems and networks in our operations and administration of our business. Information systems are vulnerable to security breaches by computer hackers and cyber terrorists. We rely on industry accepted security measures and technology to securely maintain confidential and proprietary information maintained on our information systems. However, these measures and technology may not adequately prevent security breaches. Our business operations could be targeted by individuals or groups seeking to sabotage or disrupt our information technology systems and networks, or to steal data. A successful cyber-attack could materially disrupt our operations, including the safety of our operations, or lead to unauthorized release of information or alteration of information in our systems. Any such attack or other breach of our information technology systems could have a material adverse effect on our business and results of operations. In addition, the unavailability of the information systems or the failure of these systems to perform as anticipated for any reason could disrupt our business and could result in decreased performance and increased operating costs, causing our business and results of operations to suffer. Any significant interruption or failure of our information systems or any significant breach of security could adversely affect our business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Our Industry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container shipping industry is cyclical and volatile and our growth and long-term profitability depend mainly upon growth in demand for containerships, the condition of the charter market, and the availability of capital.</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container shipping industry is both seasonal and cyclical. According to MSI from 2000 through 2008, a period of super-cyclical growth largely catalyzed by China, the “CAGR” of global containerized trade was 9.9%. Having contracted by 8.0% in 2009, during the Global Financial Crisis, growth rebounded to 15.3% the following year. From 2010 through 2024, incorporating the impact of negative growth in 2020 in response to the COVID-19 pandemic, the rebound in 2021, further negative growth in 2022 and 2023 resulting from geopolitical tensions driving inflationary macro-economic headwinds, and a rebound in 2024, the CAGR was 3.0%; volumes are estimated to have increased in 2025 by approximately 5.0%. While economic growth is expected to remain the primary driver of containerized trade, geopolitical tensions and tariffs are emerging as potential disruptors of established trade patterns and supply chains, which may either undermine demand (if there is a negative impact on economic growth) or compound demand (if more ships are required to service greater supply chain complexity) for shipping capacity.</w:t>
      </w:r>
    </w:p>
    <w:p>
      <w:pPr>
        <w:spacing w:after="0" w:line="10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Weak conditions in the containership sector may affect our ability to generate cash flows and maintain liquidity, as well as adversely affect our ability to obtain financing.</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factors affecting the supply and demand for containerships and container shipping services are outside our control, and the nature, timing, and degree of changes in industry conditions are unpredictable.</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primary factors that influence demand for containership capacity include, among other things:</w:t>
      </w:r>
    </w:p>
    <w:p>
      <w:pPr>
        <w:spacing w:after="0" w:line="150" w:lineRule="exact"/>
        <w:rPr>
          <w:sz w:val="20"/>
          <w:szCs w:val="20"/>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of and demand for products suitable for shipping in containers, including as a result of technological developments which may affect global trade flows and supply chains;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the patterns of global production and consumption of products transported by containerships;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changing dynamics of globalization, regionalization, or re-shoring of manufacturing;</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weather, natural disasters, and other acts of God;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slowdowns caused by public health events or inflationary pressures and resultant governmental responses;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global and regional economic and political conditions, including “trade wars” and developments in international trade, armed conflicts, and work stoppages;</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international sanctions, embargoes, import and export restrictions, nationalizations, piracy, and wars or other conflicts, including the war between Russian and Ukraine, ongoing and escalating armed conflicts in the Middle East, including the recent military conflict among the United States, Israel, and Iran, and the Houthi attacks in and around the Red Sea;</w:t>
      </w:r>
    </w:p>
    <w:p>
      <w:pPr>
        <w:spacing w:after="0" w:line="111" w:lineRule="exact"/>
        <w:rPr>
          <w:rFonts w:ascii="Times New Roman" w:cs="Times New Roman" w:eastAsia="Times New Roman" w:hAnsi="Times New Roman"/>
          <w:sz w:val="12"/>
          <w:szCs w:val="12"/>
          <w:color w:val="auto"/>
        </w:rPr>
      </w:pPr>
    </w:p>
    <w:p>
      <w:pPr>
        <w:ind w:left="540" w:right="20" w:hanging="188"/>
        <w:spacing w:after="0" w:line="279" w:lineRule="auto"/>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seaborne and other transportation patterns, including changes in the distances over which container cargoes are transported, the size of containerships, the extent of trans-shipments and the competitiveness of other forms of marine transportation including dry bulk and refrigerated vessels;</w:t>
      </w:r>
    </w:p>
    <w:p>
      <w:pPr>
        <w:spacing w:after="0" w:line="11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environmental and other legal and regulatory developments;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oil and economics of slow steaming;</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trade finance and currency exchange rates;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 and canal congestion.</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primary factors that influence the supply of containership capacity include, among others:</w:t>
      </w:r>
    </w:p>
    <w:p>
      <w:pPr>
        <w:spacing w:after="0" w:line="141" w:lineRule="exact"/>
        <w:rPr>
          <w:sz w:val="20"/>
          <w:szCs w:val="20"/>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containership newbuilding orderbook;</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financing for new or secondhand vessels;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scrapping rate of containerships;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containerships off-hire, laid-up, drydocked, awaiting repairs, or otherwise idle or out of service;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price of steel and other raw materials;</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environmental and other laws and regulations that may limit the useful life of containerships, including regulations relating to ballast water management, low sulfur fuel consumption, and reductions in CO2 emissions;</w:t>
      </w:r>
    </w:p>
    <w:p>
      <w:pPr>
        <w:spacing w:after="0" w:line="11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availability of shipyard capacity;</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port and canal congestion;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of slow steaming.</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conditions in the containership sector may also affect our ability to recharter our containerships upon the expiration of their current charters. As at December 31, 2025, but adjusted to include the third Newly Acquired Vessel, Cypress, delivered to us on January 9, 2026, and all charters agreed through February 28, 2026, the charters for three of our containerships either have expired or could expire before the end of the first half of 2026 and a further six vessels have charters which may expire during the second half of 2026.</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Charter rates receivable under any renewal or replacement charters will depend upon, among other things, the prevailing state of the containership charter market. If the charter market is depressed when our charters expire, we may be forced to recharter our containerships at reduced or even unprofitable rates, or we may not be able to recharter them at all, which may reduce or eliminate our results of operations or make our results of operations volatile. The same issues will exist in respect of any additional vessels we may acquire either when obtaining the initial charters or when rechartering upon their expiry.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Financial Market Risks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 decrease in the export and/or import of containerized cargo or an increase in trade protectionism may harm our customers’ business and, in turn, harm our business, results of operations, and financial condition.</w:t>
      </w:r>
    </w:p>
    <w:p>
      <w:pPr>
        <w:spacing w:after="0" w:line="136"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Much of our customers’ containership business revenue is derived from the shipment of goods from the Asia Pacific region, primarily China, to various overseas export markets, including the United States and Europe. Any reduction in or hindrance to the output of China-based exporters could negatively affect the growth rate of China’s exports and our customers’ business. For instance, the government of China has implemented economic policies aimed at increasing domestic consumption of Chinese-made goods. This may reduce the supply of goods available for export and may, in turn, result in a decrease in shipping demand. Although state-owned enterprises still account for a substantial portion of the Chinese industrial output, in general, the Chinese government is reducing the level of direct control that it exercises over the economy through state plans and other measures. There is an increasing level of autonomy in areas such as allocation of resources, production, pricing, and management and a gradual shift in emphasis to a “market economy” and enterprise reform. Limited price reforms were undertaken that result in the prices for certain commodities to be principally determined by market forces, although many of these reforms are unprecedented or experimental and may be subject to revision, change, or abolition. If the Chinese government does not continue to pursue a policy of economic reform, the level of imports to and exports from China could be adversely affected by changes to these economic reforms by the Chinese government, as well as by changes in political, economic, and social conditions or other relevant policies of the Chinese government. Changes in laws and regulations in China, including with regards to tax matters, and their implementation by local authorities could affect our charterers’ business and have a material adverse impact on our business, results of operations, and financial condition.</w:t>
      </w:r>
    </w:p>
    <w:p>
      <w:pPr>
        <w:spacing w:after="0" w:line="12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international operations expose us to the risk that increased trade protectionism will harm our business. In times of global economic challenge, governments may turn to trade barriers to protect their domestic industries against foreign imports, thereby depressing shipping demand. Protectionist developments, or the perception that they may occur, could have a material adverse effect on global economic conditions, and may significantly reduce global trade. Moreover, increasing trade protectionism may cause an increase in (i) the cost of goods exported from regions globally, (ii) the length of time required to transport goods, and (iii) the risks associated with exporting goods. Such increases may significantly affect the quantity of goods to be shipped, shipping time schedules, voyage costs and other associated costs, which could have an adverse impact on our charterers’ business, operating results, and financial condition and could thereby affect their ability to make timely charter hire payments to us and to renew and increase the number of their time charters with us. This could have a material adverse effect on our business, results of operations, financial condition, and ability to pay any cash distributions to our stockholders. Please also see below, “—Adverse economic conditions, especially in the Asia Pacific region, the European Union, or the United States, could harm our business, results of operations, and financial condition” and “—The current state of the world financial markets and economic conditions and geopolitical conflicts could have a material adverse impact on our results of operations, financial condition, and cash flows.”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Adverse economic conditions, especially in the Asia Pacific region, the European Union, or the United States, could harm our business, results of operations, and financial condition.</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anticipate a significant number of the port calls made by our vessels will involve the loading or discharging of containerships in ports in the Asia Pacific region. Consequently, economic turmoil in that region may exacerbate the effect of any economic slowdown on us. Before the global economic financial crisis that began in 2008, China had one of the world’s fastest growing economies in terms of gross domestic product, or GDP, which had a significant impact on shipping demand. China’s GDP growth rate for the years ended December 31, 2024 and 2025 was approximately 5.0%, which was a decrease from 5.2% for the year ended December 31, 2023. It is possible that China and other countries in the Asia Pacific region will continue to experience volatile, slowed, or even negative economic growth in the near future.</w:t>
      </w:r>
    </w:p>
    <w:p>
      <w:pPr>
        <w:spacing w:after="0" w:line="10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United States has also implemented more protectionist trade measures in an effort to protect and enhance its domestic economy. Additionally, the European Union, or the EU, and certain of its member states are facing significant economic and political challenges, including a risk of increased protectionist policies, following the withdrawal of the United Kingdom from the European Union. Our business, results of operations, and financial condition will likely be harmed by any significant economic downturn in the Asia Pacific region, including China, or in the EU or the United States.</w:t>
      </w:r>
    </w:p>
    <w:p>
      <w:pPr>
        <w:spacing w:after="0" w:line="11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Furthermore, uncertainty exists regarding the broader global economic impact of changes in tariffs, trade barriers, and embargos, including recently imposed or announced tariffs by the U.S. and the effects of retaliatory tariffs and countermeasures from affected countries, geopolitical events, such as the continuing war between Russia and Ukraine, ongoing disputes between China and Taiwan, deteriorating trade relations between the U.S. and China, and ongoing political unrest and conflicts in the Middle East, including the recent military conflict in Iran, and other regions throughout the world. The U.S. government has announced and rescinded multiple tariffs on several foreign jurisdictions, and there is further uncertainty regarding the scope, legitimacy, and durability of existing current and future tariff measures. Increased tariffs by the United States have led and may continue to lead to the imposition of retaliatory tariffs by foreign jurisdictions.</w:t>
      </w:r>
    </w:p>
    <w:p>
      <w:pPr>
        <w:spacing w:after="0" w:line="10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operations are exposed to the risk that increased trade protectionism globally, including between the United States and China, and the imposition of tariffs or reciprocal tariffs could adversely affect our business. Governments may impose tariffs and other trade barriers to protect or revive their domestic industries in the face of foreign imports, which may depress the demand for shipping. Restrictions on imports, including in the form of tariffs, could have a major impact on global trade and the demand for shipping. Trade protectionism in the markets that we serve may cause an increase in the costs of exported goods, the length of time required to deliver goods, and the risks associated with exporting goods and, consequently, a decline in the volume of exported goods and demand for shipping.</w:t>
      </w:r>
    </w:p>
    <w:p>
      <w:pPr>
        <w:spacing w:after="0" w:line="10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If significant tariffs or other restrictions are imposed on imports by the U.S. and related countermeasures are taken by impacted foreign countries, our business, including operating results, cash flows, and financial condition, may be adversely affected.</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The current state of the world financial markets and economic conditions and geopolitical conflicts could have a material adverse impact on our results of operations, financial condition, and cash flows.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world economy continues to face a number of actual and potential challenges, including the continuing war between Russia and Ukraine; tensions in and around the Red Sea, between Russia and NATO, and between the U.S. and Venezuela, Greenland, and Denmark, respectively; disruption in the use of the Strait of Hormuz; political, economic, and social instability in Venezuela and the U.S. responses thereto; ongoing disputes between China and Taiwan; deteriorating trade relations between the U.S. and China; instability between Iran and the West, including the recent military conflict in Iran; hostilities between the U.S. and North Korea; ongoing political unrest and conflicts in the Middle East, the South China Sea region, and other regions throughout the world; changes in tariffs, trade barriers, and embargos, including recently imposed or announced tariffs by the U.S. and the effects of retaliatory tariffs and countermeasures from affected countries; growing tensions between the U.S. and Europe due to the Russia-Ukraine war and U.S. threats of tariffs on European Union imports; banking crises or failures; and global public health threats, including epidemics and pandemics or other disease outbreaks, such as COVID-19 and its variants, influenza, and other highly communicable diseases or viruses, outbreaks of which from time to time occur in various parts of the world in which we operate, including China. For example, due in part to fears associated with the spread of COVID-19 in 2020, global financial markets experienced significant volatility which may occur again if there is a new pandemic or if COVID-19 resurges or a variant or new infectious disease emerges.</w:t>
      </w:r>
    </w:p>
    <w:p>
      <w:pPr>
        <w:spacing w:after="0" w:line="9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addition, the continuing war in Ukraine, the length and breadth of which remains highly unpredictable, has led to increased economic uncertainty amidst fears of a more generalized military conflict or significant inflationary pressures, due to the increases in fuel and grain prices following the sanctions imposed on Russia. Furthermore, it is difficult to predict the intensity and duration of the conflict among the United States, Israel, and Iran, between Israel and Hamas, or the Houthi rebel attacks on shipping in and around the Red Sea and their impact on the world economy is uncertain. In July 2025, the Houthis pledged to target ships belonging to any company that conducts business with Israeli ports, and in September 2025 used a cruise missile and two drones to target a container ship. On October 9, 2025, Israel, Hamas, the United States, and other countries in the region agreed to a framework for a ceasefire in Gaza between Israel and Hamas, which if sustained could reduce regional instability in the Eastern Mediterranean. Whether the ceasefire will be sustained or will result in a lasting de-escalation of tensions in the region is unknown, however. Such events may have unpredictable consequences and contribute to instability in the global economy or cause a decrease in worldwide demand for certain goods and, thus, shipping.</w:t>
      </w:r>
    </w:p>
    <w:p>
      <w:pPr>
        <w:spacing w:after="0" w:line="11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Furthermore, on February 28, 2026, the United States and Israel launched strikes against Iran, killing Iran’s supreme leader Ayatollah Khamenei. In retaliation, Iranian missiles and drones targeted Israel and a number of countries that host U.S. military bases—including Bahrain, the United Arab Emirates, Kuwait, Qatar and Saudi Arabia—and Hezbollah fired projectiles at Israel. In retaliation, Iran has targeted ships in or near the Strait of Hormuz, a waterway essential to global trade, by mining the waterway and attacking vessels with drone and missile strikes, which has significantly compromised the safety of vessels and crew onboard in the region, and has resulted in the effective closure of the Strait of Hormuz to commercial traffic. Many shipping companies have rerouted their vessels away from transiting the Strait of Hormuz, which has significantly affected trading patterns, freight rates, and voyage expenses. While there is significant uncertainty about the duration of the armed conflict in Iran, these events have destabilized the region and may lead to further significant and prolonged disruptions across all sectors of the shipping industry.</w:t>
      </w:r>
    </w:p>
    <w:p>
      <w:pPr>
        <w:spacing w:after="0" w:line="11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Whether the present dislocation in the markets and resultant inflationary pressures will transition to a long-term inflationary environment is uncertain, and the effects of such a development on charter rates, vessel demand, and operating expenses in the sector in which we operate are uncertain. These issues, along with the re-pricing of credit risk and the difficulties currently experienced by financial institutions have made, and will likely continue to make, it difficult to obtain financing. As a result of the disruptions in the credit markets, many lenders have increased margins, enacted tighter lending standards, required more restrictive terms (including higher collateral ratios for advances, shorter maturities, and smaller loan amounts), or refused to refinance existing debt at all or on terms similar to our current debt. Furthermore, certain banks that have historically been significant lenders to the shipping industry have announced an intention to reduce or cease lending activities in the shipping industry. New banking regulations, including larger capital requirements and the resulting policies adopted by lenders, could reduce lending activities. We may experience difficulties obtaining financing commitments in the future if current or future lenders are unwilling to extend financing to us or unable to meet their funding obligations due to their own liquidity, capital, or solvency issues. The current state of global financial markets and current economic conditions might adversely impact our ability to issue additional equity at prices that will not be dilutive to our existing shareholders or preclude us from issuing equity at all.</w:t>
      </w:r>
    </w:p>
    <w:p>
      <w:pPr>
        <w:spacing w:after="0" w:line="11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cannot be certain that financing or refinancing will be available on acceptable terms or at all. If financing or refinancing is not available when needed, or is available only on unfavorable terms, we may be unable to meet our future obligations as they come due. Our failure to obtain such funds could have a material adverse effect on our business, results of operations, and financial condition, as well as our cash flows, including cash available for dividends to our shareholders. In the absence of available financing, we also may be unable to take advantage of business opportunities or respond to competitive pressures.</w:t>
      </w:r>
    </w:p>
    <w:p>
      <w:pPr>
        <w:spacing w:after="0" w:line="10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Further, we may not be able to access our existing cash due to market conditions. If banks and financial institutions enter receivership or become insolvent in the future in response to financial conditions affecting the banking system and financial markets, our ability to access our existing cash may be threatened and could have a material adverse effect on our business and financial condition.</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Recent actions by the U.S. and China imposing new port fees and related uncertainty in their implementation could have a material adverse effect on our operations and financial results.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United States Trade Representative (“USTR”) has recently put forward significant trade actions under Section 301 of the Trade Act of 1974 with the aim of addressing China’s dominance in the maritime, logistics, and shipbuilding industries. These actions have the potential to dramatically increase the port fees and therefore the overall operating expenses for ships calling at U.S. ports. Specifically, the USTR has enacted a series of fees that would function as direct increases to port-related costs.</w:t>
      </w:r>
    </w:p>
    <w:p>
      <w:pPr>
        <w:spacing w:after="0" w:line="12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action generally includes a fee targeting Chinese owners and operators for each instance a vessel owned or operated by a Chinese entity enters a U.S. port. The fee would be calculated at a rate of $50 per net ton of the vessel for each port entrance beginning October 14, 2025 and increasing over time, plateauing at $140 per net ton in 2028.</w:t>
      </w:r>
    </w:p>
    <w:p>
      <w:pPr>
        <w:spacing w:after="0" w:line="110"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Another fee focuses on operators with fleets comprised of Chinese-built vessels. Under the action, in the case of a vessel not subject to the fees on Chinese owners and operators described above, fees generally would be imposed each time a Chinese-built vessel enters a U.S. port. The fee relevant to our vessels generally would be calculated at a rate of $18 per net ton of the vessel for each port entrance, which became effective on October 14, 2025, and would increase over time, plateauing at $33 per net ton in 2028. There are several exceptions to this fee, including for vessels with capacity of 55,000 dwt or less, vessels arriving to the U.S. empty or in ballast, and vessels entering a port in the continental United States from a voyage of less than 2,000 nautical miles from a foreign port or point. Further, the applicability of the USTR port fees to sale and leaseback arrangements with Chinese leasing financiers remains uncertain.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1"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response to the USTR action, on October 10, 2025, China announced retaliatory port fees, effective October 14, 2025, applicable to vessels calling at Chinese ports which are built or flagged in the U.S. or owned or operated by certain U.S.-linked persons. There is significant uncertainty as to the scope of applicability of these new port fees and how they will be implemented.</w:t>
      </w:r>
    </w:p>
    <w:p>
      <w:pPr>
        <w:spacing w:after="0" w:line="110"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November 10, 2025, U.S. and Chinese authorities suspended the application of each respective set of port fees for a one year period. Substantial uncertainty remains as to how the port fees will be implemented and assessed after the end of the suspension period.</w:t>
      </w:r>
    </w:p>
    <w:p>
      <w:pPr>
        <w:spacing w:after="0" w:line="120"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Further retaliatory measures from China or other nations could further compound disruptions and cost increases within the global shipping industry. In addition to direct port fee increases, other retaliatory actions by China or other countries could indirectly impact port-related costs, disrupt global shipping patterns and potentially increase congestion and costs at ports worldwide, including U.S. ports.</w:t>
      </w:r>
    </w:p>
    <w:p>
      <w:pPr>
        <w:spacing w:after="0" w:line="110"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Given the potential magnitude of these port-related fees and the many uncertainties surrounding their implementation, it is not possible at this time to fully predict the ultimate financial impact. However, if the action or similar measures are implemented, port fees for our vessels or vessels we charter and our operating costs for voyages calling at U.S. or Chinese ports could materially increase.</w:t>
      </w:r>
    </w:p>
    <w:p>
      <w:pPr>
        <w:spacing w:after="0" w:line="110"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Even though port fees are typically borne by the charterer, if port fees are assessed due to our or the lessor’s ownership of the relevant vessel, it is possible that charterers may demand that we bear these costs or otherwise reduce the applicable charter rate. This, in turn, could significantly reduce our profitability, negatively impact our ability to compete effectively, and materially and adversely affect our operations and financial results.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have more difficulty entering into long-term charters if a more active and cheaper short-term or spot container shipping market develops.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At the expiration of our charters or if a charter terminates early for any reason or if we acquire vessels that are not subject to a charter, we will need to charter or recharter our vessels. If an excess of vessels is available on the spot or short-term market at the time we are seeking to fix new longer-term charters, we may have difficulty entering into such charters at all or at profitable rates and for any term other than short-term and, as a result, our cash flow may be subject to instability in the mid- to long-term. In addition, it would be more difficult to fix relatively older vessels should there be an oversupply of younger vessels on the market. A depressed spot market may require us to enter into short-term spot charters based on prevailing market rates, which could result in a decrease in our cash flow.</w:t>
      </w:r>
    </w:p>
    <w:p>
      <w:pPr>
        <w:spacing w:after="0" w:line="1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An over-supply of containership capacity may lead to reductions in charter hire rates and profitability.</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While the size of the containership orderbook has declined substantially since its peak in 2008/2009, the containership newbuilding orderbook as of December 31, 2025 represented approximately 34.5% of the total on the water fleet capacity. Further containerships are likely to be ordered. Notwithstanding scrapping, delivery of newly built containerships will likely result in an increase in the size of the world containership fleet over the next few years. An over-supply of containership capacity, combined with any decline in the rate of growth in demand for containerships, would be likely to result in a reduction of charter hire rates. If such a reduction occurs when we seek to charter newbuilding vessels, our growth opportunities may be diminished. If such a reduction occurs upon the expiration or termination of our containerships’ current time charters, we may only be able to recharter our containerships for reduced rates or unprofitable rates or we may not be able to recharter our containerships at all, which would have a material adverse effect on our business, financial condition, and results of operation.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competition in technology and innovation could reduce our charter hire income and the value of our vessels.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charter rates and the value and operational life of a vessel are determined by a number of factors, including the vessel’s efficiency, operational flexibility, and physical life. Efficiency includes a vessel’s speed and fuel economy. Flexibility includes a vessel’s ability to enter harbors, utilize related docking facilities, re-fuel, and pass through canals and straits together with other vessel specifications such as the capacity to carry temperature-controlled containers (reefers). Physical life is related to a vessel’s original design and construction, maintenance, retro-fits and upgrades, fuel compatibility, and ability to withstand the stress of operations. If new ship designs currently promoted by shipyards as being more fuel efficient perform, or if new containerships built in the future that are more efficient or flexible or have longer physical lives than our vessels, competition from these more technologically advanced containerships could adversely affect our ability to re-charter, the amount of charter-hire payments that we receive for our containerships once their current time charters expire, and the resale value of our containerships. This could adversely affect our ability to service our debt or pay dividends to our shareholders.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Piracy Related Risk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Acts of piracy on ocean-going vessels have increased in frequency, which could adversely affect our business.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Piracy is an inherent risk in the operation of ocean-going vessels and particularly affects vessels operating in specific regions of the world such as the Red Sea, the Indian Ocean, the South China Sea, the Gulf of Aden, the Gulf of Guinea region off the coast of Nigeria, the Strait of Malacca, the Arabian Sea, off the coast of West Africa, and off the coast of Somalia. Generally, we do not control the routing of our vessels, which is determined by the charterer. Pirate attacks on any of our vessels could result in the loss of life, the kidnapping of crew, or the theft, damage, or destruction of vessels or of containers or cargo being transported thereon. In addition, while we believe the charterer remains liable for charter payments when a vessel is seized by pirates, the charterer may dispute this and withhold charter hire until the vessel is released. A charterer may also claim that a vessel seized by pirates was not “on-hire” for a certain number of days and it is therefore entitled to cancel the charter party, a claim that we would dispute. We may not be adequately insured to cover losses from these incidents, which could have a material adverse effect on our business, results of operations, and financial condition. In addition, insurance premiums and costs such as onboard security guards, should we decide to employ them, could increase in such circumstances. Further, acts of piracy may materially adversely affect our charterer’s business, impairing its ability to make payments to us under our charters.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Terrorist attacks and international hostilities could affect our results of operations and financial condition.</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Terrorist attacks and the threat of future terrorist attacks and the continuing response of the United States and other countries to these attacks, which may include increased security costs and more rigorous inspection procedures at borders and ports, continue to cause uncertainty in the world financial markets and may affect our business, results of operations, and financial condition. From time to time, acts of terrorism, regional conflict, and other armed conflict around the world may contribute to further economic instability in the global financial markets. These uncertainties could also adversely affect our ability to obtain additional financing on terms acceptable to us or at all.</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Terrorist attacks targeted at oceangoing vessels may also negatively affect our future operations and financial condition from, for example, increased insurance costs, and directly impact our containerships or our charterer. Future terrorist attacks could result in increased market volatility or even a recession in the United States or elsewhere or negatively affect global financial markets and could further increase inspection and security requirements and regulation that could slow our operations and negatively affect our profitability. Any of these occurrences could have a material adverse impact on our operating results, revenue, and costs.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Vessels’ Trading Risks</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i w:val="1"/>
          <w:iCs w:val="1"/>
          <w:color w:val="auto"/>
        </w:rPr>
        <w:t>If our vessels call on ports located in countries or territories that are the subject of sanctions or embargoes imposed by the United States government, the European Union, the United Nations, or other governmental authorities, it could lead to monetary fines or other penalties and have a material adverse effect on the market for our securities.</w:t>
      </w:r>
    </w:p>
    <w:p>
      <w:pPr>
        <w:spacing w:after="0" w:line="107"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While none of our vessels called on ports located in countries or territories that are the subject of country-wide or territory-wide sanctions and/or embargoes imposed by the U.S. government or other authorities or countries identified by the U.S. government or other authorities as state sponsors of terrorism (“Sanctioned Jurisdictions”), and we endeavor to take precautions reasonably designed to mitigate such activities, it is possible that, on charterers’ instructions and without our consent, our vessels may call on ports located in Sanctioned Jurisdictions. If such activities result in a sanctions violation, we could be subject to monetary fines, penalties, or other sanctions, and our reputation and the market for our common shares could be adversely affected.</w:t>
      </w:r>
    </w:p>
    <w:p>
      <w:pPr>
        <w:spacing w:after="0" w:line="123" w:lineRule="exact"/>
        <w:rPr>
          <w:sz w:val="20"/>
          <w:szCs w:val="20"/>
          <w:color w:val="auto"/>
        </w:rPr>
      </w:pPr>
    </w:p>
    <w:p>
      <w:pPr>
        <w:jc w:val="both"/>
        <w:ind w:firstLine="240"/>
        <w:spacing w:after="0" w:line="274" w:lineRule="auto"/>
        <w:rPr>
          <w:sz w:val="20"/>
          <w:szCs w:val="20"/>
          <w:color w:val="auto"/>
        </w:rPr>
      </w:pPr>
      <w:r>
        <w:rPr>
          <w:rFonts w:ascii="Times New Roman" w:cs="Times New Roman" w:eastAsia="Times New Roman" w:hAnsi="Times New Roman"/>
          <w:sz w:val="11"/>
          <w:szCs w:val="11"/>
          <w:color w:val="auto"/>
        </w:rPr>
        <w:t>The applicable sanctions and embargo laws and regulations vary in their application, as they do not all apply to the same covered persons or proscribe the same activities and may be amended or strengthened over time. Current or future counterparties of ours may be affiliated with persons or entities that are or may be in the future the subject of sanctions imposed by the U.S., the EU, and/or other international bodies. If we determine that such sanctions require us to terminate existing or future contracts to which we or our subsidiaries are party or if we are found to be in violation of such applicable sanctions, our results of operations may be adversely affected or we may suffer reputational harm.</w:t>
      </w:r>
    </w:p>
    <w:p>
      <w:pPr>
        <w:spacing w:after="0" w:line="8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Although we believe that we have complied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and could result in some investors deciding, or being required, to divest their interest, or not to invest, in us. In addition, certain institutional investors may have investment policies or restrictions that prevent them from holding securities of companies that have contracts with Sanctioned Jurisdictions and certain financial institutions may have policies against lending or extending credit to companies that have contracts with Sanctioned Jurisdictions. The determination by these investors not to invest in, or to divest from, our common shares or the determination by these financial institutions not to offer financing may adversely affect the price at which our common shares trade. Moreover, our charterers may violate applicable sanctions and embargo laws and regulations as a result of actions that do not involve us or our vessels, and those violations could in turn negatively affect our reputation. In addition, our reputation and the market for our securities may be adversely affected if we engage in certain other activities, such as entering into charters with individuals or entities in countries or territories subject to U.S. sanctions and embargo laws that are not controlled by the governments of those countries or territories, or engaging in operations associated with those countries or territories pursuant to contracts with third parties that are unrelated to those countries or territories or entities controlled by their governments. Investor perception of the value of our common shares may be adversely affected by the consequences of war, the effects of terrorism, civil unrest, and governmental actions in these and surrounding countries.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smuggling of drugs, weapons, or other contraband and stowaways on our vessels may lead to governmental claims against us.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expect that our vessels will call in areas where smugglers attempt to hide drugs, weapons, and other contraband on vessels or stowaways attempt to board, with or without the knowledge of crew members. To the extent our vessels are found with contraband or stowaways, whether with or without the knowledge of any of our crew or charterers, we may face governmental or other regulatory claims, which could have a material adverse effect on our business, results of operations, cash flows, and financial condition.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exposed to significant risks in relation to compliance with anti-corruption laws and regulations.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business entails numerous interactions with government authorities, including port authorities, health, safety, and environment authorities, labor and tax authorities, and customs and immigration authorities. Furthermore, at our charterer’s direction, our vessels call at ports throughout the world, including in some countries where corruption is endemic. Although we have strict and adequate procedures prohibiting our employees or persons associated with us from making unlawful payments to government officials, we cannot guarantee that such payments may not be made despite our procedures and without our approval. In such case, such payments may be deemed to have violated anti-corruption laws potentially applicable to us, including the UK Bribery Act 2010, or the Bribery Act, and the U.S. Foreign Corrupt Practices Act, or the FCPA. Both civil and criminal penalties may be imposed on us as a result of violations of anti-corruption laws, and such penalties could have a material adverse impact on our reputation, business, and financial condition.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Risks inherent in the operation of containerships could impair the ability of the charterer to make payments to us, increase our costs or reduce the value of our assets.</w:t>
      </w:r>
    </w:p>
    <w:p>
      <w:pPr>
        <w:spacing w:after="0" w:line="13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containerships and their cargoes are at risk of being damaged or lost because of events such as marine accidents, bad weather, mechanical failures, human error, war, terrorism, piracy, environmental accidents, and other circumstances or events. Any of these events connected to our vessels or other vessels under the charterer’s control, or any other factor which negatively affects the charterer’s business such as economic downturn and significant cyclical depression in the container shipping industry, could impair the ability of the charterer to make payments to us pursuant to our charters. Although the charterer is obligated to pay us charter hire regardless of the amount of cargo being carried on board, it is possible that generally low cargo volumes and low freight rates or events noted above may render the charterer financially unable to pay us its hire. Furthermore, there is a risk that a vessel may become damaged, lost, or destroyed during normal operations and any such occurrence may cause us to incur additional expenses to repair or substitute the vessel or may render us unable to provide the vessel for chartering, which will cause us to lose charter revenue.</w:t>
      </w:r>
    </w:p>
    <w:p>
      <w:pPr>
        <w:spacing w:after="0" w:line="100"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These occurrences could also result in death or injury to persons, loss of property or environmental damage, loss of revenues from or termination of charter contracts, governmental fines, penalties, or restrictions on conducting business, higher insurance rates, and damage to our reputation and customer relationships generally. Any of these circumstances or events could increase our costs or lower our revenues, which could result in reduction in the market price of our common shares.</w:t>
      </w:r>
    </w:p>
    <w:p>
      <w:pPr>
        <w:spacing w:after="0" w:line="13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Governments could requisition our vessels during a period of war or emergency without adequate compensation, which under most of our time charter agreements would permit the customer to terminate the charter agreement for that vessel.</w:t>
      </w:r>
    </w:p>
    <w:p>
      <w:pPr>
        <w:spacing w:after="0" w:line="8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 government of a vessel’s registry could requisition one or more of our vessels. Requisition for title occurs when a government takes control of a vessel and becomes its owner, while requisition for hire occurs when a government takes control of a vessel and effectively becomes its charterer at dictated charter rates. Generally, requisitions occur during periods of war or emergency, although governments may elect to requisition vessels in other circumstances. Although we would likely be entitled to compensation in the event of a requisition of one or more of our vessels, the amount and timing of payment would be uncertain. Additionally, under most of our time charter agreements, if a vessel is requisitioned, our customer has the option to terminate the charter agreement within 14 days of receipt of notice of the requisition. Government requisition of one or more of our vessels may negatively impact our revenues and cash flow.</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If labor or other interruptions are not resolved in a timely manner, they could have an adverse effect on our business, results of operations, cash flows, financial condition, and available cash.</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addition to providing services to us, our technical managers are responsible for recruiting the senior officers and other crew members for our vessels. If not resolved in a timely and cost-effective manner, industrial action or other labor unrest or any other labor interruption could prevent or hinder our operations from being carried out as we expect and could have an adverse effect on our business, financial condition, operating results, distribution of dividends, or trading price of our common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Reliability of suppliers may limit our ability to obtain supplies and services when needed.</w:t>
      </w:r>
    </w:p>
    <w:p>
      <w:pPr>
        <w:spacing w:after="0" w:line="14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rely, and will continue to rely, on a significant supply of consumables, spare parts, and equipment to operate, maintain, repair, and upgrade our fleet of ships. Delays in delivery or unavailability of supplies could result in off-hire days due to consequent delays in the repair and maintenance of our fleet, which would negatively impact our revenues and cash flows. Cost increases could also negatively impact our future operations.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Safety Compliance Risks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Compliance with safety and other vessel requirements imposed by classification societies may be costly and may adversely affect our business and operating results.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hull and machinery of every commercial vessel must conform to the rules and standards of a classification society approved by the vessel’s country of registry. Such societies set the rules and standards for the design, construction, classification, and surveys of vessels and conduct surveys to determine whether vessels are in compliance with such rules and standards. A certification by a society is an attestation that the vessel is in compliance with the society’s rules and standards. A vessel involved in international trade must also conform to national and international regulations on safety, environment and security, including (but not limited to) the Safety of Life at Sea Convention, or SOLAS, and the International Convention for the Prevention of Pollution from Ships. A vessel conforms to such regulations by obtaining certificates from its country of registry and/or a classification society authorized by the country of registry.</w:t>
      </w:r>
    </w:p>
    <w:p>
      <w:pPr>
        <w:spacing w:after="0" w:line="10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 vessel must undergo annual surveys, intermediate surveys and special surveys. In lieu of a special or class renewal survey, a vessel’s machinery may be reviewed on a continuous survey cycle, under which the machinery would be surveyed over a five-year period. See “Item 4. Information on the Company—B. Business Overview—Inspection by Classification Societies” for more information regarding annual surveys, intermediate surveys and special surveys. Bureau Veritas, DNV, RINA, and KR, the classification societies for the vessels in our fleet, may approve and carry out in-water inspections of the underwater parts of our vessels once every three to five years, in lieu of drydocking inspections. In-water inspections are typically less expensive than drydocking inspections and we intend to conduct in-water inspections when that option is available to us.</w:t>
      </w:r>
    </w:p>
    <w:p>
      <w:pPr>
        <w:spacing w:after="0" w:line="13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If a vessel does not maintain its “in class” certification or fails any annual survey, intermediate survey or special survey, port authorities may detain the vessel, refuse her entry into port or refuse to allow her to trade resulting in the vessel being unable to trade and therefore rendering her unemployable. In the event that a vessel becomes unemployable, we could also be in violation of provisions in our charters, insurance coverage, or covenants in our loan agreements and ship registration requirements and our revenues and future profitability would be negatively affected.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are subject to evolving regulation and liability under environmental laws that could require significant expenditures and affect our cash flows and net income.</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business and the operation of our containerships are materially affected by environmental regulation in the form of international conventions, national, state, and local laws and regulations in force in the jurisdictions in which our containerships operate, as well as in the countries of their registration, including those governing the management and disposal of hazardous substances and wastes, the cleanup of oil spills and other contamination, air emissions, water discharges, ballast water management and vessel recycling. Because such conventions, laws and regulations are often revised, we cannot predict the ultimate cost or effect of complying with such requirements or the effect of such compliance on the current market value, resale price or useful life of our containerships. Additional conventions, laws and regulations may be adopted that could limit our ability to do business or increase the cost of our doing business, which may negatively impact our business, results of operations, and financial condition. In addition, any future decarbonization technologies may increase our costs, or we may be limited in our ability to apply them to commercial scale.</w:t>
      </w:r>
    </w:p>
    <w:p>
      <w:pPr>
        <w:spacing w:after="0" w:line="10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Environmental requirements, including in response to emissions reduction and decarbonization, may also require a reduction in cargo capacity, ship modifications or operational changes or restrictions, lead to decreased availability of insurance coverage for environmental matters or result in substantial penalties, fines or other sanctions, including the denial of access to certain jurisdictional waters or ports or detention in certain ports. Under local, national, and foreign laws, as well as international treaties and conventions, we could incur material liabilities, including cleanup obligations and natural resource damages, if there is a release of petroleum or other hazardous materials from our vessels or otherwise in connection with our operations. We could also become subject to personal injury or property damage claims relating to the release of hazardous materials associated with our operations, even if not carried as cargo.</w:t>
      </w:r>
    </w:p>
    <w:p>
      <w:pPr>
        <w:spacing w:after="0" w:line="10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In addition, in complying with existing environmental laws and regulations and those that may be adopted, we may incur significant costs in meeting new maintenance and inspection requirements and new restrictions on air emissions from our containerships, in managing ballast water, in developing contingency arrangements for potential spills and in obtaining insurance coverage. Government regulation of vessels, particularly in the areas of safety, security, and environmental requirements, can be expected to become stricter in the future and require us to incur significant capital expenditures on our vessels to keep them in compliance, or even to scrap or sell certain vessels altogether. Substantial violations of applicable requirements or a catastrophic release of bunker fuel from one or more of our containerships could harm our business, results of operations, and financial condition. For additional information about the environmental regulations to which we are subject, please read “Item 4. Information on the Company—B. Business Overview—Environmental and Other Regulations.”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2"/>
          <w:szCs w:val="12"/>
          <w:b w:val="1"/>
          <w:bCs w:val="1"/>
          <w:i w:val="1"/>
          <w:iCs w:val="1"/>
          <w:color w:val="auto"/>
        </w:rPr>
        <w:t>Increasing scrutiny and changing expectations from investors, lenders and other market participants with respect to our environmental, social and governance (“ESG”) policies may impose additional costs on us or expose us to additional risks.</w:t>
      </w:r>
    </w:p>
    <w:p>
      <w:pPr>
        <w:spacing w:after="0" w:line="10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Environmental impact (including emissions and decarbonization) is increasingly the subject of regulatory requirement and commercial pressure from our customers. Companies across all industries are facing increasing scrutiny relating to their ESG policies. Investor advocacy groups, certain institutional investors, investment funds, lenders, and other market participants are increasingly focused on ESG practices, especially as they relate to the environment, health and safety, diversity, labor conditions, and human rights in recent years, and have placed increasing importance on the implications and social cost of their investments. The expectations of these constituencies vary widely across nations and industries, and may conflict with each other in some instances. The increased focus and activism related to ESG and similar matters may hinder access to capital, as investors and lenders may decide to reallocate capital or to not commit capital as a result of their assessment of a company’s ESG practices. Failure to adapt to or comply with evolving investor, lender, or other industry shareholder expectations and standards or the perception of not responding appropriately to the growing concern for ESG issues, regardless of whether there is a legal requirement to do so, may damage such a company’s reputation or stock price, resulting in direct or indirect material and adverse effects on the company’s business and financial condition.</w:t>
      </w:r>
    </w:p>
    <w:p>
      <w:pPr>
        <w:spacing w:after="0" w:line="117"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Moreover, from time to time, in alignment with our sustainability priorities, we may establish and publicly announce goals and commitments in respect of certain ESG items and incur additional costs to do so. While we may create and publish voluntary disclosures regarding ESG matters from time to time, many of the statements in those voluntary disclosures are based on hypothetical expectations and assumptions that may or may not be representative of current or actual risks or events or forecasts of expected risks or events, including the costs associated therewith. Such expectations and assumptions are necessarily uncertain and may be prone to error or subject to misinterpretation given the long timelines involved and the lack of an established single approach to identifying, measuring, and reporting on many ESG matters. If we fail to achieve or improperly report on our progress toward achieving our environmental goals and commitments, the resulting negative publicity could adversely affect our reputation and/or our access to capital.</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Increased inspection procedures, tighter import and export controls, and new security regulations could increase costs and cause disruption of our containership business.</w:t>
      </w:r>
    </w:p>
    <w:p>
      <w:pPr>
        <w:spacing w:after="0" w:line="12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International container shipping is subject to security and customs inspection and related procedures in countries of origin, destination, and certain trans-shipment points. These inspection procedures can result in cargo seizure, delays in the loading, offloading, trans-shipment, or delivery of containers, and the levying of customs duties, fines, and other penalties against us.</w:t>
      </w:r>
    </w:p>
    <w:p>
      <w:pPr>
        <w:spacing w:after="0" w:line="9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Since the events of September 11, 2001, U.S. authorities have substantially increased container inspections. Government investment in non-intrusive container scanning technology has grown and there is interest in electronic monitoring technology, including so-called “e-seals” and “smart” containers, which would enable remote, centralized monitoring of containers during shipment to identify tampering with or opening of the containers, along with potentially measuring other characteristics such as temperature, air pressure, motion, chemicals, biological agents, and radiation. Also, as a response to the events of September 11, 2001, additional vessel security requirements have been imposed, including the installation of security alert and automatic identification systems on board vessels.</w:t>
      </w:r>
    </w:p>
    <w:p>
      <w:pPr>
        <w:spacing w:after="0" w:line="9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It is unclear what additional changes, if any, to the existing inspection and security procedures may ultimately be proposed or implemented in the future, or how any such changes will affect the industry. It is possible that such changes could impose additional financial and legal obligations on us. Furthermore, changes to inspection and security procedures could also impose additional costs and obligations on our customers and may, in certain cases, render the shipment of certain types of goods in containers uneconomical or impractical. Any such changes or developments could have a material adverse effect on our business, results of operations, financial condition, and ability to pay dividends to our shareholders.</w:t>
      </w:r>
    </w:p>
    <w:p>
      <w:pPr>
        <w:spacing w:after="0" w:line="96"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The operation of our vessels is also affected by the requirements set forth in the International Ship and Port Facilities Security Code, or the ISPS Code. The ISPS Code requires vessels to develop and maintain a ship security plan that provides security measures to address potential threats to the security of ships or port facilities. Although each of our containerships is ISPS Code certified, any failure to comply with the ISPS Code or maintain such certifications may subject us to increased liability and may result in denial of access to, or detention in, certain ports. Furthermore, compliance with the ISPS Code requires us to incur certain costs. Although such costs have not been material to date, if new or more stringent regulations relating to the ISPS Code are adopted by the International Maritime Organization, the United Nations agency for maritime safety and the prevention of pollution by vessels (the “IMO”), and the flag states, these requirements could require significant additional capital expenditures or otherwise increase the costs of our operations.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Sulfur regulations to reduce air pollution from vessels are likely to require retrofitting of vessels and may cause us to incur significant costs.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From January 1, 2020, vessels must comply with the IMO mandated sulfur emission limit of 0.5% m/m on the sulfur in fuel oil used on board. The interpretation of “fuel oil used on board” includes use in main engine, auxiliary engines, and boilers. This may be achieved by (i) using low sulfur fuel which may cost more than standard heavy fuel oil, (ii) installing scrubbers for cleaning exhaust gas, or (iii) retrofitting vessels to be powered by, for example, liquefied natural gas. The higher cost of low sulfur fuel is, in the first instance, borne by the vessel operator, or charterer, whereas the installation of scrubbers or retrofitting for an alternative fuel source would, in the first instance, be borne by us as the vessel owner. Contrary to initial concerns, the availability of low sulfur fuel has not been an issue for the industry and, to date, the pricing spread between high- and low-sulfur fuels has been much tighter than originally anticipated. Nevertheless, costs of compliance going forward may be significant and may have a material adverse effect on our future performance, results of operations, cash flows, and financial position.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Climate change risks and greenhouse gas restrictions may adversely impact our operations.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Due to concerns over the risks associated with climate change, a number of countries, the IMO, and other regulatory organizations have adopted, or are considering the adoption of, regulatory frameworks to reduce greenhouse gas emission from ships. These regulatory measures may include the adoption of cap and trade regimes, carbon taxes, increased efficiency standards, and incentives or mandates for renewable energy.</w:t>
      </w:r>
    </w:p>
    <w:p>
      <w:pPr>
        <w:spacing w:after="0" w:line="8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Maritime shipping is now included in the EU ETS as of 2024 with a phase-in period. Broadly, it is the “shipping company” that is either the ship owner or the ISM party contractually mandated to assume responsibility for EU ETS compliance, which is required to purchase and surrender emission allowances that represent their MRV-recorded carbon emission exposure for a specific reporting period (the “EU ETS Responsible Entity”). As part of the phased approach, shipping companies had to surrender 40% of their 2024 emissions in 2025 and will have to surrender 70% of their 2025 emissions in 2026 and 100% of their 2026 emissions in 2027. An EU ETS costs clause is also being mandated, which enables the shipping company to contractually pass on costs of EU ETS allowances to commercial operators. Compliance with the Maritime EU ETS will result in additional compliance and administration costs to properly incorporate the provisions of the Directive into our business routines. Additional EU regulations which are part of the EU’s Fit-for-55, such as the new FEUM regulation, will also affect our financial position in terms of compliance and administration costs when they take effect (see below). Effective January 1, 2024, we appointed Technomar, our technical ship manager, as the EU ETS Responsible Entity and amended our technical management agreements with Technomar to expand the scope of its responsibilities, accordingly.</w:t>
      </w:r>
    </w:p>
    <w:p>
      <w:pPr>
        <w:spacing w:after="0" w:line="1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FEUM compliance strategy must already be in place in order to ensure compliance of shipping companies with FuelEU, which came into effect from January 1, 2025. By August 31, 2024, shipping companies must have already submitted their FEUM monitoring plans to verifiers demonstrating how they, in conjunction with the commercial operators, plan to meet the greenhouse gas intensity targets set by FEUM Regulation and what monitoring methods and fuels they plan to use. The year 2026 is the first reporting year for shipping companies that fall under the scope of FEUM, as they are required to report on GHG intensity of their vessels for the 2025 compliance period by January 31, 2026. By April 30, 2026, shipping companies will be required to determine whether to comply with FuelEU by entering into pooling mechanisms with other shipping companies (including commercial operators) in order to achieve compliance, whether to bank any surplus emissions, whether to borrow compliance balances from future years, or whether to submit a penalty payment. FEUM is more technically challenging and legally complex than EU ETS and aims to increase demand for and use of renewable and low-carbon maritime fuels and decrease greenhouse gas emissions across the maritime sector. On average, the FuelEU penalty is €645/tonne, which is considerably higher than the cost of biofuels.</w:t>
      </w:r>
    </w:p>
    <w:p>
      <w:pPr>
        <w:spacing w:after="0" w:line="1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European Union is also intent on raising operational performance standards across the board and has adopted several regulations and directives requiring, among other things, more frequent inspections of high-risk ships, as determined by type, age, and flag, as well as the number of times the ship has been detained. It has also adopted and extended a ban on substandard ships and enacted a minimum ban period and a definitive ban for repeated offenses. The regulation also provided the European Union with greater authority and control over classification societies by imposing more requirements on classification societies and imposing fines or penalty payments on organizations that failed to comply. Furthermore, the EU has implemented regulations requiring vessels to use reduced sulfur content fuel for their main and auxiliary engines. Since January 1, 2015, vessels have been required to burn fuel with sulfur content not exceeding 0.1% while within EU member states’ territorial seas, exclusive economic zones, and pollution control zones that are included in “SOx Emission Control Areas.” EU Directive (EU) 2016/802 establishes limits on the maximum sulfur content of gas oils and heavy fuel oil and contains fuel-specific requirements for ships calling at EU ports.</w:t>
      </w:r>
    </w:p>
    <w:p>
      <w:pPr>
        <w:spacing w:after="0" w:line="10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the investment side, territorial taxonomy regulations in geographies where we are operating and are regulatorily liable, such as EU Taxonomy, might jeopardize the level of access to capital. For example, the EU has already introduced a set of criteria for sustainable economic activities, called EU Taxonomy. As long as we are an EU-based company meeting the NFRD prerequisites, we will be eligible for reporting our EU Taxonomy eligibility and alignment. Based on the current version of the Regulation, companies that own assets shipping fossil fuels are considered to be not aligned with EU Taxonomy. The outcome of such provision might be an increase in the cost of capital and/or gradually reduced access to financing as a result of financial institutions’ compliance with EU Taxonomy.</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58"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change of administration in the U.S. is also impacting the maritime industry’s role in tackling climate change. Emissions of greenhouse gases from international shipping currently are not subject to the Kyoto Protocol to the United Nations Framework Convention on Climate Change, or any amendments or successor agreements. The Paris Agreement adopted under the United Nations Framework Convention on Climate Change entered into force in 2016, requires nation parties thereto to take action to reduce greenhouse gas emissions and limit increases in global temperatures, but does not include any restrictions or other measures specific to shipping emissions. Restrictions on shipping emissions are likely to continue to be considered and a new treaty may be adopted in the future that includes additional restrictions on shipping emissions to those already adopted under MARPOL. In January 2025, President Trump signed an executive order to start the process of withdrawing the United States from the Paris Agreement, which was completed in January 2026.</w:t>
      </w:r>
    </w:p>
    <w:p>
      <w:pPr>
        <w:spacing w:after="0" w:line="99"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Any climate control legislation, or other regulatory initiatives that aim to reduce greenhouse gas emissions, may affect our business. Compliance with changes in laws, regulations, and obligations relating to climate change may affect the propulsion options in subsequent vessel designs and could increase our costs related to acquiring new vessels and operating and maintaining our existing ships, require us to install new emission controls, require that we acquire allowances or pay taxes related to our greenhouse gas emissions, or require that we administer and manage a greenhouse gas emissions program. Among other things, these risks may also include increases in the pricing of greenhouse gas emissions, new reporting regulations (such as, for example, the Corporate Sustainability Reporting Directive, applicable to certain companies from 2024, as discussed below), changes in legislation impacting existing products and services, costs of transitioning to lower-emission fuels and technologies, potential substitution or replacement of existing products and services, and stakeholder concerns and/or shifts in customer preferences which may have financial implications for our business and could lead us to retire existing assets prior to the end of the their currently-anticipated economic lives.</w:t>
      </w:r>
    </w:p>
    <w:p>
      <w:pPr>
        <w:spacing w:after="0" w:line="109"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For example, on March 6, 2024, the SEC adopted final rules to require registrants to disclose certain climate-related information in registration statements and annual reports. These rules were challenged in federal court before they became effective and ultimately the SEC withdrew its defense of the rules, essentially pausing the litigation. The final rules would have added extensive disclosure items requiring companies, including foreign private issuers, to disclose climate-related risks and certain emissions. If the SEC were to again adopt climate disclosure rules, or if it successfully defends the challenged rules that it previously adopted in 2024 and such rules become effective, then the costs of compliance with such new rules could be significant and may have a material adverse effect on our future performance, operating results, cash flows, and financial position.</w:t>
      </w:r>
    </w:p>
    <w:p>
      <w:pPr>
        <w:spacing w:after="0" w:line="11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addition to being exposed to the risk of legislative and regulatory change, our business is vulnerable to the underlying risks of climate change itself and may be directly or indirectly affected by climate-related changes such as rising sea levels, rising temperatures, changes in precipitation patterns, volatile and extreme weather, demographic change, and heightened risk of conflict, any of which could lead to, among other things, reduced demand for our services, increased operating and/or capital costs, and increased insurance premiums.</w:t>
      </w:r>
    </w:p>
    <w:p>
      <w:pPr>
        <w:spacing w:after="0" w:line="115" w:lineRule="exact"/>
        <w:rPr>
          <w:sz w:val="20"/>
          <w:szCs w:val="20"/>
          <w:color w:val="auto"/>
        </w:rPr>
      </w:pPr>
    </w:p>
    <w:p>
      <w:pPr>
        <w:ind w:right="4920" w:firstLine="240"/>
        <w:spacing w:after="0" w:line="453" w:lineRule="auto"/>
        <w:rPr>
          <w:sz w:val="20"/>
          <w:szCs w:val="20"/>
          <w:color w:val="auto"/>
        </w:rPr>
      </w:pPr>
      <w:r>
        <w:rPr>
          <w:rFonts w:ascii="Times New Roman" w:cs="Times New Roman" w:eastAsia="Times New Roman" w:hAnsi="Times New Roman"/>
          <w:sz w:val="12"/>
          <w:szCs w:val="12"/>
          <w:color w:val="auto"/>
        </w:rPr>
        <w:t xml:space="preserve">For further discussion, please see “Item 4. Information on the Company—B. Business—Environmental and Other Regulations.” </w:t>
      </w:r>
      <w:r>
        <w:rPr>
          <w:rFonts w:ascii="Times New Roman" w:cs="Times New Roman" w:eastAsia="Times New Roman" w:hAnsi="Times New Roman"/>
          <w:sz w:val="12"/>
          <w:szCs w:val="12"/>
          <w:b w:val="1"/>
          <w:bCs w:val="1"/>
          <w:i w:val="1"/>
          <w:iCs w:val="1"/>
          <w:color w:val="auto"/>
        </w:rPr>
        <w:t>European mandatory non-financial reporting regulations.</w:t>
      </w:r>
    </w:p>
    <w:p>
      <w:pPr>
        <w:spacing w:after="0" w:line="1"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2"/>
          <w:szCs w:val="12"/>
          <w:color w:val="auto"/>
        </w:rPr>
        <w:t>On November 10, 2022, the EU Parliament adopted the Corporate Sustainability Reporting Directive (“CSRD”). EU member states have 18 months to integrate it into national law. The CSRD will create new, detailed sustainability reporting requirements and will significantly expand the number of EU and non-EU companies subject to the EU sustainability reporting framework. The required disclosures will go beyond environmental and climate change reporting to include social and governance matters (for example, respect for employee and human rights, anti-corruption and bribery, corporate governance, and diversity and inclusion). In addition, it will require disclosure regarding the due diligence processes implemented by a company in relation to sustainability matters and the actual and potential adverse sustainability impacts of an in-scope company’s operations and value chain. The CSRD will begin to apply on a phased basis starting from financial year 2024 through to 2028 to large EU and non-EU entities, subject to certain financial and employee thresholds being met. If the CSRD is applicable to us, we may incur significant costs to prepare for and manage the administrative aspect of compliance with the CSRD. We note that following the publication of the Omnibus package of proposals on February 26, 2025, which are designed to simplify EU regulations and cut red tape, the application of all reporting requirements in the CSRD for companies that are due to report in 2026 and 2027 is postponed to 2028. The Omnibus package was approved by the EU Parliament on December 16, 2025, and will simplify compliance for small- and medium-sized enterprises, and all companies with up to 1,000 employees and less than EUR 450 million turnover will be outside the scope of the CSRD. For companies that fall within the scope of the CSRD, the European Commission will adopt a delegated act to revise and simplify the existing sustainability reporting standards. The CSRD will now apply to (a) EU undertakings and non-EU issuers that on an individual or group basis have more than EUR 450 million net turnover and 1,000 employees on average during the financial year; and (b) non-EU ultimate parent undertakings that have more than EUR 450 million net turnover generated in the EU (individually or on a consolidated basis) for each of the last two consecutive financial years and an EU subsidiary or a branch in the EU with more than EUR 200 million net turnover in the preceding financial year. New systems, including data management systems, personnel, and reporting procedures will have to be put in place, at a significant cost, to prepare for and manage the administrative aspect of CSRD compliance.</w:t>
      </w:r>
    </w:p>
    <w:p>
      <w:pPr>
        <w:spacing w:after="0" w:line="120"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Furthermore, a new Corporate Sustainability Due Diligence Directive (“CSDDD”) was also adopted on July 25, 2024, as part of the Fit for 55 Package and establishes a corporate due diligence duty. CSDDD was to apply to large companies with more than 1,000 employees and the turnover threshold EUR 450 million. However, following the approval of the Omnibus agreement on December, 16, 2025, CSDDD is now expected to apply from July 26, 2029 and the thresholds have now been revised to only apply to (a) EU undertakings that have or—if they are an ultimate parent undertaking, their group—has more than EUR 1.5 billion net turnover, and more than 5,000 employees on average during the financial year; and (b) non-EU undertakings that have or—if they are an ultimate parent undertaking, their group—has more than EUR 1.5 billion net turnover generated in the EU. The aim of CSDDD is to foster sustainable and responsible corporate behavior and to anchor human rights and environmental considerations in companies’ operations and corporate governance. The new rules endeavor to ensure that businesses address adverse impacts of their actions, including in their value chains inside and outside Europe. New systems, personnel, data management systems and reporting procedures will have to be put in place, at significant cost, to prepare for and manage the administrative aspect of CSDDD compliance.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Regulations relating to ballast water discharge that have been in effect since September 2019 may adversely affect our revenues and profitability.</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IMO has imposed updated guidelines for ballast water management systems specifying the maximum amount of viable organisms allowed to be discharged from a vessel’s ballast water. Existing vessels constructed before September 8, 2017, must comply with updated standards on or after September 8, 2019, with the exact date depending on the date of the next International Oil Pollution Prevention (“IOPP”) renewal survey. For most vessels, compliance with the standard will involve installing on-board systems to treat ballast water to eliminate unwanted organisms. Ships constructed on or after September 8, 2017, are obligated to comply with the standards on or after September 8, 2017. Pursuant to the BWM Convention, ballast water management systems (or BWMS) installed on or after October 28, 2020 shall be approved in accordance with BWMS Code. Amendment to the BWM Convention on the testing of BWMS and the form of the International Ballast Water Management Certificate became effective in June 2022. Currently, all of our vessels are fitted with an approved ballast water management system.</w:t>
      </w:r>
    </w:p>
    <w:p>
      <w:pPr>
        <w:spacing w:after="0" w:line="10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Furthermore, United States regulations are evolving. Although the 2013 Vessel General Permit (“VGP”) program and the U.S. National Invasive Species Act (“NISA”) are currently in effect to regulate ballast discharge, exchange, and installation, the Vessel Incidental Discharge Act (“VIDA”), which was signed into law on December 4, 2018, requires that the U.S. Environmental Protection Agency (“EPA”) develop implementation, compliance, and enforcement regulations regarding ballast water. On October 26, 2020, the EPA published a Notice of Proposed Rulemaking for Vessel Incident Discharge National Standards of Performance under VIDA, and held virtual public meetings in November 2020. On September 20, 2024, the EPA finalized national standards of performance for non-recreational vessels 79-feet in length and longer with respect to incidental discharges and on October 9, 2024, the Vessel Incidental Discharge National Standards of Performance were published. Within two years of publication, the USCG is required to develop corresponding implementation regulations; until then, the 2013 VGP requirements remain in place. The 2013 VGP provides two options to shipowners or operators to obtain permit coverage: a Notice of Intent, or NOI, or retention of a Permit Authorization and Record of Inspection (PARI) form and submission of annual reports.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 Our vessels are equipped with ballast water treatment systems compliant with EPA requirements.</w:t>
      </w:r>
    </w:p>
    <w:p>
      <w:pPr>
        <w:spacing w:after="0" w:line="10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New regulations could require the installation of new equipment, which may cause us to incur substantial costs.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Risks Relating to our Common Stock and Depositary Shares Representing Series B Preferred Shares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cannot guarantee that our Board of Directors will declare dividends or otherwise return cash to shareholders.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Board of Directors may, in its sole discretion, from time to time, declare and pay cash dividends in accordance with our dividend policy or determine to return cash to shareholders in other ways, such as share repurchases. Our Board of Directors makes determinations regarding the payment of dividends in its sole discretion, and there is no guarantee that we will continue to declare and pay dividends in the future. The timing and amount of any dividends declared will depend on, among other things, (a) our results of operations, financial condition, cash flow, and cash requirements, (b) our liquidity, including our ability to obtain debt and equity financing on acceptable terms as contemplated by our vessel acquisition strategy, (c) restrictive covenants in our existing and future debt instruments, and (d) provisions of Marshall Islands law. The declaration and payment of dividends is also subject at all times to the discretion of our Board of Directors.</w:t>
      </w:r>
    </w:p>
    <w:p>
      <w:pPr>
        <w:spacing w:after="0" w:line="1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international containership and containership leasing industry is highly volatile, and we cannot predict with certainty the amount of cash, if any, that will be available for distribution as dividends in any period. Also, there may be a high degree of variability from period to period in the amount of cash, if any, that is available for the payment of dividends. The amount of cash we generate from operations and the actual amount of cash we will have available for dividends in each quarter will vary based upon, among other things:</w:t>
      </w:r>
    </w:p>
    <w:p>
      <w:pPr>
        <w:spacing w:after="0" w:line="124" w:lineRule="exact"/>
        <w:rPr>
          <w:sz w:val="20"/>
          <w:szCs w:val="20"/>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charter-hire payments we obtain from our charters and the rates obtained upon the expiration of our existing charters;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acquisition of additional vessels;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scheduled drydockings;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timing of interest payments, scheduled debt amortization payments, and other payments that might be due under our debt facilities;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delays in the delivery of newbuilding vessels, if any, and the beginning of payments under charters relating to those vessels;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level of our operating costs, such as the costs of crews, lubricants, and insurance;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unscheduled off-hire days for our fleet and the timing of, and number of days required for, scheduled dry-docking of our containerships;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idle time after one charter expires until a new charter is agreed or the vessel is disposed of, should a new charter not be agreed;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unexpected repairs to, or required expenditures on, vessels or dry-docking costs in excess of those anticipated;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vessel;</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prevailing global and regional economic and geopolitical conditions;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interest rates;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 of governmental regulations and maritime self-regulatory organization standards on the conduct of our business;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changes in the basis of taxation of our activities in various jurisdictions;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modification or revocation of our dividend policy by our Board of Directors;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cash reserves established by our Board of Directors.</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amount of cash we generate from our operations may differ materially from our net income or loss for the period, which will be affected by non-cash items. We may incur other expenses or liabilities that could reduce or eliminate the cash available for distribution as dividends or to be returned to shareholders in other ways.</w:t>
      </w:r>
    </w:p>
    <w:p>
      <w:pPr>
        <w:spacing w:after="0" w:line="90"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2"/>
          <w:szCs w:val="12"/>
          <w:color w:val="auto"/>
        </w:rPr>
        <w:t>In addition, Marshall Islands law generally prohibits the payment of dividends other than from surplus (</w:t>
      </w:r>
      <w:r>
        <w:rPr>
          <w:rFonts w:ascii="Times New Roman" w:cs="Times New Roman" w:eastAsia="Times New Roman" w:hAnsi="Times New Roman"/>
          <w:sz w:val="12"/>
          <w:szCs w:val="12"/>
          <w:i w:val="1"/>
          <w:iCs w:val="1"/>
          <w:color w:val="auto"/>
        </w:rPr>
        <w:t>i.e.,</w:t>
      </w:r>
      <w:r>
        <w:rPr>
          <w:rFonts w:ascii="Times New Roman" w:cs="Times New Roman" w:eastAsia="Times New Roman" w:hAnsi="Times New Roman"/>
          <w:sz w:val="12"/>
          <w:szCs w:val="12"/>
          <w:color w:val="auto"/>
        </w:rPr>
        <w:t xml:space="preserve"> retained earnings and the excess of consideration received from the sale of shares above the par value of the shares) or if there is no surplus, from the net profits for the current and prior fiscal years, or while a company is insolvent or if it would be rendered insolvent by the payment of such a dividend. We may not have sufficient surplus or net profits in the future to pay dividends, and our subsidiaries may not have sufficient funds, surplus, or net profits to make distributions to us. As a result of these and other factors, we may not be able to pay dividends during periods when we record losses and may not pay dividends during periods when we record net income. We can give no assurance that dividends will be paid in the future or that cash will be returned to shareholders in other ways.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The price of our securities may be volatile.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price of our common shares and Depositary Shares representing Series B Preferred Shares may be volatile and may fluctuate due to factors such as:</w:t>
      </w:r>
    </w:p>
    <w:p>
      <w:pPr>
        <w:spacing w:after="0" w:line="141" w:lineRule="exact"/>
        <w:rPr>
          <w:sz w:val="20"/>
          <w:szCs w:val="20"/>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anticipated fluctuations in our quarterly revenues and results of operations and those of publicly held containership owners or operators;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conditions in the industry;</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perceived counterparty risk;</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shortfalls in our operating results from levels forecasted by securities analysts;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announcements concerning us or other containership owners or operators;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mergers and strategic alliances in the shipping industry;</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government regulation, including taxation;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state of the securities markets.</w:t>
      </w:r>
    </w:p>
    <w:p>
      <w:pPr>
        <w:spacing w:after="0" w:line="12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The international containership industry is highly unpredictable and volatile. The market for common shares and Depositary Shares representing Series B Preferred Shares in companies operating in this industry may be equally volatile.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have anti-takeover provisions in our organizational documents that may discourage a change of control.</w:t>
      </w:r>
    </w:p>
    <w:p>
      <w:pPr>
        <w:spacing w:after="0" w:line="145" w:lineRule="exact"/>
        <w:rPr>
          <w:sz w:val="20"/>
          <w:szCs w:val="20"/>
          <w:color w:val="auto"/>
        </w:rPr>
      </w:pPr>
    </w:p>
    <w:p>
      <w:pPr>
        <w:ind w:firstLine="240"/>
        <w:spacing w:after="0" w:line="248" w:lineRule="auto"/>
        <w:rPr>
          <w:sz w:val="20"/>
          <w:szCs w:val="20"/>
          <w:color w:val="auto"/>
        </w:rPr>
      </w:pPr>
      <w:r>
        <w:rPr>
          <w:rFonts w:ascii="Times New Roman" w:cs="Times New Roman" w:eastAsia="Times New Roman" w:hAnsi="Times New Roman"/>
          <w:sz w:val="12"/>
          <w:szCs w:val="12"/>
          <w:color w:val="auto"/>
        </w:rPr>
        <w:t>Certain provisions of our Amended and Restated Articles of Incorporation and our Fourth Amended and Restated Bylaws may have an anti-takeover effect and may delay, defer, or prevent a tender offer or takeover attempt that a shareholder might consider in its best interest, including those attempts that might result in a premium over the market price for the shares held by shareholders.</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Certain of these provisions provide for:</w:t>
      </w:r>
    </w:p>
    <w:p>
      <w:pPr>
        <w:spacing w:after="0" w:line="150" w:lineRule="exact"/>
        <w:rPr>
          <w:sz w:val="20"/>
          <w:szCs w:val="20"/>
          <w:color w:val="auto"/>
        </w:rPr>
      </w:pPr>
    </w:p>
    <w:p>
      <w:pPr>
        <w:ind w:left="540" w:hanging="188"/>
        <w:spacing w:after="0"/>
        <w:tabs>
          <w:tab w:leader="none" w:pos="5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classified Board of Directors with staggered three-year terms;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on business combinations with certain interested shareholders;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only to be removed for cause and only with the affirmative vote of holders of at least a majority of the common shares entitled to vote in the election of directors;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 notice for nominations of directors by shareholders and for shareholders to include matters to be considered at annual meetings;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limited ability for shareholders to call special shareholder meetings.</w:t>
      </w:r>
    </w:p>
    <w:p>
      <w:pPr>
        <w:spacing w:after="0" w:line="123"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These anti-takeover provisions could make it more difficult for a third party to acquire us, even if the third party’s offer may be considered beneficial by many shareholders. As a result, shareholders may be limited in their ability to obtain a premium for their shares.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subject to certain risks relating to the inability to obtain the minimum quorum established in our Amended and Restated Articles of Incorporation and our Fourth Amended and Restated Bylaws for the conduct of business at shareholder meetings.</w:t>
      </w:r>
    </w:p>
    <w:p>
      <w:pPr>
        <w:spacing w:after="0" w:line="9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Amended and Restated Articles of Incorporation and our Fourth Amended and Restated Bylaws require a quorum of the majority of our common stock outstanding in order to conduct business at any meeting of shareholders (including our annual meetings of shareholders). Due to the increased size and diversified nature of our shareholder base, it has become administratively more difficult to obtain the current quorum at shareholder meetings. Preparing proxy materials, including the printing and mailing of such materials to shareholders, together with proxy solicitation in order to reach the quorum requirement, is costly. Further, adjourning shareholder meetings for failure to obtain the requisite quorum also leads to increased costs. If we are unable to obtain the minimum quorum requirement to conduct business at shareholder meetings, we may be unable to effectively conduct certain business.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management is required to devote substantial time to complying with public company regulations.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As a public company, we incur significant legal, accounting, and other expenses. In addition, the Sarbanes-Oxley Act of 2002 (“Sarbanes-Oxley”) as well as rules subsequently adopted by the SEC and the New York Stock Exchange (“NYSE”), including the Dodd-Frank Wall Street Reform and Consumer Protection Act of 2010, have imposed various requirements on public companies, including changes in corporate governance practices. Our directors, management, and other personnel devote a substantial amount of time to comply with these requirements. Moreover, these rules and regulations relating to public companies increase our legal and financial compliance costs and make some activities more time-consuming and costly.</w:t>
      </w:r>
    </w:p>
    <w:p>
      <w:pPr>
        <w:spacing w:after="0" w:line="107" w:lineRule="exact"/>
        <w:rPr>
          <w:sz w:val="20"/>
          <w:szCs w:val="20"/>
          <w:color w:val="auto"/>
        </w:rPr>
      </w:pPr>
    </w:p>
    <w:p>
      <w:pPr>
        <w:jc w:val="both"/>
        <w:ind w:right="20" w:firstLine="240"/>
        <w:spacing w:after="0" w:line="238" w:lineRule="auto"/>
        <w:rPr>
          <w:sz w:val="20"/>
          <w:szCs w:val="20"/>
          <w:color w:val="auto"/>
        </w:rPr>
      </w:pPr>
      <w:r>
        <w:rPr>
          <w:rFonts w:ascii="Times New Roman" w:cs="Times New Roman" w:eastAsia="Times New Roman" w:hAnsi="Times New Roman"/>
          <w:sz w:val="12"/>
          <w:szCs w:val="12"/>
          <w:color w:val="auto"/>
        </w:rPr>
        <w:t>Sarbanes-Oxley requires, among other things, that we maintain and periodically evaluate our internal control over financial reporting and disclosure controls and procedures. In particular, under Section 404 of the Sarbanes-Oxley Act of 2002, we are required to include in each of our annual reports on Form 20-F a report containing our management’s assessment of the effectiveness of our internal control over financial reporting and, if we are an accelerated filer or a large accelerated filer, a related attestation of our independent registered public accounting firm. While we did not identify any material weaknesses or significant deficiencies in our internal controls under the current assessment, we cannot be certain at this time that our internal controls will be considered effective in future assessments and that our independent registered public accounting firm would reach a similar conclusion. Therefore, we can give no assurances that our internal control over financial reporting will satisfy regulatory requirements in the future.</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We are a “foreign private issuer” under the NYSE rules, and as such we are entitled to exemption from certain NYSE corporate governance standards, and you may not have the same protections afforded to shareholders of companies that are subject to all of the NYSE corporate governance requirements.</w:t>
      </w:r>
    </w:p>
    <w:p>
      <w:pPr>
        <w:spacing w:after="0" w:line="98"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We are a “foreign private issuer” under the securities laws of the United States and the rules of the NYSE. Under the securities laws of the United States, “foreign private issuers” are subject to different disclosure requirements than U.S. domiciled registrants, as well as different financial reporting requirements. Under the NYSE rules, a “foreign private issuer” is subject to less stringent corporate governance requirements. Subject to certain exceptions, the rules of the NYSE permit a “foreign private issuer” to follow its home country practice in lieu of the listing requirements of the NYSE.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Accordingly, you may not have the same protections afforded to shareholders of companies that are subject to all of the NYSE corporate governance requirements.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Future sales of our common stock could cause the market price of our common stock to decline.</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Sales of a substantial number of shares of our common stock in the public market, or the perception that these sales could occur, may depress the market price for our common stock. These sales could also impair our ability to raise additional capital through the sale of our equity securities in the future.</w:t>
      </w:r>
    </w:p>
    <w:p>
      <w:pPr>
        <w:spacing w:after="0" w:line="110"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Subject to the rules of the NYSE, in the future, we may issue additional shares of common stock, and other equity securities of equal or senior rank, without shareholder approval, in a number of circumstances. The issuance by us of additional shares of common stock or other equity securities of equal or senior rank would have the following effects:</w:t>
      </w:r>
    </w:p>
    <w:p>
      <w:pPr>
        <w:spacing w:after="0" w:line="255" w:lineRule="exact"/>
        <w:rPr>
          <w:sz w:val="20"/>
          <w:szCs w:val="20"/>
          <w:color w:val="auto"/>
        </w:rPr>
      </w:pPr>
    </w:p>
    <w:p>
      <w:pPr>
        <w:ind w:left="540" w:hanging="188"/>
        <w:spacing w:after="0"/>
        <w:tabs>
          <w:tab w:leader="none" w:pos="5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existing shareholders’ proportionate ownership interest in us may decrease;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dividend amount payable per share on our common stock may be lower;</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voting strength of each previously outstanding share may be diminished;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price of our common stock may decline.</w:t>
      </w:r>
    </w:p>
    <w:p>
      <w:pPr>
        <w:spacing w:after="0" w:line="12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shareholders also may elect to sell large numbers of shares held by them from time to time. The number of shares of common stock available for sale in the public market will be limited by restrictions applicable under securities laws, and agreements that we and our executive officers, directors, and existing shareholders may enter into with the underwriters at the time of an offering. Subject to certain exceptions, these agreements generally restrict us and our executive officers, directors, and existing shareholders from directly or indirectly offering, selling, pledging, hedging, or otherwise disposing of our equity securities or any security that is convertible into or exercisable or exchangeable for our equity securities and from engaging in certain other transactions relating to such securities for a period of up to 180 days after the date of an offering prospectus without the prior written consent of the underwriter(s).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We may not have sufficient cash from our operations to enable us to pay dividends on or to redeem our Series B Preferred Shares, and accordingly the Depositary Shares, as the case may be.</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pay quarterly dividends on the Series B Preferred Shares, and accordingly the Depositary Shares, only from funds legally available for such purpose when, as, and if declared by our Board of Directors. We may not have sufficient cash available each quarter to pay dividends. In addition, if our Board of Directors does not authorize and declare a dividend for any dividend period prior to the relevant dividend payment date, holders of the Series B Preferred Shares and accordingly the Depositary Shares would not be entitled to receive a dividend for that dividend period. However, any unpaid dividends will accumulate. In addition, we have the option to redeem the Series B Preferred Shares, and accordingly the Depositary Shares, although we may have insufficient cash available to do so or may otherwise elect not to do so.</w:t>
      </w:r>
    </w:p>
    <w:p>
      <w:pPr>
        <w:spacing w:after="0" w:line="12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amount of cash we can use to pay dividends or redeem our Series B Preferred Shares and the Depositary Shares depends upon the amount of cash we generate from our operations, which may fluctuate significantly, and other factors, including the following:</w:t>
      </w:r>
    </w:p>
    <w:p>
      <w:pPr>
        <w:spacing w:after="0" w:line="119" w:lineRule="exact"/>
        <w:rPr>
          <w:sz w:val="20"/>
          <w:szCs w:val="20"/>
          <w:color w:val="auto"/>
        </w:rPr>
      </w:pPr>
    </w:p>
    <w:p>
      <w:pPr>
        <w:ind w:left="540" w:hanging="188"/>
        <w:spacing w:after="0"/>
        <w:tabs>
          <w:tab w:leader="none" w:pos="5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our operating cash flow, capital expenditure requirements, working capital requirements, and other cash needs;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cash reserves established by our Board of Directors;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under Marshall Islands law as described below;</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restrictions under our credit facilities and other instruments and agreements governing our existing and future debt as described below; and</w:t>
      </w:r>
    </w:p>
    <w:p>
      <w:pPr>
        <w:spacing w:after="0" w:line="150" w:lineRule="exact"/>
        <w:rPr>
          <w:rFonts w:ascii="Times New Roman" w:cs="Times New Roman" w:eastAsia="Times New Roman" w:hAnsi="Times New Roman"/>
          <w:sz w:val="12"/>
          <w:szCs w:val="12"/>
          <w:color w:val="auto"/>
        </w:rPr>
      </w:pPr>
    </w:p>
    <w:p>
      <w:pPr>
        <w:ind w:left="540" w:right="20" w:hanging="188"/>
        <w:spacing w:after="0" w:line="279" w:lineRule="auto"/>
        <w:tabs>
          <w:tab w:leader="none" w:pos="54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overall financial and operating performance, which, in turn, is subject to prevailing economic and competitive conditions and to the risks associated with the shipping industry and other factors (see “—Risks Relating to our Business” above), many of which are beyond our control.</w:t>
      </w:r>
    </w:p>
    <w:p>
      <w:pPr>
        <w:spacing w:after="0" w:line="8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amount of cash we generate from our operations may differ materially from our net income or loss for the period, which will be affected by noncash items, and our Board of Directors in its discretion may elect not to declare any dividends. We may incur other expenses or liabilities that could reduce or eliminate the cash available for distribution as dividends. As a result of these and the other factors mentioned above, we may pay dividends during periods when we record losses and may not pay dividends during periods when we record net income.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ability to pay dividends on and to redeem our Series B Preferred Shares is limited by the requirements of Marshall Islands law and by our contractual obligations.</w:t>
      </w:r>
    </w:p>
    <w:p>
      <w:pPr>
        <w:spacing w:after="0" w:line="13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Marshall Islands law provides that we may pay dividends on and redeem the Series B Preferred Shares only to the extent that assets are legally available for such purposes. Legally available assets generally are limited to our surplus, which essentially represents our retained earnings and the excess of consideration received by us for the sale of shares above the par value of the shares. In addition, under Marshall Islands law we may not pay dividends on or redeem Series B Preferred Shares if we are insolvent or would be rendered insolvent by the payment of such a dividend or the making of such redemption.</w:t>
      </w:r>
    </w:p>
    <w:p>
      <w:pPr>
        <w:spacing w:after="0" w:line="106"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Further, the terms of our credit facilities may prohibit us from declaring or paying any dividends or distributions on preferred stock, including the Series B Preferred Shares, or redeeming, purchasing, acquiring, or making a liquidation payment on preferred stock in certain circumstances.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Risks Relating to Tax Matters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Our operating income could fail to qualify for an exemption from U.S. federal income taxation, which would reduce our cash flow.</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do not expect to be engaged in a U.S. trade or business. In the case of a foreign corporation that is not so engaged, the Internal Revenue Code of 1986, as amended (the “Code”), imposes a 4% U.S. federal income tax (without allowance of any deductions) on 50% of the corporation’s gross transportation income that is attributable to transportation that begins or ends, but that does not both begin and end, in the United States, unless the corporation qualifies for the exemption provided in Section 883 of the Code or an applicable income tax treaty. The imposition of this tax, to the extent not payable by our charterers, could have a negative effect on our business, financial condition and results of operations.</w:t>
      </w:r>
    </w:p>
    <w:p>
      <w:pPr>
        <w:spacing w:after="0" w:line="98"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We will qualify for the exemption under Section 883 if, among other things, our stock is treated as primarily and regularly traded on an established securities market in the United States. However, under the relevant Treasury regulations, a class of stock will not be treated as primarily and regularly traded on an established securities market if, during more than half the number of days during the taxable year, one or more shareholders who actually or constructively own at least 5% of the vote and value of the outstanding shares of such class of stock (“5% Shareholders”), own, in the aggregate, 50% or more of the vote and value of the outstanding shares of such class of stock, unless a sufficient amount of stock is owned by 5% Shareholders that are considered to be “qualified shareholders” to preclude non-qualifying 5% Shareholders from owning 50% or more of the total value of the stock held by the 5% Shareholders group.</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Generally, a 5% Shareholder is a qualified 5% Shareholder if the 5% Shareholder is an individual who is a resident of a qualified foreign country, the government of a qualified foreign country, a foreign corporation organized in a qualified foreign country that meets the “publicly-traded” test discussed herein, a non-profit organization organized in a qualified foreign country or an individual beneficiary (resident in a qualified foreign country) of a pension plan administered in or by a qualified foreign country. Generally, a foreign country is a qualified foreign country if it grants an equivalent exemption from tax to corporations organized in the United States.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information that we have as to our shareholders and other matters, we believe that we qualified for the Section 883 exemption for 2023 through 2025, under the “publicly-traded” test. Whether we may satisfy the “publicly-traded” test depends on factors that are outside of our control, and we cannot provide any assurances that we will or will not satisfy the “publicly-traded” test to claim exemption from U.S. taxation for 2026 or future taxable years. See Item “10. Additional Information—E. Taxation—Taxation of Global Ship Lease—The Section 883 exemption” for a more comprehensive discussion of the U.S. federal income tax rules related to Section 883.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Certain adverse U.S. federal income tax consequences could arise for U.S. holders.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Shareholders of a “passive foreign investment company,” or PFIC, that are U.S. persons within the meaning of the Code (“U.S. shareholders”) are subject to a disadvantageous U.S. federal income tax regime with respect to the distributions they receive from a PFIC and the gain, if any, they derive from the sale or other disposition of their shares in a PFIC (as discussed below). In addition, dividends paid by a PFIC do not constitute qualified dividend income and, hence, are ineligible for the preferential rate of tax that applies to qualified dividend income.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 foreign corporation is treated as a PFIC if either (1) 75% or more of its gross income for any taxable year consists of certain types of “passive income” or (2) 50% or more of the average value of the corporation’s assets produce or are held for the production of those types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w:t>
      </w:r>
    </w:p>
    <w:p>
      <w:pPr>
        <w:spacing w:after="0" w:line="9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this regard, we have been advised by our tax advisor that the income from our time and voyage chartering activities should be classified as services income. There is, however, no direct legal authority under the PFIC rules addressing our current and projected future operations or supporting our position. Accordingly, no assurance can be given that the U.S. Internal Revenue Service (the “IRS”) will not assert that we are a PFIC with respect to any taxable year, nor that a court would not uphold any such assertion.</w:t>
      </w:r>
    </w:p>
    <w:p>
      <w:pPr>
        <w:spacing w:after="0" w:line="10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Further, in a case not concerning PFICs, Tidewater Inc. v. U.S., 2009-1 USTC 50,337, the Fifth Circuit held that a vessel time charter at issue generated rental, rather than services, income. However, the court’s ruling was contrary to the position of the IRS that the time charter income should be treated as services income. Subsequently, the IRS has stated that it disagrees with and will not acquiesce to the rental versus services distinction in the Tidewater decision, and in its discussion stated that the time charters at issue in Tidewater would be treated as producing services income for PFIC purposes. The IRS’s statement with respect to Tidewater cannot be relied upon or otherwise cited as precedent by taxpayers. Further, the facts in Tidewater are not directly analogous to our facts. No assurance can be given that the IRS or a court of law would accept our position, and there is a risk that the IRS or a court of law could determine that the company is a PFIC.</w:t>
      </w:r>
    </w:p>
    <w:p>
      <w:pPr>
        <w:spacing w:after="0" w:line="99"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If the IRS were to determine that we are or have been a PFIC for any taxable year, our U.S. shareholders will face adverse U.S. tax consequences. Distributions paid by us with respect to our shares will not constitute qualified dividend income if we were a PFIC in the year we pay a dividend or in the prior taxable year and, hence, will not be eligible for the preferential rate of tax that applies to qualified dividend income. In addition, our U.S. shareholders (other than shareholders who have made a “qualified electing fund” or “mark-to-market” election) will be subject to special rules relating to the taxation of “excess distributions”—with excess distributions being defined to include certain distributions we may make on our Class A common shares as well as gain recognized by a U.S. holder on a disposition of our Class A common shares. In general, the amount of any “excess distribution” will be allocated ratably to each day of the U.S. holder’s holding period for our Class A common shares. The amount allocated to the current year and any taxable year prior to the first taxable year for which we were a PFIC will be included in the U.S. holder’s gross income for the current year as ordinary income. With respect to amounts allocated to prior years for which we were a PFIC, the tax imposed for the current year will be increased by the “deferred tax amount,” which is an amount calculated with respect to each prior year by multiplying the amount allocated to such year by the highest rate of tax in effect for such year, together with an interest charge as though the amounts of tax were overdue. See Item 10.E. “Additional Information—Taxation—Tax consequences of holding Class A common shares—Consequences of possible passive foreign investment company classification.” for a more comprehensive discussion of the U.S. federal income tax consequences to U.S. shareholders if we were treated as a PFIC (including those applicable to U.S. shareholders who make a qualified electing fund or mark-to-market election).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Changes in tax laws and unanticipated tax liabilities could materially and adversely affect the taxes we pay, results of operations and financial results.</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and our vessel owning subsidiaries may be subject to tax in certain jurisdictions in which we are organized, own assets or have operations, which would reduce the amount of our cash available for distribution. In computing our tax obligations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or a change in law in a jurisdiction in which we operate (including Hong Kong), where certain inactive Hong Kong subsidiaries (one was dissolved in 2025 and two remain inactive as of December 31, 2025) are also liable for income tax on interest income earned from non-shipping activities, could result in additional tax imposed on us, further reducing the cash available for distribution.</w:t>
      </w:r>
    </w:p>
    <w:p>
      <w:pPr>
        <w:spacing w:after="0" w:line="99"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Tax laws, including tax rates, in the jurisdictions in which we operate may change as a result of macroeconomic or other factors outside of our control. For example, various governments and organizations such as the European Union and Organization for Economic Co-operation and Development (the “OECD”) are increasingly focused on tax reform and other legislative or regulatory action to increase tax revenue. In January 2019, the OECD announced further work in continuation of its Base Erosion and Profit Shifting project, focusing on two “pillars”. Pillar One provides a framework for the reallocation of certain residual profits of multinational enterprises to market jurisdictions where goods or services are used or consumed. Pillar Two consists of two interrelated rules referred to as Global Anti-Base Erosion Rules, which operate to impose a minimum tax rate of 15% calculated on a jurisdictional basis on multinational enterprise groups with consolidated annual revenues of at least €750 million in at least two of the four preceding fiscal years. The reforms aim to level the playing field between countries by discouraging them from reducing their corporate income taxes to attract foreign business investment. In 2024, these guidelines were declared effective and must now be or have been enacted by those OECD member countries. Also in 2024, Greece enacted legislation implementing Pillar Two. In certain jurisdictions, including Greece, qualifying international shipping income is generally excluded from the computation of the effective tax rate for purposes of determining any global minimum tax liability, provided that the applicable exemption requirements are satisfied. However, the interpretation and application of these rules remain subject to evolving administrative guidance and regulatory developments. If we are in the scope of OECD’s Pillar Two rules, including due to our inability to satisfy the requirements of the international shipping exemption, the amount of taxes we incur in those jurisdictions, our global effective tax rate, and our cost of compliance could significantly increase, which could have a material adverse impact on our results of operations, cash flows, and financial condition.</w:t>
      </w:r>
    </w:p>
    <w:p>
      <w:pPr>
        <w:spacing w:after="0" w:line="110"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addition, GSL Enterprises Ltd., a wholly-owned subsidiary of ours, operates a branch office in Greece licensed under Article 25 of Greek Law 27/1975 as a ship-broking and chartering office. This branch provides ship-broking, administrative and related support services to us and our vessel-owning subsidiaries, and is subject to a separate regulatory and tax framework applicable to Article 25 offices. Such offices benefit from exemptions from ordinary Greek income taxation and certain indirect taxes in respect of income generated within the scope of their approved activities, provided that prescribed operational conditions are satisfied, including the importation of foreign currency to fund local expenses. Pursuant to Article 43 of Greek Law 4111/2013, these offices are instead subject to a special contribution mechanism calculated by reference to foreign currency funds introduced into Greece, the payment of which is intended to satisfy the Greek income tax liability arising from the activities carried out by the branch. Any modification to the regulatory or tax treatment of Article 25 offices, including changes affecting the contribution regime or licensing conditions, could increase our compliance costs or tax exposure and may adversely affect our results of operations, cash flows, and financial condition.</w:t>
      </w:r>
    </w:p>
    <w:p>
      <w:pPr>
        <w:spacing w:after="0" w:line="123" w:lineRule="exact"/>
        <w:rPr>
          <w:sz w:val="20"/>
          <w:szCs w:val="20"/>
          <w:color w:val="auto"/>
        </w:rPr>
      </w:pPr>
    </w:p>
    <w:p>
      <w:pPr>
        <w:ind w:left="240"/>
        <w:spacing w:after="0"/>
        <w:tabs>
          <w:tab w:leader="none" w:pos="820" w:val="left"/>
        </w:tabs>
        <w:rPr>
          <w:sz w:val="20"/>
          <w:szCs w:val="20"/>
          <w:color w:val="auto"/>
        </w:rPr>
      </w:pPr>
      <w:r>
        <w:rPr>
          <w:rFonts w:ascii="Times New Roman" w:cs="Times New Roman" w:eastAsia="Times New Roman" w:hAnsi="Times New Roman"/>
          <w:sz w:val="12"/>
          <w:szCs w:val="12"/>
          <w:b w:val="1"/>
          <w:bCs w:val="1"/>
          <w:color w:val="auto"/>
        </w:rPr>
        <w:t>Item 4.</w:t>
      </w:r>
      <w:r>
        <w:rPr>
          <w:sz w:val="20"/>
          <w:szCs w:val="20"/>
          <w:color w:val="auto"/>
        </w:rPr>
        <w:tab/>
      </w:r>
      <w:r>
        <w:rPr>
          <w:rFonts w:ascii="Times New Roman" w:cs="Times New Roman" w:eastAsia="Times New Roman" w:hAnsi="Times New Roman"/>
          <w:sz w:val="11"/>
          <w:szCs w:val="11"/>
          <w:b w:val="1"/>
          <w:bCs w:val="1"/>
          <w:color w:val="auto"/>
        </w:rPr>
        <w:t>Information on the Company</w:t>
      </w:r>
    </w:p>
    <w:p>
      <w:pPr>
        <w:spacing w:after="0" w:line="15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A. History and Development of the Company</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legal and commercial name is Global Ship Lease, Inc. We are a Republic of the Marshall Islands corporation that owns a fleet of mid-sized and smaller containerships which we charter out under fixed-rate charters to reputable container shipping companies.</w:t>
      </w:r>
    </w:p>
    <w:p>
      <w:pPr>
        <w:spacing w:after="0" w:line="8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mailing address of our principal executive office is c/o GSL Enterprises Ltd., 9 Irodou Attikou Street, Kifisia, Athens 14561, Greece and our telephone number at that address is +30 210 6233670. Our agent in the United States is Puglisi &amp; Associates, 850 Library Avenue, Suite 204, Newark, Delaware 19711. The SEC maintains an Internet site that contains reports, proxy and information statements, and other information regarding issuers that file electronically with the SEC. The address of the SEC’s Internet site is http://www.sec.gov. Our website address is http://www.globalshiplease.com. None of the information contained on these websites is incorporated herein by reference or forms a part of this Annual Report. From time to time, we may use our website and social media outlets as channels of distribution of material company information.</w:t>
      </w:r>
    </w:p>
    <w:p>
      <w:pPr>
        <w:spacing w:after="0" w:line="10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were formed in 2007 pursuant to the Marshall Islands Business Corporations Act to purchase and charter back 17 containerships then owned or to be purchased by CMA CGM, at that time the third largest containership operator in the world by number of vessels. On August 14, 2008, we merged indirectly with Marathon Acquisition Corp. (the “Marathon Merger”) and became listed on the NYSE on August 15, 2008.</w:t>
      </w:r>
    </w:p>
    <w:p>
      <w:pPr>
        <w:spacing w:after="0" w:line="10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November 15, 2018, we completed a transformative transaction by which we acquired 20 containerships, one of which was contracted to be sold, which we refer to as the “Poseidon Transaction.” On the closing of the Poseidon Transaction, we issued as consideration 3,005,603 Class A common shares and 250,000 Series C Preferred Shares, which were converted to an aggregate of 12,955,188 Class A common shares in January 2021, and assumed debt in the amount of $509.7 million.</w:t>
      </w:r>
    </w:p>
    <w:p>
      <w:pPr>
        <w:spacing w:after="0" w:line="10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Since the Poseidon Transaction, we have continued to expand our fleet, and have acquired 41 additional vessels; this includes the Newly Acquired Vessels that we agreed to purchase in December 2025 for an aggregate price of $90.0 million, of which two were delivered to us in December 2025 and the last one in January 2026. In addition, during May 2025, we agreed to sell an older vessel Dimitris Y (5,936 TEU, built 2000), which was delivered to her new owners on October 13, 2025.</w:t>
      </w:r>
    </w:p>
    <w:p>
      <w:pPr>
        <w:spacing w:after="0" w:line="120"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of March 12, 2026, we owned 71 mid-sized and smaller containerships, ranging from 2,207 to 11,040 TEU, with an aggregate capacity of 423,003 TEU. 41 ships are wide-beam Post-Panamax. See “Item 4. Information on the Company—B. Business Overview.”</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Class A Common Shares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July 2023, our Board of Directors replenished our share repurchase program with the authorization of our repurchase of an additional $40.0 million of Class A common shares (our “Share Repurchase Program”). During the year ended December 31, 2023, we repurchased an aggregate of 1,242,663 Class A common shares at an average price of $17.68 per share, for a total of $22.0 million.</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2023, 440,698 Class A common shares were issued under the Global Ship Lease, Inc. 2019 Omnibus Incentive Plan (the “Equity Incentive Plan”).</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2023, there were 35,188,323 Class A common shares outstanding.</w:t>
      </w:r>
    </w:p>
    <w:p>
      <w:pPr>
        <w:spacing w:after="0" w:line="14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During the period from January 1, 2024 through the date of this Annual Report, we repurchased an aggregate of 251,772 Class A common shares for an average purchase price of $19.84 per share, for a total of $5.0 million. As of the date of this Annual Report, we have remaining approximately $33.0 million available for repurchases under our Share Repurchase Program.</w:t>
      </w:r>
    </w:p>
    <w:p>
      <w:pPr>
        <w:spacing w:after="0" w:line="110"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August 16, 2024, we entered into an equity distribution agreement under which we could, from time to time, opportunistically offer and sell Class A common shares having an aggregate offering price of up to $100.0 million (the “Prior Common Shares ATM Program”). As of December 31, 2024, we issued 27,106 Class A common shares pursuant to the Prior Common Shares ATM Program at an average price of $27.02. The Prior Common Shares ATM Program expired on September 16, 2025, and was renewed and replaced by the Common Shares ATM Program (discussed below).</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2024, 483,713 Class A common shares were issued under the Equity Incentive Plan.</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2024, there were 35,447,370 Class A common shares outstanding.</w:t>
      </w:r>
    </w:p>
    <w:p>
      <w:pPr>
        <w:spacing w:after="0" w:line="12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September 23, 2025, we renewed and replaced our Prior Common Shares ATM Program, on similar terms, and in connection therewith, entered into a new equity distribution agreement, pursuant to which we may, from time to time, offer and sell up to $100.0 million of our Class A common shares, in aggregate (the “Common Shares ATM Program”). At the time of such expiration, remaining capacity under the Prior Common Share ATM Program was approximately $99.3 million (out of the original $100.0 million). We did not sell any Class A common shares under the Common Shares ATM Program in 2025.</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the year ended December 31, 2025, 466,258 Class A common shares were issued under the Equity Incentive Plan.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2025, there were 35,913,628 Class A common shares outstanding.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Depositary Shares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August 20, 2014, we issued 1,400,000 Depositary Shares (the “Depositary Shares”), each of which represents 1/100th of one share of our Series B Preferred Shares representing an interest in a total of 14,000 Series B Preferred Shares, par value $0.01 per share, with a liquidation preference of $2,500.00 per share (equivalent to $25.00 per Depositary Share), priced at $25.00 per Depositary Share (NYSE:GSL-B). Dividends are payable at 8.75% per annum in arrears on a quarterly basis. At any time after August 20, 2019 (or within 180 days after the occurrence of a fundamental change), the Series B Preferred Shares may be redeemed, at our discretion, in whole or in part, at a redemption price of $2,500.00 per share (equivalent to $25.00 per Depositary Share).</w:t>
      </w:r>
    </w:p>
    <w:p>
      <w:pPr>
        <w:spacing w:after="0" w:line="12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December 29, 2022, we entered into an At Market Issuance Sales Agreement, pursuant to which we could offer and sell, from time to time, up to $150.0 million of our Depositary Shares (the “Prior Depositary Shares ATM Program”). During the years ended December 31, 2022, 2023 and 2024, we did not sell any Depositary Shares under the Depositary Shares ATM Program. The Prior Depositary Shares ATM Program expired on September 16, 2025, and was renewed and replaced by the Depositary Shares ATM Program (discussed below).</w:t>
      </w:r>
    </w:p>
    <w:p>
      <w:pPr>
        <w:spacing w:after="0" w:line="102"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On September 23, 2025, we renewed and replaced our Prior Depositary Shares ATM Program, on similar terms, and in connection therewith, entered into a new At Market Issuance Sales Agreement, pursuant to which we may, from time to time, offer and sell up to $150.0 million of our Depositary Shares, in aggregate (the “Preferred Shares ATM Program”). The Preferred Shares ATM program renewed and replaced our prior “at the market” offering program that was in place with B. Riley Securities, Inc., on similar terms, which expired on September 16, 2025 (the “Prior Preferred Shares ATM Program”). At the time of such expiration, no sales were made under the Prior Preferred Shares ATM Program. We did not sell any shares under the Preferred Shares ATM Program in 2025.</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at December 31, 2025, 4,359,190 Depositary Shares were outstanding, representing an interest in 43,592 Series B Preferred Shares.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Recent Developments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February 12, 2025, we announced that our Board of Directors declared a dividend of $0.45 per Class A common share for the fourth quarter of 2024, that was paid on March 6, 2025 to common shareholders of record as of February 24, 2025. This follows dividends of $0.375 per Class A common share paid for the first quarter of 2024 and $0.45 per Class A common share paid for each of the second and third quarters of 2024.</w:t>
      </w:r>
    </w:p>
    <w:p>
      <w:pPr>
        <w:spacing w:after="0" w:line="9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March 5, 2025, we announced an increase in our supplemental quarterly dividend by $0.075 per Class A common share (subject to declaration by our Board of Directors), representing an 16.7% increase, at that time, on our quarterly dividend of $0.45 per Class A common share (taking into account regular and supplemental quarterly dividend). Following the announced increase, our Board of Directors declared a dividend of $0.525 per Class A common share for the first quarter of 2025, which was paid on June 3, 2025 to shareholders of record as of May 23, 2025.</w:t>
      </w:r>
    </w:p>
    <w:p>
      <w:pPr>
        <w:spacing w:after="0" w:line="12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March 6, 2025, our Board of Directors declared a dividend of $0.546875 per Depositary Share, which was paid on April 1, 2025 to all Series B Preferred Shareholders of record as of March 25, 2025.</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June 4, 2025, our Board of Directors declared a dividend of $0.546875 per Depositary Share, which was paid on July 1, 2025 to all Series B Preferred Shareholders of record as of June 23, 2025.</w:t>
      </w:r>
    </w:p>
    <w:p>
      <w:pPr>
        <w:spacing w:after="0" w:line="13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July 8, 2025, we announced updates to three leading credit rating agencies. Moody’s Investor Service has maintained its Ba2 Corporate Family Rating, with a stable outlook, S&amp;P Global Ratings has affirmed its long-term issuer credit rating of BB+, with a stable outlook, and the Kroll Bond Rating Agency has kept our corporate rating at BB+, with a stable outlook, while also affirming the BBB/stable investment grade rating and outlook for our 5.69% Senior Secured Notes due 2027.</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August 5, 2025, our Board of Directors declared a dividend of $0.525 per Class A common share for the second quarter of 2025, which was paid on September 4, 2025 to common shareholders of record as of August 22, 2025.</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September 10, 2025, our Board of Directors declared a dividend of $0.546875 per Depositary Share, which was paid on October 1, 2025 to all Series B Preferred Shareholders of record as of September 24, 2025.</w:t>
      </w:r>
    </w:p>
    <w:p>
      <w:pPr>
        <w:spacing w:after="0" w:line="13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November 10, 2025, we declared a dividend of $0.625 per Class A common share for the third quarter of 2025,which was paid on December 4, 2025 to common shareholders of record as of November 21, 2025. Our Board of Directors determined that sustained market demand for our fleet and our progress on securing forward fixtures at attractive levels supports a $0.10 per share increase in our quarterly supplemental dividend, amounting to a 19.0% increase in total annualized dividends per share, to $2.50 ($0.625 per quarter).</w:t>
      </w:r>
    </w:p>
    <w:p>
      <w:pPr>
        <w:spacing w:after="0" w:line="11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December 8, 2025, we announced that our Board of Directors declared a dividend of $0.546875 per Depositary Share, which was paid on January 2, 2026 to all Series B Preferred Shareholders of record as of December 23, 2025.</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February 11, 2026, our Board of Directors declared a dividend of $0.625 per Class A common share for the fourth quarter of 2025, that was paid on March 6, 2026 to common shareholders of record as of February 24, 2026.</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March 9, 2026, our Board of Directors declared a dividend of $0.546875 per Depositary Share, scheduled to be paid on April 1, 2026 to all Series B Preferred Shareholders of record as of March 25, 2026.</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8. Financial Information – Dividend Policy.”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B. Business Overview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Fleet</w:t>
      </w:r>
    </w:p>
    <w:p>
      <w:pPr>
        <w:spacing w:after="0" w:line="14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color w:val="auto"/>
        </w:rPr>
        <w:t xml:space="preserve">As of December 31, 2025, there were 70 containerships in the fleet, and 71 containerships total as of February 28, 2026, including the third Newly Acquired Vessel, </w:t>
      </w:r>
      <w:r>
        <w:rPr>
          <w:rFonts w:ascii="Times New Roman" w:cs="Times New Roman" w:eastAsia="Times New Roman" w:hAnsi="Times New Roman"/>
          <w:sz w:val="12"/>
          <w:szCs w:val="12"/>
          <w:i w:val="1"/>
          <w:iCs w:val="1"/>
          <w:color w:val="auto"/>
        </w:rPr>
        <w:t>Cypress,</w:t>
      </w:r>
      <w:r>
        <w:rPr>
          <w:rFonts w:ascii="Times New Roman" w:cs="Times New Roman" w:eastAsia="Times New Roman" w:hAnsi="Times New Roman"/>
          <w:sz w:val="12"/>
          <w:szCs w:val="12"/>
          <w:color w:val="auto"/>
        </w:rPr>
        <w:t xml:space="preserve"> which was delivered to us in January 2026. Charters agreed up until February 28, 2026, are detailed in the table below:</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360" w:type="dxa"/>
            <w:vAlign w:val="bottom"/>
          </w:tcPr>
          <w:p>
            <w:pPr>
              <w:spacing w:after="0"/>
              <w:rPr>
                <w:sz w:val="13"/>
                <w:szCs w:val="13"/>
                <w:color w:val="auto"/>
              </w:rPr>
            </w:pPr>
          </w:p>
        </w:tc>
        <w:tc>
          <w:tcPr>
            <w:tcW w:w="14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1420" w:type="dxa"/>
            <w:vAlign w:val="bottom"/>
          </w:tcPr>
          <w:p>
            <w:pPr>
              <w:jc w:val="center"/>
              <w:ind w:left="580"/>
              <w:spacing w:after="0"/>
              <w:rPr>
                <w:sz w:val="20"/>
                <w:szCs w:val="20"/>
                <w:color w:val="auto"/>
              </w:rPr>
            </w:pPr>
            <w:r>
              <w:rPr>
                <w:rFonts w:ascii="Times New Roman" w:cs="Times New Roman" w:eastAsia="Times New Roman" w:hAnsi="Times New Roman"/>
                <w:sz w:val="12"/>
                <w:szCs w:val="12"/>
                <w:b w:val="1"/>
                <w:bCs w:val="1"/>
                <w:color w:val="auto"/>
                <w:w w:val="99"/>
              </w:rPr>
              <w:t>Capacity</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Lightweight (tons)</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Year</w:t>
            </w: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Charterer</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Latest Charter</w:t>
            </w: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Daily Charter Rate $</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420" w:type="dxa"/>
            <w:vAlign w:val="bottom"/>
            <w:vMerge w:val="restart"/>
          </w:tcPr>
          <w:p>
            <w:pPr>
              <w:jc w:val="center"/>
              <w:ind w:left="600"/>
              <w:spacing w:after="0"/>
              <w:rPr>
                <w:sz w:val="20"/>
                <w:szCs w:val="20"/>
                <w:color w:val="auto"/>
              </w:rPr>
            </w:pPr>
            <w:r>
              <w:rPr>
                <w:rFonts w:ascii="Times New Roman" w:cs="Times New Roman" w:eastAsia="Times New Roman" w:hAnsi="Times New Roman"/>
                <w:sz w:val="12"/>
                <w:szCs w:val="12"/>
                <w:b w:val="1"/>
                <w:bCs w:val="1"/>
                <w:color w:val="auto"/>
              </w:rPr>
              <w:t>in TEUs</w:t>
            </w:r>
          </w:p>
        </w:tc>
        <w:tc>
          <w:tcPr>
            <w:tcW w:w="1240" w:type="dxa"/>
            <w:vAlign w:val="bottom"/>
            <w:vMerge w:val="continue"/>
          </w:tcPr>
          <w:p>
            <w:pPr>
              <w:spacing w:after="0"/>
              <w:rPr>
                <w:sz w:val="7"/>
                <w:szCs w:val="7"/>
                <w:color w:val="auto"/>
              </w:rPr>
            </w:pPr>
          </w:p>
        </w:tc>
        <w:tc>
          <w:tcPr>
            <w:tcW w:w="580" w:type="dxa"/>
            <w:vAlign w:val="bottom"/>
            <w:vMerge w:val="restart"/>
          </w:tcPr>
          <w:p>
            <w:pPr>
              <w:ind w:left="120"/>
              <w:spacing w:after="0"/>
              <w:rPr>
                <w:sz w:val="20"/>
                <w:szCs w:val="20"/>
                <w:color w:val="auto"/>
              </w:rPr>
            </w:pPr>
            <w:r>
              <w:rPr>
                <w:rFonts w:ascii="Times New Roman" w:cs="Times New Roman" w:eastAsia="Times New Roman" w:hAnsi="Times New Roman"/>
                <w:sz w:val="12"/>
                <w:szCs w:val="12"/>
                <w:b w:val="1"/>
                <w:bCs w:val="1"/>
                <w:color w:val="auto"/>
              </w:rPr>
              <w:t>Built</w:t>
            </w:r>
          </w:p>
        </w:tc>
        <w:tc>
          <w:tcPr>
            <w:tcW w:w="1200" w:type="dxa"/>
            <w:vAlign w:val="bottom"/>
            <w:vMerge w:val="continue"/>
          </w:tcPr>
          <w:p>
            <w:pPr>
              <w:spacing w:after="0"/>
              <w:rPr>
                <w:sz w:val="7"/>
                <w:szCs w:val="7"/>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Expiry Date</w:t>
            </w:r>
          </w:p>
        </w:tc>
        <w:tc>
          <w:tcPr>
            <w:tcW w:w="1220" w:type="dxa"/>
            <w:vAlign w:val="bottom"/>
            <w:vMerge w:val="restart"/>
          </w:tcPr>
          <w:p>
            <w:pPr>
              <w:jc w:val="center"/>
              <w:spacing w:after="0" w:line="180" w:lineRule="exact"/>
              <w:rPr>
                <w:sz w:val="20"/>
                <w:szCs w:val="20"/>
                <w:color w:val="auto"/>
              </w:rPr>
            </w:pPr>
            <w:r>
              <w:rPr>
                <w:rFonts w:ascii="Times New Roman" w:cs="Times New Roman" w:eastAsia="Times New Roman" w:hAnsi="Times New Roman"/>
                <w:sz w:val="12"/>
                <w:szCs w:val="12"/>
                <w:b w:val="1"/>
                <w:bCs w:val="1"/>
                <w:color w:val="auto"/>
                <w:w w:val="97"/>
              </w:rPr>
              <w:t xml:space="preserve">Expiry Date </w:t>
            </w:r>
            <w:r>
              <w:rPr>
                <w:rFonts w:ascii="Times New Roman" w:cs="Times New Roman" w:eastAsia="Times New Roman" w:hAnsi="Times New Roman"/>
                <w:sz w:val="19"/>
                <w:szCs w:val="19"/>
                <w:color w:val="auto"/>
                <w:w w:val="97"/>
                <w:vertAlign w:val="superscript"/>
              </w:rPr>
              <w:t>(2)</w:t>
            </w:r>
          </w:p>
        </w:tc>
        <w:tc>
          <w:tcPr>
            <w:tcW w:w="1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136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vMerge w:val="continue"/>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vMerge w:val="continue"/>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vMerge w:val="continue"/>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CMA CGM Thalassa</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w w:val="96"/>
              </w:rPr>
              <w:t>11,040</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38,577</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2008</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3Q28</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1Q29</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47,200</w:t>
            </w:r>
          </w:p>
        </w:tc>
        <w:tc>
          <w:tcPr>
            <w:tcW w:w="0" w:type="dxa"/>
            <w:vAlign w:val="bottom"/>
          </w:tcPr>
          <w:p>
            <w:pPr>
              <w:spacing w:after="0"/>
              <w:rPr>
                <w:sz w:val="1"/>
                <w:szCs w:val="1"/>
                <w:color w:val="auto"/>
              </w:rPr>
            </w:pPr>
          </w:p>
        </w:tc>
      </w:tr>
      <w:tr>
        <w:trPr>
          <w:trHeight w:val="171"/>
        </w:trPr>
        <w:tc>
          <w:tcPr>
            <w:tcW w:w="1360" w:type="dxa"/>
            <w:vAlign w:val="bottom"/>
          </w:tcPr>
          <w:p>
            <w:pPr>
              <w:ind w:left="180"/>
              <w:spacing w:after="0" w:line="171" w:lineRule="exact"/>
              <w:rPr>
                <w:sz w:val="20"/>
                <w:szCs w:val="20"/>
                <w:color w:val="auto"/>
              </w:rPr>
            </w:pPr>
            <w:r>
              <w:rPr>
                <w:rFonts w:ascii="Times New Roman" w:cs="Times New Roman" w:eastAsia="Times New Roman" w:hAnsi="Times New Roman"/>
                <w:sz w:val="12"/>
                <w:szCs w:val="12"/>
                <w:color w:val="auto"/>
              </w:rPr>
              <w:t xml:space="preserve">ZIM Norfolk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9,115</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31,764</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2Q32</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4Q32</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65,000 </w:t>
            </w:r>
            <w:r>
              <w:rPr>
                <w:rFonts w:ascii="Times New Roman" w:cs="Times New Roman" w:eastAsia="Times New Roman" w:hAnsi="Times New Roman"/>
                <w:sz w:val="19"/>
                <w:szCs w:val="19"/>
                <w:color w:val="auto"/>
                <w:w w:val="94"/>
                <w:vertAlign w:val="superscript"/>
              </w:rPr>
              <w:t>(3)</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Anthea Y </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9,115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31,890</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(4)</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ZIM Xiamen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9,115</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31,820</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3Q32</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4Q32</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4"/>
              </w:rPr>
              <w:t xml:space="preserve">65,000 </w:t>
            </w:r>
            <w:r>
              <w:rPr>
                <w:rFonts w:ascii="Times New Roman" w:cs="Times New Roman" w:eastAsia="Times New Roman" w:hAnsi="Times New Roman"/>
                <w:sz w:val="19"/>
                <w:szCs w:val="19"/>
                <w:color w:val="auto"/>
                <w:w w:val="94"/>
                <w:vertAlign w:val="superscript"/>
              </w:rPr>
              <w:t>(3)</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Sydney Express </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9,019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31,254</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(5)</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Istanbul Express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9,019</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31,380</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2016</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3Q26</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2Q30</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(5)</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2"/>
                <w:szCs w:val="12"/>
                <w:color w:val="auto"/>
                <w:w w:val="95"/>
              </w:rPr>
              <w:t xml:space="preserve">Bremerhaven Express </w:t>
            </w:r>
            <w:r>
              <w:rPr>
                <w:rFonts w:ascii="Times New Roman" w:cs="Times New Roman" w:eastAsia="Times New Roman" w:hAnsi="Times New Roman"/>
                <w:sz w:val="19"/>
                <w:szCs w:val="19"/>
                <w:color w:val="auto"/>
                <w:w w:val="95"/>
                <w:vertAlign w:val="superscript"/>
              </w:rPr>
              <w:t>(1)</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9,019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31,199</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Hapag Lloyd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(5)</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Czech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9,019</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31,319</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4Q26</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3Q30</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(5)</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MSC Tianjin</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8,603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34,243</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2005</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MSC </w:t>
            </w:r>
            <w:r>
              <w:rPr>
                <w:rFonts w:ascii="Times New Roman" w:cs="Times New Roman" w:eastAsia="Times New Roman" w:hAnsi="Times New Roman"/>
                <w:sz w:val="19"/>
                <w:szCs w:val="19"/>
                <w:color w:val="auto"/>
                <w:w w:val="92"/>
                <w:vertAlign w:val="superscript"/>
              </w:rPr>
              <w:t>(6)</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3Q30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1Q31</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(6)</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MSC Qingdao</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8,603</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34,586</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MSC </w:t>
            </w:r>
            <w:r>
              <w:rPr>
                <w:rFonts w:ascii="Times New Roman" w:cs="Times New Roman" w:eastAsia="Times New Roman" w:hAnsi="Times New Roman"/>
                <w:sz w:val="19"/>
                <w:szCs w:val="19"/>
                <w:color w:val="auto"/>
                <w:w w:val="92"/>
                <w:vertAlign w:val="superscript"/>
              </w:rPr>
              <w:t>(6)</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4Q30</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1Q31</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(6)</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Ningbo</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8,603</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34,340</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3Q30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1Q31</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(7)</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Alexandra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8,599</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37,809</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Maersk </w:t>
            </w:r>
            <w:r>
              <w:rPr>
                <w:rFonts w:ascii="Times New Roman" w:cs="Times New Roman" w:eastAsia="Times New Roman" w:hAnsi="Times New Roman"/>
                <w:sz w:val="19"/>
                <w:szCs w:val="19"/>
                <w:color w:val="auto"/>
                <w:w w:val="92"/>
                <w:vertAlign w:val="superscript"/>
              </w:rPr>
              <w:t>(8)</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(8)</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Sofia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8,599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2003</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Maersk </w:t>
            </w:r>
            <w:r>
              <w:rPr>
                <w:rFonts w:ascii="Times New Roman" w:cs="Times New Roman" w:eastAsia="Times New Roman" w:hAnsi="Times New Roman"/>
                <w:sz w:val="19"/>
                <w:szCs w:val="19"/>
                <w:color w:val="auto"/>
                <w:w w:val="92"/>
                <w:vertAlign w:val="superscript"/>
              </w:rPr>
              <w:t>(8)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(8)</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Effie</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8,599</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2003</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Maersk </w:t>
            </w:r>
            <w:r>
              <w:rPr>
                <w:rFonts w:ascii="Times New Roman" w:cs="Times New Roman" w:eastAsia="Times New Roman" w:hAnsi="Times New Roman"/>
                <w:sz w:val="19"/>
                <w:szCs w:val="19"/>
                <w:color w:val="auto"/>
                <w:w w:val="92"/>
                <w:vertAlign w:val="superscript"/>
              </w:rPr>
              <w:t>(8)</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(8)</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Lydia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8,599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37,777</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2003</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Maersk </w:t>
            </w:r>
            <w:r>
              <w:rPr>
                <w:rFonts w:ascii="Times New Roman" w:cs="Times New Roman" w:eastAsia="Times New Roman" w:hAnsi="Times New Roman"/>
                <w:sz w:val="19"/>
                <w:szCs w:val="19"/>
                <w:color w:val="auto"/>
                <w:w w:val="92"/>
                <w:vertAlign w:val="superscript"/>
              </w:rPr>
              <w:t>(8)</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(8)</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Lotus 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8,586</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33,026</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2010</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2Q26</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3Q30</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(9)</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Koi</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8,586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33,019</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1Q26</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2Q30</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(9)</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Cypress</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8,586</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33,026</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2011</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2Q26</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2Q30</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(9)</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Eleni</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002060"/>
              </w:rPr>
              <w:t>7,847</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29,261</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Kalliopi</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7,847</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29,261</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Grania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7,847</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29,261</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(10)</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Colombia Express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7,072</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23,424</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2013</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1Q31</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Panama Express </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7,072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23,424</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Costa Rica Express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7,072</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23,424</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2013</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3Q31</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Nicaragua Express </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7,072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23,424</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Berlioz</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7,023</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26,776</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2001</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5"/>
              </w:rPr>
              <w:t xml:space="preserve">CMA CGM </w:t>
            </w:r>
            <w:r>
              <w:rPr>
                <w:rFonts w:ascii="Times New Roman" w:cs="Times New Roman" w:eastAsia="Times New Roman" w:hAnsi="Times New Roman"/>
                <w:sz w:val="19"/>
                <w:szCs w:val="19"/>
                <w:color w:val="auto"/>
                <w:w w:val="95"/>
                <w:vertAlign w:val="superscript"/>
              </w:rPr>
              <w:t>(12)</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37,750 </w:t>
            </w:r>
            <w:r>
              <w:rPr>
                <w:rFonts w:ascii="Times New Roman" w:cs="Times New Roman" w:eastAsia="Times New Roman" w:hAnsi="Times New Roman"/>
                <w:sz w:val="19"/>
                <w:szCs w:val="19"/>
                <w:color w:val="auto"/>
                <w:w w:val="90"/>
                <w:vertAlign w:val="superscript"/>
              </w:rPr>
              <w:t>(12)</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Mexico Express </w:t>
            </w:r>
            <w:r>
              <w:rPr>
                <w:rFonts w:ascii="Times New Roman" w:cs="Times New Roman" w:eastAsia="Times New Roman" w:hAnsi="Times New Roman"/>
                <w:sz w:val="19"/>
                <w:szCs w:val="19"/>
                <w:color w:val="auto"/>
                <w:vertAlign w:val="superscript"/>
              </w:rPr>
              <w:t>(1)</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6,918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23,970</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line="171" w:lineRule="exact"/>
              <w:rPr>
                <w:sz w:val="20"/>
                <w:szCs w:val="20"/>
                <w:color w:val="auto"/>
              </w:rPr>
            </w:pPr>
            <w:r>
              <w:rPr>
                <w:rFonts w:ascii="Times New Roman" w:cs="Times New Roman" w:eastAsia="Times New Roman" w:hAnsi="Times New Roman"/>
                <w:sz w:val="12"/>
                <w:szCs w:val="12"/>
                <w:color w:val="auto"/>
              </w:rPr>
              <w:t xml:space="preserve">Jamaica Express </w:t>
            </w:r>
            <w:r>
              <w:rPr>
                <w:rFonts w:ascii="Times New Roman" w:cs="Times New Roman" w:eastAsia="Times New Roman" w:hAnsi="Times New Roman"/>
                <w:sz w:val="19"/>
                <w:szCs w:val="19"/>
                <w:color w:val="auto"/>
                <w:vertAlign w:val="superscript"/>
              </w:rPr>
              <w:t>(1)</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6,918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23,915</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2015</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Hapag-Lloyd</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4Q31</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(11)</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Christen</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6,858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27,954</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(13)</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Nicoletta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6,858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28,070</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2002</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(13)</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Agios Dimitrios</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6,572</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24,931</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3Q30</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4Q30</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(6)</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Vinia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6,080</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23,737</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(14)</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Christel Elisabeth</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6,080</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23,745</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(14)</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Arcadia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6,008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24,858</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2000</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Maersk </w:t>
            </w:r>
            <w:r>
              <w:rPr>
                <w:rFonts w:ascii="Times New Roman" w:cs="Times New Roman" w:eastAsia="Times New Roman" w:hAnsi="Times New Roman"/>
                <w:sz w:val="19"/>
                <w:szCs w:val="19"/>
                <w:color w:val="auto"/>
                <w:w w:val="93"/>
                <w:vertAlign w:val="superscript"/>
              </w:rPr>
              <w:t>(15)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12,700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Violetta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6,008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24,873</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2000</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Maersk </w:t>
            </w:r>
            <w:r>
              <w:rPr>
                <w:rFonts w:ascii="Times New Roman" w:cs="Times New Roman" w:eastAsia="Times New Roman" w:hAnsi="Times New Roman"/>
                <w:sz w:val="19"/>
                <w:szCs w:val="19"/>
                <w:color w:val="auto"/>
                <w:w w:val="93"/>
                <w:vertAlign w:val="superscript"/>
              </w:rPr>
              <w:t>(15)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12,900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Maria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6,008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24,414</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2001</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Maersk </w:t>
            </w:r>
            <w:r>
              <w:rPr>
                <w:rFonts w:ascii="Times New Roman" w:cs="Times New Roman" w:eastAsia="Times New Roman" w:hAnsi="Times New Roman"/>
                <w:sz w:val="19"/>
                <w:szCs w:val="19"/>
                <w:color w:val="auto"/>
                <w:w w:val="93"/>
                <w:vertAlign w:val="superscript"/>
              </w:rPr>
              <w:t>(15)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1Q30</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2Q30</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12,700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MYNY</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6,008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24,876</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2000</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(15)</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Melita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6,008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24,859</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2001</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Maersk </w:t>
            </w:r>
            <w:r>
              <w:rPr>
                <w:rFonts w:ascii="Times New Roman" w:cs="Times New Roman" w:eastAsia="Times New Roman" w:hAnsi="Times New Roman"/>
                <w:sz w:val="19"/>
                <w:szCs w:val="19"/>
                <w:color w:val="auto"/>
                <w:w w:val="93"/>
                <w:vertAlign w:val="superscript"/>
              </w:rPr>
              <w:t>(15)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12,700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Tegea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5,994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24,308</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2001</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Maersk </w:t>
            </w:r>
            <w:r>
              <w:rPr>
                <w:rFonts w:ascii="Times New Roman" w:cs="Times New Roman" w:eastAsia="Times New Roman" w:hAnsi="Times New Roman"/>
                <w:sz w:val="19"/>
                <w:szCs w:val="19"/>
                <w:color w:val="auto"/>
                <w:w w:val="93"/>
                <w:vertAlign w:val="superscript"/>
              </w:rPr>
              <w:t>(15)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12,700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Dorothea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5,994</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24,243</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2001</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3"/>
              </w:rPr>
              <w:t xml:space="preserve">Maersk </w:t>
            </w:r>
            <w:r>
              <w:rPr>
                <w:rFonts w:ascii="Times New Roman" w:cs="Times New Roman" w:eastAsia="Times New Roman" w:hAnsi="Times New Roman"/>
                <w:sz w:val="19"/>
                <w:szCs w:val="19"/>
                <w:color w:val="auto"/>
                <w:w w:val="93"/>
                <w:vertAlign w:val="superscript"/>
              </w:rPr>
              <w:t>(15)</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12,700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Ian H</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5,936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25,128</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COSCO</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4Q27</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(16)</w:t>
            </w:r>
          </w:p>
        </w:tc>
        <w:tc>
          <w:tcPr>
            <w:tcW w:w="0" w:type="dxa"/>
            <w:vAlign w:val="bottom"/>
          </w:tcPr>
          <w:p>
            <w:pPr>
              <w:spacing w:after="0"/>
              <w:rPr>
                <w:sz w:val="1"/>
                <w:szCs w:val="1"/>
                <w:color w:val="auto"/>
              </w:rPr>
            </w:pPr>
          </w:p>
        </w:tc>
      </w:tr>
      <w:tr>
        <w:trPr>
          <w:trHeight w:val="135"/>
        </w:trPr>
        <w:tc>
          <w:tcPr>
            <w:tcW w:w="13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Tripoli</w:t>
            </w:r>
          </w:p>
        </w:tc>
        <w:tc>
          <w:tcPr>
            <w:tcW w:w="1440" w:type="dxa"/>
            <w:vAlign w:val="bottom"/>
          </w:tcPr>
          <w:p>
            <w:pPr>
              <w:spacing w:after="0"/>
              <w:rPr>
                <w:sz w:val="11"/>
                <w:szCs w:val="11"/>
                <w:color w:val="auto"/>
              </w:rPr>
            </w:pPr>
          </w:p>
        </w:tc>
        <w:tc>
          <w:tcPr>
            <w:tcW w:w="1420" w:type="dxa"/>
            <w:vAlign w:val="bottom"/>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5,470</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22,109</w:t>
            </w:r>
          </w:p>
        </w:tc>
        <w:tc>
          <w:tcPr>
            <w:tcW w:w="5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2009</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3Q27</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17,250</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Kithira</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5,470</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22,259</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2009</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1Q28</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17,250</w:t>
            </w:r>
          </w:p>
        </w:tc>
        <w:tc>
          <w:tcPr>
            <w:tcW w:w="0" w:type="dxa"/>
            <w:vAlign w:val="bottom"/>
          </w:tcPr>
          <w:p>
            <w:pPr>
              <w:spacing w:after="0"/>
              <w:rPr>
                <w:sz w:val="1"/>
                <w:szCs w:val="1"/>
                <w:color w:val="auto"/>
              </w:rPr>
            </w:pPr>
          </w:p>
        </w:tc>
      </w:tr>
      <w:tr>
        <w:trPr>
          <w:trHeight w:val="135"/>
        </w:trPr>
        <w:tc>
          <w:tcPr>
            <w:tcW w:w="13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Tinos</w:t>
            </w:r>
          </w:p>
        </w:tc>
        <w:tc>
          <w:tcPr>
            <w:tcW w:w="1440" w:type="dxa"/>
            <w:vAlign w:val="bottom"/>
          </w:tcPr>
          <w:p>
            <w:pPr>
              <w:spacing w:after="0"/>
              <w:rPr>
                <w:sz w:val="11"/>
                <w:szCs w:val="11"/>
                <w:color w:val="auto"/>
              </w:rPr>
            </w:pPr>
          </w:p>
        </w:tc>
        <w:tc>
          <w:tcPr>
            <w:tcW w:w="1420" w:type="dxa"/>
            <w:vAlign w:val="bottom"/>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5,470</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22,068</w:t>
            </w:r>
          </w:p>
        </w:tc>
        <w:tc>
          <w:tcPr>
            <w:tcW w:w="5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2010</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3Q27</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17,250</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Syros</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5,470</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22,099</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2010</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4Q27</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17,250</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Orca I</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5,308</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20,633</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2006</w:t>
            </w:r>
          </w:p>
        </w:tc>
        <w:tc>
          <w:tcPr>
            <w:tcW w:w="12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(17)</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4Q28</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(17)</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Dolphin II</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5,095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20,596</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2007</w:t>
            </w:r>
          </w:p>
        </w:tc>
        <w:tc>
          <w:tcPr>
            <w:tcW w:w="12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(17)</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(17)</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Alcazar</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5,089</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20,087</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2007</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35,500 </w:t>
            </w:r>
            <w:r>
              <w:rPr>
                <w:rFonts w:ascii="Times New Roman" w:cs="Times New Roman" w:eastAsia="Times New Roman" w:hAnsi="Times New Roman"/>
                <w:sz w:val="19"/>
                <w:szCs w:val="19"/>
                <w:color w:val="auto"/>
                <w:w w:val="90"/>
                <w:vertAlign w:val="superscript"/>
              </w:rPr>
              <w:t>(18)</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Château d’If</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5,089</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19,994</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2007</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4Q29</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1Q30</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35,500 </w:t>
            </w:r>
            <w:r>
              <w:rPr>
                <w:rFonts w:ascii="Times New Roman" w:cs="Times New Roman" w:eastAsia="Times New Roman" w:hAnsi="Times New Roman"/>
                <w:sz w:val="19"/>
                <w:szCs w:val="19"/>
                <w:color w:val="auto"/>
                <w:w w:val="90"/>
                <w:vertAlign w:val="superscript"/>
              </w:rPr>
              <w:t>(18)</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Susan</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4,363</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17,309</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2008</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(19)</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CMA CGM Jamaica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4,298</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17,272</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(19)</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CMA CGM Sambhar</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4,045</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17,355</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2006</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(19)</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CMA CGM America</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4,045</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17,355</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(19)</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Rossi</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3,421</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16,420</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2012</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1Q29</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2Q29</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35,000 </w:t>
            </w:r>
            <w:r>
              <w:rPr>
                <w:rFonts w:ascii="Times New Roman" w:cs="Times New Roman" w:eastAsia="Times New Roman" w:hAnsi="Times New Roman"/>
                <w:sz w:val="19"/>
                <w:szCs w:val="19"/>
                <w:color w:val="auto"/>
                <w:w w:val="90"/>
                <w:vertAlign w:val="superscript"/>
              </w:rPr>
              <w:t>(20)</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Alice</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3,421</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16,543</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2014</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2Q28</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3Q28</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31,000</w:t>
            </w:r>
          </w:p>
        </w:tc>
        <w:tc>
          <w:tcPr>
            <w:tcW w:w="0" w:type="dxa"/>
            <w:vAlign w:val="bottom"/>
          </w:tcPr>
          <w:p>
            <w:pPr>
              <w:spacing w:after="0"/>
              <w:rPr>
                <w:sz w:val="1"/>
                <w:szCs w:val="1"/>
                <w:color w:val="auto"/>
              </w:rPr>
            </w:pPr>
          </w:p>
        </w:tc>
      </w:tr>
      <w:tr>
        <w:trPr>
          <w:trHeight w:val="135"/>
        </w:trPr>
        <w:tc>
          <w:tcPr>
            <w:tcW w:w="13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Eleftheria</w:t>
            </w:r>
          </w:p>
        </w:tc>
        <w:tc>
          <w:tcPr>
            <w:tcW w:w="1440" w:type="dxa"/>
            <w:vAlign w:val="bottom"/>
          </w:tcPr>
          <w:p>
            <w:pPr>
              <w:spacing w:after="0"/>
              <w:rPr>
                <w:sz w:val="11"/>
                <w:szCs w:val="11"/>
                <w:color w:val="auto"/>
              </w:rPr>
            </w:pPr>
          </w:p>
        </w:tc>
        <w:tc>
          <w:tcPr>
            <w:tcW w:w="1420" w:type="dxa"/>
            <w:vAlign w:val="bottom"/>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3,421</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16,642</w:t>
            </w:r>
          </w:p>
        </w:tc>
        <w:tc>
          <w:tcPr>
            <w:tcW w:w="5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2013</w:t>
            </w:r>
          </w:p>
        </w:tc>
        <w:tc>
          <w:tcPr>
            <w:tcW w:w="1200" w:type="dxa"/>
            <w:vAlign w:val="bottom"/>
          </w:tcPr>
          <w:p>
            <w:pPr>
              <w:ind w:left="360"/>
              <w:spacing w:after="0" w:line="135" w:lineRule="exact"/>
              <w:rPr>
                <w:sz w:val="20"/>
                <w:szCs w:val="20"/>
                <w:color w:val="auto"/>
              </w:rPr>
            </w:pPr>
            <w:r>
              <w:rPr>
                <w:rFonts w:ascii="Times New Roman" w:cs="Times New Roman" w:eastAsia="Times New Roman" w:hAnsi="Times New Roman"/>
                <w:sz w:val="12"/>
                <w:szCs w:val="12"/>
                <w:color w:val="auto"/>
              </w:rPr>
              <w:t>Maersk</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3Q28</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4Q28</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33,000</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GSL Melina</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3,404</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16,703</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2013</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29,900</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Athena</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2,980</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13,538</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2003</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(21)</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Valerie</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2,824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11,971</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ZIM</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(22)</w:t>
            </w:r>
          </w:p>
        </w:tc>
        <w:tc>
          <w:tcPr>
            <w:tcW w:w="0" w:type="dxa"/>
            <w:vAlign w:val="bottom"/>
          </w:tcPr>
          <w:p>
            <w:pPr>
              <w:spacing w:after="0"/>
              <w:rPr>
                <w:sz w:val="1"/>
                <w:szCs w:val="1"/>
                <w:color w:val="auto"/>
              </w:rPr>
            </w:pPr>
          </w:p>
        </w:tc>
      </w:tr>
      <w:tr>
        <w:trPr>
          <w:trHeight w:val="135"/>
        </w:trPr>
        <w:tc>
          <w:tcPr>
            <w:tcW w:w="1360" w:type="dxa"/>
            <w:vAlign w:val="bottom"/>
          </w:tcPr>
          <w:p>
            <w:pPr>
              <w:ind w:left="180"/>
              <w:spacing w:after="0" w:line="135" w:lineRule="exact"/>
              <w:rPr>
                <w:sz w:val="20"/>
                <w:szCs w:val="20"/>
                <w:color w:val="auto"/>
              </w:rPr>
            </w:pPr>
            <w:r>
              <w:rPr>
                <w:rFonts w:ascii="Times New Roman" w:cs="Times New Roman" w:eastAsia="Times New Roman" w:hAnsi="Times New Roman"/>
                <w:sz w:val="12"/>
                <w:szCs w:val="12"/>
                <w:color w:val="auto"/>
              </w:rPr>
              <w:t>GSL Mamitsa</w:t>
            </w:r>
          </w:p>
        </w:tc>
        <w:tc>
          <w:tcPr>
            <w:tcW w:w="1440" w:type="dxa"/>
            <w:vAlign w:val="bottom"/>
          </w:tcPr>
          <w:p>
            <w:pPr>
              <w:spacing w:after="0"/>
              <w:rPr>
                <w:sz w:val="11"/>
                <w:szCs w:val="11"/>
                <w:color w:val="auto"/>
              </w:rPr>
            </w:pPr>
          </w:p>
        </w:tc>
        <w:tc>
          <w:tcPr>
            <w:tcW w:w="1420" w:type="dxa"/>
            <w:vAlign w:val="bottom"/>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2,824</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11,949</w:t>
            </w:r>
          </w:p>
        </w:tc>
        <w:tc>
          <w:tcPr>
            <w:tcW w:w="5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2007</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RCL</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1Q28</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2Q28</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28,000</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Lalo</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2,824</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11,950</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(23)</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Mercer</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2,824</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11,970</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2007</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ONE</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1Q27</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(24)</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Elizabeth</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2,741</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11,530</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2006</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4Q28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20,360 </w:t>
            </w:r>
            <w:r>
              <w:rPr>
                <w:rFonts w:ascii="Times New Roman" w:cs="Times New Roman" w:eastAsia="Times New Roman" w:hAnsi="Times New Roman"/>
                <w:sz w:val="19"/>
                <w:szCs w:val="19"/>
                <w:color w:val="auto"/>
                <w:w w:val="90"/>
                <w:vertAlign w:val="superscript"/>
              </w:rPr>
              <w:t>(25)</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Newyorker</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2,635</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11,463</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2001</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Maersk</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(26)</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Nikolas</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2,635</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11,370</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2Q27</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26,000</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GSL Chloe</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2,546</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12,212</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2012</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ONE</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1Q27</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2Q27</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(24)</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GSL Maren</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2,546</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12,243</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2014</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OOCL</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2Q28</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3Q28</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0"/>
              </w:rPr>
              <w:t xml:space="preserve">16,500 </w:t>
            </w:r>
            <w:r>
              <w:rPr>
                <w:rFonts w:ascii="Times New Roman" w:cs="Times New Roman" w:eastAsia="Times New Roman" w:hAnsi="Times New Roman"/>
                <w:sz w:val="19"/>
                <w:szCs w:val="19"/>
                <w:color w:val="auto"/>
                <w:w w:val="90"/>
                <w:vertAlign w:val="superscript"/>
              </w:rPr>
              <w:t>(27)</w:t>
            </w:r>
          </w:p>
        </w:tc>
        <w:tc>
          <w:tcPr>
            <w:tcW w:w="0" w:type="dxa"/>
            <w:vAlign w:val="bottom"/>
          </w:tcPr>
          <w:p>
            <w:pPr>
              <w:spacing w:after="0"/>
              <w:rPr>
                <w:sz w:val="1"/>
                <w:szCs w:val="1"/>
                <w:color w:val="auto"/>
              </w:rPr>
            </w:pPr>
          </w:p>
        </w:tc>
      </w:tr>
      <w:tr>
        <w:trPr>
          <w:trHeight w:val="135"/>
        </w:trPr>
        <w:tc>
          <w:tcPr>
            <w:tcW w:w="1360" w:type="dxa"/>
            <w:vAlign w:val="bottom"/>
          </w:tcPr>
          <w:p>
            <w:pPr>
              <w:ind w:left="160"/>
              <w:spacing w:after="0" w:line="135" w:lineRule="exact"/>
              <w:rPr>
                <w:sz w:val="20"/>
                <w:szCs w:val="20"/>
                <w:color w:val="auto"/>
              </w:rPr>
            </w:pPr>
            <w:r>
              <w:rPr>
                <w:rFonts w:ascii="Times New Roman" w:cs="Times New Roman" w:eastAsia="Times New Roman" w:hAnsi="Times New Roman"/>
                <w:sz w:val="12"/>
                <w:szCs w:val="12"/>
                <w:color w:val="auto"/>
              </w:rPr>
              <w:t>Maira</w:t>
            </w:r>
          </w:p>
        </w:tc>
        <w:tc>
          <w:tcPr>
            <w:tcW w:w="1440" w:type="dxa"/>
            <w:vAlign w:val="bottom"/>
          </w:tcPr>
          <w:p>
            <w:pPr>
              <w:spacing w:after="0"/>
              <w:rPr>
                <w:sz w:val="11"/>
                <w:szCs w:val="11"/>
                <w:color w:val="auto"/>
              </w:rPr>
            </w:pPr>
          </w:p>
        </w:tc>
        <w:tc>
          <w:tcPr>
            <w:tcW w:w="1420" w:type="dxa"/>
            <w:vAlign w:val="bottom"/>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2,506</w:t>
            </w: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11,453</w:t>
            </w:r>
          </w:p>
        </w:tc>
        <w:tc>
          <w:tcPr>
            <w:tcW w:w="580" w:type="dxa"/>
            <w:vAlign w:val="bottom"/>
          </w:tcPr>
          <w:p>
            <w:pPr>
              <w:ind w:left="140"/>
              <w:spacing w:after="0" w:line="135" w:lineRule="exact"/>
              <w:rPr>
                <w:sz w:val="20"/>
                <w:szCs w:val="20"/>
                <w:color w:val="auto"/>
              </w:rPr>
            </w:pPr>
            <w:r>
              <w:rPr>
                <w:rFonts w:ascii="Times New Roman" w:cs="Times New Roman" w:eastAsia="Times New Roman" w:hAnsi="Times New Roman"/>
                <w:sz w:val="12"/>
                <w:szCs w:val="12"/>
                <w:color w:val="auto"/>
              </w:rPr>
              <w:t>2000</w:t>
            </w:r>
          </w:p>
        </w:tc>
        <w:tc>
          <w:tcPr>
            <w:tcW w:w="12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rPr>
              <w:t>CMA CGM</w:t>
            </w:r>
          </w:p>
        </w:tc>
        <w:tc>
          <w:tcPr>
            <w:tcW w:w="134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1Q27</w:t>
            </w:r>
          </w:p>
        </w:tc>
        <w:tc>
          <w:tcPr>
            <w:tcW w:w="122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2Q27</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26,000</w:t>
            </w:r>
          </w:p>
        </w:tc>
        <w:tc>
          <w:tcPr>
            <w:tcW w:w="0" w:type="dxa"/>
            <w:vAlign w:val="bottom"/>
          </w:tcPr>
          <w:p>
            <w:pPr>
              <w:spacing w:after="0"/>
              <w:rPr>
                <w:sz w:val="1"/>
                <w:szCs w:val="1"/>
                <w:color w:val="auto"/>
              </w:rPr>
            </w:pPr>
          </w:p>
        </w:tc>
      </w:tr>
      <w:tr>
        <w:trPr>
          <w:trHeight w:val="135"/>
        </w:trPr>
        <w:tc>
          <w:tcPr>
            <w:tcW w:w="1360" w:type="dxa"/>
            <w:vAlign w:val="bottom"/>
            <w:shd w:val="clear" w:color="auto" w:fill="CCEEFF"/>
          </w:tcPr>
          <w:p>
            <w:pPr>
              <w:ind w:left="160"/>
              <w:spacing w:after="0" w:line="135" w:lineRule="exact"/>
              <w:rPr>
                <w:sz w:val="20"/>
                <w:szCs w:val="20"/>
                <w:color w:val="auto"/>
              </w:rPr>
            </w:pPr>
            <w:r>
              <w:rPr>
                <w:rFonts w:ascii="Times New Roman" w:cs="Times New Roman" w:eastAsia="Times New Roman" w:hAnsi="Times New Roman"/>
                <w:sz w:val="12"/>
                <w:szCs w:val="12"/>
                <w:color w:val="auto"/>
              </w:rPr>
              <w:t>Manet</w:t>
            </w:r>
          </w:p>
        </w:tc>
        <w:tc>
          <w:tcPr>
            <w:tcW w:w="1440" w:type="dxa"/>
            <w:vAlign w:val="bottom"/>
            <w:shd w:val="clear" w:color="auto" w:fill="CCEEFF"/>
          </w:tcPr>
          <w:p>
            <w:pPr>
              <w:spacing w:after="0"/>
              <w:rPr>
                <w:sz w:val="11"/>
                <w:szCs w:val="11"/>
                <w:color w:val="auto"/>
              </w:rPr>
            </w:pPr>
          </w:p>
        </w:tc>
        <w:tc>
          <w:tcPr>
            <w:tcW w:w="1420" w:type="dxa"/>
            <w:vAlign w:val="bottom"/>
            <w:shd w:val="clear" w:color="auto" w:fill="CCEEFF"/>
          </w:tcPr>
          <w:p>
            <w:pPr>
              <w:jc w:val="center"/>
              <w:ind w:left="600"/>
              <w:spacing w:after="0" w:line="135" w:lineRule="exact"/>
              <w:rPr>
                <w:sz w:val="20"/>
                <w:szCs w:val="20"/>
                <w:color w:val="auto"/>
              </w:rPr>
            </w:pPr>
            <w:r>
              <w:rPr>
                <w:rFonts w:ascii="Times New Roman" w:cs="Times New Roman" w:eastAsia="Times New Roman" w:hAnsi="Times New Roman"/>
                <w:sz w:val="12"/>
                <w:szCs w:val="12"/>
                <w:color w:val="auto"/>
              </w:rPr>
              <w:t>2,288</w:t>
            </w:r>
          </w:p>
        </w:tc>
        <w:tc>
          <w:tcPr>
            <w:tcW w:w="12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11,534</w:t>
            </w:r>
          </w:p>
        </w:tc>
        <w:tc>
          <w:tcPr>
            <w:tcW w:w="58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2"/>
                <w:szCs w:val="12"/>
                <w:color w:val="auto"/>
              </w:rPr>
              <w:t>2001</w:t>
            </w:r>
          </w:p>
        </w:tc>
        <w:tc>
          <w:tcPr>
            <w:tcW w:w="12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OOCL</w:t>
            </w:r>
          </w:p>
        </w:tc>
        <w:tc>
          <w:tcPr>
            <w:tcW w:w="134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3Q26</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7"/>
              </w:rPr>
              <w:t>4Q26</w:t>
            </w:r>
          </w:p>
        </w:tc>
        <w:tc>
          <w:tcPr>
            <w:tcW w:w="150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2"/>
                <w:szCs w:val="12"/>
                <w:color w:val="auto"/>
                <w:w w:val="96"/>
              </w:rPr>
              <w:t>24,000</w:t>
            </w:r>
          </w:p>
        </w:tc>
        <w:tc>
          <w:tcPr>
            <w:tcW w:w="0" w:type="dxa"/>
            <w:vAlign w:val="bottom"/>
          </w:tcPr>
          <w:p>
            <w:pPr>
              <w:spacing w:after="0"/>
              <w:rPr>
                <w:sz w:val="1"/>
                <w:szCs w:val="1"/>
                <w:color w:val="auto"/>
              </w:rPr>
            </w:pPr>
          </w:p>
        </w:tc>
      </w:tr>
      <w:tr>
        <w:trPr>
          <w:trHeight w:val="171"/>
        </w:trPr>
        <w:tc>
          <w:tcPr>
            <w:tcW w:w="13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Kumasi</w:t>
            </w:r>
          </w:p>
        </w:tc>
        <w:tc>
          <w:tcPr>
            <w:tcW w:w="1440" w:type="dxa"/>
            <w:vAlign w:val="bottom"/>
          </w:tcPr>
          <w:p>
            <w:pPr>
              <w:spacing w:after="0"/>
              <w:rPr>
                <w:sz w:val="14"/>
                <w:szCs w:val="14"/>
                <w:color w:val="auto"/>
              </w:rPr>
            </w:pPr>
          </w:p>
        </w:tc>
        <w:tc>
          <w:tcPr>
            <w:tcW w:w="1420" w:type="dxa"/>
            <w:vAlign w:val="bottom"/>
          </w:tcPr>
          <w:p>
            <w:pPr>
              <w:jc w:val="center"/>
              <w:ind w:left="600"/>
              <w:spacing w:after="0"/>
              <w:rPr>
                <w:sz w:val="20"/>
                <w:szCs w:val="20"/>
                <w:color w:val="auto"/>
              </w:rPr>
            </w:pPr>
            <w:r>
              <w:rPr>
                <w:rFonts w:ascii="Times New Roman" w:cs="Times New Roman" w:eastAsia="Times New Roman" w:hAnsi="Times New Roman"/>
                <w:sz w:val="12"/>
                <w:szCs w:val="12"/>
                <w:color w:val="auto"/>
              </w:rPr>
              <w:t>2,220</w:t>
            </w:r>
          </w:p>
        </w:tc>
        <w:tc>
          <w:tcPr>
            <w:tcW w:w="12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11,652</w:t>
            </w:r>
          </w:p>
        </w:tc>
        <w:tc>
          <w:tcPr>
            <w:tcW w:w="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2002</w:t>
            </w:r>
          </w:p>
        </w:tc>
        <w:tc>
          <w:tcPr>
            <w:tcW w:w="12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4Q26</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1Q27</w:t>
            </w:r>
          </w:p>
        </w:tc>
        <w:tc>
          <w:tcPr>
            <w:tcW w:w="1500" w:type="dxa"/>
            <w:vAlign w:val="bottom"/>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(28)</w:t>
            </w:r>
          </w:p>
        </w:tc>
        <w:tc>
          <w:tcPr>
            <w:tcW w:w="0" w:type="dxa"/>
            <w:vAlign w:val="bottom"/>
          </w:tcPr>
          <w:p>
            <w:pPr>
              <w:spacing w:after="0"/>
              <w:rPr>
                <w:sz w:val="1"/>
                <w:szCs w:val="1"/>
                <w:color w:val="auto"/>
              </w:rPr>
            </w:pPr>
          </w:p>
        </w:tc>
      </w:tr>
      <w:tr>
        <w:trPr>
          <w:trHeight w:val="171"/>
        </w:trPr>
        <w:tc>
          <w:tcPr>
            <w:tcW w:w="13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Julie</w:t>
            </w:r>
          </w:p>
        </w:tc>
        <w:tc>
          <w:tcPr>
            <w:tcW w:w="1440" w:type="dxa"/>
            <w:vAlign w:val="bottom"/>
            <w:shd w:val="clear" w:color="auto" w:fill="CCEEFF"/>
          </w:tcPr>
          <w:p>
            <w:pPr>
              <w:spacing w:after="0"/>
              <w:rPr>
                <w:sz w:val="14"/>
                <w:szCs w:val="14"/>
                <w:color w:val="auto"/>
              </w:rPr>
            </w:pPr>
          </w:p>
        </w:tc>
        <w:tc>
          <w:tcPr>
            <w:tcW w:w="1420" w:type="dxa"/>
            <w:vAlign w:val="bottom"/>
            <w:shd w:val="clear" w:color="auto" w:fill="CCEEFF"/>
          </w:tcPr>
          <w:p>
            <w:pPr>
              <w:jc w:val="center"/>
              <w:ind w:left="600"/>
              <w:spacing w:after="0"/>
              <w:rPr>
                <w:sz w:val="20"/>
                <w:szCs w:val="20"/>
                <w:color w:val="auto"/>
              </w:rPr>
            </w:pPr>
            <w:r>
              <w:rPr>
                <w:rFonts w:ascii="Times New Roman" w:cs="Times New Roman" w:eastAsia="Times New Roman" w:hAnsi="Times New Roman"/>
                <w:sz w:val="12"/>
                <w:szCs w:val="12"/>
                <w:color w:val="auto"/>
              </w:rPr>
              <w:t>2,207</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11,731</w:t>
            </w: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2002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MSC</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3Q27</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2"/>
                <w:szCs w:val="12"/>
                <w:color w:val="auto"/>
                <w:w w:val="92"/>
              </w:rPr>
              <w:t xml:space="preserve">Footnote </w:t>
            </w:r>
            <w:r>
              <w:rPr>
                <w:rFonts w:ascii="Times New Roman" w:cs="Times New Roman" w:eastAsia="Times New Roman" w:hAnsi="Times New Roman"/>
                <w:sz w:val="19"/>
                <w:szCs w:val="19"/>
                <w:color w:val="auto"/>
                <w:w w:val="92"/>
                <w:vertAlign w:val="superscript"/>
              </w:rPr>
              <w:t>(29)</w:t>
            </w:r>
          </w:p>
        </w:tc>
        <w:tc>
          <w:tcPr>
            <w:tcW w:w="0" w:type="dxa"/>
            <w:vAlign w:val="bottom"/>
          </w:tcPr>
          <w:p>
            <w:pPr>
              <w:spacing w:after="0"/>
              <w:rPr>
                <w:sz w:val="1"/>
                <w:szCs w:val="1"/>
                <w:color w:val="auto"/>
              </w:rPr>
            </w:pPr>
          </w:p>
        </w:tc>
      </w:tr>
    </w:tbl>
    <w:p>
      <w:pPr>
        <w:spacing w:after="0" w:line="133" w:lineRule="exact"/>
        <w:rPr>
          <w:sz w:val="20"/>
          <w:szCs w:val="20"/>
          <w:color w:val="auto"/>
        </w:rPr>
      </w:pPr>
    </w:p>
    <w:p>
      <w:pPr>
        <w:sectPr>
          <w:pgSz w:w="11900" w:h="16838" w:orient="portrait"/>
          <w:cols w:equalWidth="0" w:num="1">
            <w:col w:w="11300"/>
          </w:cols>
          <w:pgMar w:left="300" w:top="201" w:right="299" w:bottom="1440" w:gutter="0" w:footer="0" w:header="0"/>
        </w:sectPr>
      </w:pPr>
    </w:p>
    <w:p>
      <w:pPr>
        <w:jc w:val="center"/>
        <w:ind w:right="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8" w:lineRule="exact"/>
        <w:rPr>
          <w:sz w:val="20"/>
          <w:szCs w:val="20"/>
          <w:color w:val="auto"/>
        </w:rPr>
      </w:pPr>
    </w:p>
    <w:p>
      <w:pPr>
        <w:ind w:left="320" w:hanging="264"/>
        <w:spacing w:after="0"/>
        <w:tabs>
          <w:tab w:leader="none" w:pos="32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Modern design, high reefer capacity, fuel-efficient “ECO” vessel.</w:t>
      </w:r>
    </w:p>
    <w:p>
      <w:pPr>
        <w:spacing w:after="0" w:line="18" w:lineRule="exact"/>
        <w:rPr>
          <w:rFonts w:ascii="Times New Roman" w:cs="Times New Roman" w:eastAsia="Times New Roman" w:hAnsi="Times New Roman"/>
          <w:sz w:val="12"/>
          <w:szCs w:val="12"/>
          <w:i w:val="1"/>
          <w:iCs w:val="1"/>
          <w:color w:val="auto"/>
        </w:rPr>
      </w:pPr>
    </w:p>
    <w:p>
      <w:pPr>
        <w:jc w:val="both"/>
        <w:ind w:left="360" w:hanging="304"/>
        <w:spacing w:after="0" w:line="250" w:lineRule="auto"/>
        <w:tabs>
          <w:tab w:leader="none" w:pos="333"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In many instances, charterers have the option to extend a charter beyond the nominal latest expiry date by the amount of time that the vessel was off hire during the course of that charter. This additional charter time (“Offhire Extension”) is computed at the end of the initially contracted charter period. The Latest Charter Expiry Dates shown in this table have been adjusted to reflect offhire accrued up to December 31, 2025, plus estimated offhire scheduled to occur during the remaining lifetimes of the respective charters. However, as actual offhire can only be calculated at the end of each charter, in some cases actual Offhire Extensions – if invoked by charterers – may exceed the Latest Charter Expiry Dates indicated.</w:t>
      </w:r>
    </w:p>
    <w:p>
      <w:pPr>
        <w:spacing w:after="0" w:line="1" w:lineRule="exact"/>
        <w:rPr>
          <w:rFonts w:ascii="Times New Roman" w:cs="Times New Roman" w:eastAsia="Times New Roman" w:hAnsi="Times New Roman"/>
          <w:sz w:val="12"/>
          <w:szCs w:val="12"/>
          <w:i w:val="1"/>
          <w:iCs w:val="1"/>
          <w:color w:val="auto"/>
        </w:rPr>
      </w:pPr>
    </w:p>
    <w:p>
      <w:pPr>
        <w:ind w:left="320" w:hanging="264"/>
        <w:spacing w:after="0"/>
        <w:tabs>
          <w:tab w:leader="none" w:pos="32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Zim Norfolk and Zim Xiamen were forward extended for 60 – 63 months. The extensions, at confidential rates, are expected to commence between 2Q-3Q 2027.</w:t>
      </w:r>
    </w:p>
    <w:p>
      <w:pPr>
        <w:spacing w:after="0" w:line="6" w:lineRule="exact"/>
        <w:rPr>
          <w:rFonts w:ascii="Times New Roman" w:cs="Times New Roman" w:eastAsia="Times New Roman" w:hAnsi="Times New Roman"/>
          <w:sz w:val="12"/>
          <w:szCs w:val="12"/>
          <w:i w:val="1"/>
          <w:iCs w:val="1"/>
          <w:color w:val="auto"/>
        </w:rPr>
      </w:pPr>
    </w:p>
    <w:p>
      <w:pPr>
        <w:ind w:left="320" w:hanging="264"/>
        <w:spacing w:after="0"/>
        <w:tabs>
          <w:tab w:leader="none" w:pos="32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Anthea Y is fixed for 36 months +/- 30 days and is chartered at a confidential rate.</w:t>
      </w:r>
    </w:p>
    <w:p>
      <w:pPr>
        <w:spacing w:after="0" w:line="6" w:lineRule="exact"/>
        <w:rPr>
          <w:rFonts w:ascii="Times New Roman" w:cs="Times New Roman" w:eastAsia="Times New Roman" w:hAnsi="Times New Roman"/>
          <w:sz w:val="12"/>
          <w:szCs w:val="12"/>
          <w:i w:val="1"/>
          <w:iCs w:val="1"/>
          <w:color w:val="auto"/>
        </w:rPr>
      </w:pPr>
    </w:p>
    <w:p>
      <w:pPr>
        <w:jc w:val="both"/>
        <w:ind w:left="360" w:hanging="304"/>
        <w:spacing w:after="0" w:line="250" w:lineRule="auto"/>
        <w:tabs>
          <w:tab w:leader="none" w:pos="331"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Sydney Express, Istanbul Express, Bremerhaven Express and Czech were contracted for purchase in 4Q 2024, with three vessels delivered in December 2024 and the fourth in January 2025. Contract cover for each vessel is for a varied median firm duration extending for an average of 1.7 years, or up to an average of 5.1 years if all charterers’ options are exercised. Sydney Express, Istanbul Express, Bremerhaven Express and Czech are chartered at confidential rates. 12 months extension options were exercised in 3Q 2025 for Bremerhaven Express and Sydney Express.</w:t>
      </w:r>
    </w:p>
    <w:p>
      <w:pPr>
        <w:jc w:val="both"/>
        <w:ind w:left="360" w:right="20" w:hanging="304"/>
        <w:spacing w:after="0" w:line="250" w:lineRule="auto"/>
        <w:tabs>
          <w:tab w:leader="none" w:pos="372"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MSC Tianjin, MSC Qingdao and Agios Dimitrios are chartered at confidential rates. MSC Tianjin, MSC Qingdao and Agios Dimitrios were forward fixed in direct continuation for 36 – 38 months. The new charters are expected to commence between 3Q-4Q 2027. MSC Tianjin, MSC Qingdao and Agios Dimitrios new charters are at confidential rates. MSC Qingdao &amp; Agios Dimitrios are fitted with Exhaust Gas Cleaning Systems (“scrubbers”).</w:t>
      </w:r>
    </w:p>
    <w:p>
      <w:pPr>
        <w:ind w:left="320" w:hanging="264"/>
        <w:spacing w:after="0"/>
        <w:tabs>
          <w:tab w:leader="none" w:pos="32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Ningbo is chartered at a confidential rate. GSL Ningbo is forward fixed in direct continuation for 36 – 38 months. The new charter is at a confidential rate and is expected to commence on 3Q 2027.</w:t>
      </w:r>
    </w:p>
    <w:p>
      <w:pPr>
        <w:spacing w:after="0" w:line="6" w:lineRule="exact"/>
        <w:rPr>
          <w:rFonts w:ascii="Times New Roman" w:cs="Times New Roman" w:eastAsia="Times New Roman" w:hAnsi="Times New Roman"/>
          <w:sz w:val="12"/>
          <w:szCs w:val="12"/>
          <w:i w:val="1"/>
          <w:iCs w:val="1"/>
          <w:color w:val="auto"/>
        </w:rPr>
      </w:pPr>
    </w:p>
    <w:p>
      <w:pPr>
        <w:ind w:left="360" w:right="20" w:hanging="304"/>
        <w:spacing w:after="0" w:line="250" w:lineRule="auto"/>
        <w:tabs>
          <w:tab w:leader="none" w:pos="354"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Alexandra, GSL Sofia, GSL Effie and GSL Lydia. After the initial charter period, extension options were exercised by charterers at confidential rates. Thereafter, the ships have been forward fixed for approximately 24 months, at confidential rates, with the new charters expected to commence in 2Q-3Q 2026.</w:t>
      </w:r>
    </w:p>
    <w:p>
      <w:pPr>
        <w:ind w:left="360" w:right="20" w:hanging="304"/>
        <w:spacing w:after="0" w:line="250" w:lineRule="auto"/>
        <w:tabs>
          <w:tab w:leader="none" w:pos="365"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Lotus A and Koi were delivered to our fleet on December 12, 2025, and December 29, 2025, respectively. Cypress was delivered on January 9, 2026. Lotus A, Koi and Cypress charters, at confidential rates, have flexible durations, with latest redeliveries in mid-2030.</w:t>
      </w: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Eleni, GSL Kalliopi and GSL Grania, are chartered for 35 – 38 months, after which the charterer has the option to extend each charter for a further 12 – 16 months. Each charter is at confidential rates.</w:t>
      </w:r>
    </w:p>
    <w:p>
      <w:pPr>
        <w:spacing w:after="0" w:line="6" w:lineRule="exact"/>
        <w:rPr>
          <w:rFonts w:ascii="Times New Roman" w:cs="Times New Roman" w:eastAsia="Times New Roman" w:hAnsi="Times New Roman"/>
          <w:sz w:val="12"/>
          <w:szCs w:val="12"/>
          <w:i w:val="1"/>
          <w:iCs w:val="1"/>
          <w:color w:val="auto"/>
        </w:rPr>
      </w:pPr>
    </w:p>
    <w:p>
      <w:pPr>
        <w:ind w:left="360" w:right="20" w:hanging="304"/>
        <w:spacing w:after="0" w:line="250" w:lineRule="auto"/>
        <w:tabs>
          <w:tab w:leader="none" w:pos="36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Colombia Express (ex Mary), Panama Express (ex Kristina), Costa Rica Express (ex Katherine), Nicaragua Express (ex Alexandra), Mexico Express (ex Alexis), Jamaica Express (ex Olivia I) are fixed to Hapag-Lloyd for 60 months +/- 45 days, followed by two periods of 12 months each at the option of the charterer. The charters are at confidential rates.</w:t>
      </w: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CMA CGM Berlioz was forward fixed for 36 – 38 months. The new charter, at confidential rate, is expected to commence in 1Q 2026.</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Nicoletta and GSL Christen are chartered at confidential rates.</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Vinia and GSL Christel Elizabeth are chartered for 36 – 40 months, after which the charterer has the option to extend each charter for a further 12 – 15 months. The charters are at confidential rates.</w:t>
      </w:r>
    </w:p>
    <w:p>
      <w:pPr>
        <w:spacing w:after="0" w:line="6" w:lineRule="exact"/>
        <w:rPr>
          <w:rFonts w:ascii="Times New Roman" w:cs="Times New Roman" w:eastAsia="Times New Roman" w:hAnsi="Times New Roman"/>
          <w:sz w:val="12"/>
          <w:szCs w:val="12"/>
          <w:i w:val="1"/>
          <w:iCs w:val="1"/>
          <w:color w:val="auto"/>
        </w:rPr>
      </w:pPr>
    </w:p>
    <w:p>
      <w:pPr>
        <w:jc w:val="both"/>
        <w:ind w:left="360" w:hanging="304"/>
        <w:spacing w:after="0" w:line="250" w:lineRule="auto"/>
        <w:tabs>
          <w:tab w:leader="none" w:pos="365"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Maria, GSL Violetta, GSL Arcadia, GSL MYNY, GSL Melita, GSL Tegea and GSL Dorothea. Contract cover for each ship is for a firm period of at least three years from the date each vessel was delivered in 2021, with charterers holding a one-year extension option on each charter (at a rate of $12,900 per day), followed by a second option (at a rate of $12,700 per day) with the period determined by – and terminating prior to – each vessel’s 25th year drydocking &amp;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to a leading liner company. The new charters are expected to commence between 1Q 2026 and 1Q 2027, following completion of drydocking in some cases, and are at confidential rates. As of December 31, 2025, GSL MYNY is under drydock.</w:t>
      </w:r>
    </w:p>
    <w:p>
      <w:pPr>
        <w:spacing w:after="0" w:line="1"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Ian H charter is chartered at confidential rate.</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Dolphin II and Orca I are fixed to a leading liner company. Each charter is at confidential rates.</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Château d’If and CMA CGM Alcazar were forward fixed for 36 – 38 months. The new charters, at confidential rates, are expected to commence between 3Q-4Q 2026.</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Susan, CMA CGM Jamaica, CMA CGM Sambhar and CMA CGM America are chartered at confidential rates.</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Rossi was forward fixed for 35-37 months. The new charter, at confidential rates, is expected to commence in 2Q 2026.</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Athena is fixed for 24 – 30 months. The charter is at confidential rate.</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Valerie. The charter is at confidential rate.</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Lalo. The charter is at confidential rate.</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Mercer and GSL Chloe. The charters are at confidential rates.</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Elizabeth was forward fixed for 24 – 27 months. The new charter, at confidential rate, is expected to commence in 3Q 2026.</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Newyorker is chartered at a confidential rate.</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Maren was forward fixed in direct continuation for 24 – 26 months. The new charter, at confidential rate, is expected to commence in 2Q 2026.</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Kumasi is chartered at a confidential rate.</w:t>
      </w:r>
    </w:p>
    <w:p>
      <w:pPr>
        <w:spacing w:after="0" w:line="6" w:lineRule="exact"/>
        <w:rPr>
          <w:rFonts w:ascii="Times New Roman" w:cs="Times New Roman" w:eastAsia="Times New Roman" w:hAnsi="Times New Roman"/>
          <w:sz w:val="12"/>
          <w:szCs w:val="12"/>
          <w:i w:val="1"/>
          <w:iCs w:val="1"/>
          <w:color w:val="auto"/>
        </w:rPr>
      </w:pPr>
    </w:p>
    <w:p>
      <w:pPr>
        <w:ind w:left="340" w:hanging="284"/>
        <w:spacing w:after="0"/>
        <w:tabs>
          <w:tab w:leader="none" w:pos="340" w:val="left"/>
        </w:tabs>
        <w:numPr>
          <w:ilvl w:val="0"/>
          <w:numId w:val="21"/>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Julie is chartered at a confidential rate.</w:t>
      </w: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00" w:top="201"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Fleet Development</w:t>
      </w:r>
    </w:p>
    <w:p>
      <w:pPr>
        <w:spacing w:after="0" w:line="143" w:lineRule="exact"/>
        <w:rPr>
          <w:sz w:val="20"/>
          <w:szCs w:val="20"/>
          <w:color w:val="auto"/>
        </w:rPr>
      </w:pPr>
    </w:p>
    <w:p>
      <w:pPr>
        <w:jc w:val="both"/>
        <w:ind w:right="20" w:firstLine="240"/>
        <w:spacing w:after="0" w:line="252" w:lineRule="auto"/>
        <w:rPr>
          <w:sz w:val="20"/>
          <w:szCs w:val="20"/>
          <w:color w:val="auto"/>
        </w:rPr>
      </w:pPr>
      <w:r>
        <w:rPr>
          <w:rFonts w:ascii="Times New Roman" w:cs="Times New Roman" w:eastAsia="Times New Roman" w:hAnsi="Times New Roman"/>
          <w:sz w:val="12"/>
          <w:szCs w:val="12"/>
          <w:color w:val="auto"/>
        </w:rPr>
        <w:t xml:space="preserve">As of December 31, 2025, our fleet consisted of 70 containerships, and 71 containerships total as of February 28, 2026, including the delivery of </w:t>
      </w:r>
      <w:r>
        <w:rPr>
          <w:rFonts w:ascii="Times New Roman" w:cs="Times New Roman" w:eastAsia="Times New Roman" w:hAnsi="Times New Roman"/>
          <w:sz w:val="12"/>
          <w:szCs w:val="12"/>
          <w:i w:val="1"/>
          <w:iCs w:val="1"/>
          <w:color w:val="auto"/>
        </w:rPr>
        <w:t>Cypress</w:t>
      </w:r>
      <w:r>
        <w:rPr>
          <w:rFonts w:ascii="Times New Roman" w:cs="Times New Roman" w:eastAsia="Times New Roman" w:hAnsi="Times New Roman"/>
          <w:sz w:val="12"/>
          <w:szCs w:val="12"/>
          <w:color w:val="auto"/>
        </w:rPr>
        <w:t xml:space="preserve"> (the last of the three Newly Acquired Vessels) in January 2026, with an aggregate capacity of 423,003 TEU and a TEU-weighted average age of approximately 17.9 years.</w:t>
      </w:r>
    </w:p>
    <w:p>
      <w:pPr>
        <w:spacing w:after="0" w:line="13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Vessel Acquisitions</w:t>
      </w:r>
    </w:p>
    <w:p>
      <w:pPr>
        <w:spacing w:after="0" w:line="13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2023, we purchased four containerships, each with a carrying capacity of 8,544 TEU, for an aggregate purchase price of $123.3 million, which were delivered to us in May and June 2023.</w:t>
      </w:r>
    </w:p>
    <w:p>
      <w:pPr>
        <w:spacing w:after="0" w:line="132"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In November 2024, we agreed to purchase four high-reefer ECO 9,019 TEU vessels, which we refer to as the 2024 Acquired Vessels, for an aggregate price of $274.0 million. Three of the vessels were delivered to us in December 2024 and the fourth in January 2025.</w:t>
      </w:r>
    </w:p>
    <w:p>
      <w:pPr>
        <w:spacing w:after="0" w:line="101"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 December 2025, we announced the purchase of three 8,586 TEU, Korean-built containerships with ECO upgrades, which we refer to as the Newly Acquired Vessels, for an aggregate purchase price of $90.0 million. The Newly Acquired Vessels were purchased with attached charters with a leading liner company. Two of the Newly Acquired Vessels were delivered to us in December 2025 and the third one in January 2026.</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Vessel Disposals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xml:space="preserve">On March 23, 2023, we sold </w:t>
      </w:r>
      <w:r>
        <w:rPr>
          <w:rFonts w:ascii="Times New Roman" w:cs="Times New Roman" w:eastAsia="Times New Roman" w:hAnsi="Times New Roman"/>
          <w:sz w:val="12"/>
          <w:szCs w:val="12"/>
          <w:i w:val="1"/>
          <w:iCs w:val="1"/>
          <w:color w:val="auto"/>
        </w:rPr>
        <w:t>GSL Amstel</w:t>
      </w:r>
      <w:r>
        <w:rPr>
          <w:rFonts w:ascii="Times New Roman" w:cs="Times New Roman" w:eastAsia="Times New Roman" w:hAnsi="Times New Roman"/>
          <w:sz w:val="12"/>
          <w:szCs w:val="12"/>
          <w:color w:val="auto"/>
        </w:rPr>
        <w:t>, a 2008-built, 1,118 TEU containership, for net proceeds of $5.9 million.</w:t>
      </w:r>
    </w:p>
    <w:p>
      <w:pPr>
        <w:spacing w:after="0" w:line="132" w:lineRule="exact"/>
        <w:rPr>
          <w:sz w:val="20"/>
          <w:szCs w:val="20"/>
          <w:color w:val="auto"/>
        </w:rPr>
      </w:pPr>
    </w:p>
    <w:p>
      <w:pPr>
        <w:jc w:val="both"/>
        <w:ind w:firstLine="240"/>
        <w:spacing w:after="0" w:line="251" w:lineRule="auto"/>
        <w:rPr>
          <w:sz w:val="20"/>
          <w:szCs w:val="20"/>
          <w:color w:val="auto"/>
        </w:rPr>
      </w:pPr>
      <w:r>
        <w:rPr>
          <w:rFonts w:ascii="Times New Roman" w:cs="Times New Roman" w:eastAsia="Times New Roman" w:hAnsi="Times New Roman"/>
          <w:sz w:val="12"/>
          <w:szCs w:val="12"/>
          <w:color w:val="auto"/>
        </w:rPr>
        <w:t xml:space="preserve">In December 2024, we agreed to sell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a 5,936 TEU vessel for a sale price of $31.5 million. In February 2025, we agreed to sell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(2,220 TEU) and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(2,207 TEU) for a sale price of $11.0 million and $12.0 million, respectively. We have completed the sales of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(5,936 TEU, built 2000),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(2,220 TEU, built 2002), and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(2,207 TEU, built 2003) for an aggregate gain of $28.3 million, with the vessels delivered to their new owners in the first quarter of 2025.</w:t>
      </w:r>
    </w:p>
    <w:p>
      <w:pPr>
        <w:spacing w:after="0" w:line="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xml:space="preserve">In May 2025, </w:t>
      </w:r>
      <w:r>
        <w:rPr>
          <w:rFonts w:ascii="Times New Roman" w:cs="Times New Roman" w:eastAsia="Times New Roman" w:hAnsi="Times New Roman"/>
          <w:sz w:val="12"/>
          <w:szCs w:val="12"/>
          <w:i w:val="1"/>
          <w:iCs w:val="1"/>
          <w:color w:val="auto"/>
        </w:rPr>
        <w:t>Dimitris Y</w:t>
      </w:r>
      <w:r>
        <w:rPr>
          <w:rFonts w:ascii="Times New Roman" w:cs="Times New Roman" w:eastAsia="Times New Roman" w:hAnsi="Times New Roman"/>
          <w:sz w:val="12"/>
          <w:szCs w:val="12"/>
          <w:color w:val="auto"/>
        </w:rPr>
        <w:t xml:space="preserve"> (5,936 TEU, built 2000) was contracted to be sold for $35.6 million. On October 13, 2025, the vessel was delivered to her new buyers, for a gain of $17.9 million.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Time Charters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 time charter is a contract for the use of a vessel for a fixed period of time at a specified daily rate. Under a time charter, the vessel owner provides crew, lubricating oil, all maintenance and other services related to the vessel’s operation, the cost of which is included in the daily rate. The vessel owner is also responsible for insuring its interests in the vessel and liabilities as owner arising from its use. The charterer is responsible for substantially all of the vessel’s voyage costs, such as fuel (bunker) costs, canal fees, port expenses, extra war risk insurance costs if the vessel is deployed outside normal insurance limits and for entering areas which are specified by the insurance underwriters as being subject to additional premiums and cargo handling charges.</w:t>
      </w:r>
    </w:p>
    <w:p>
      <w:pPr>
        <w:spacing w:after="0" w:line="10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initial term for a time charter commences on the vessel’s delivery to the charterer. Time charter agreements may include options, in favor of the owner or the charterer, to extend the charter on pre-agreed terms. At the end of a charter, the vessel may be re-delivered by the charterer within a pre-agreed time window, to allow for operational flexibility. Charters may be extended on mutually agreed terms, or the vessel is re-delivered, in which case we would seek alternate employment with another charterer.</w:t>
      </w:r>
    </w:p>
    <w:p>
      <w:pPr>
        <w:spacing w:after="0" w:line="10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charters expire on different dates and over a period of time. We believe the staggered expirations of our charters reduces our exposure to rechartering risk and may mitigate the impact of the cyclical nature of the container shipping industry.</w:t>
      </w: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Daily Charter Rate</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Daily charter rate refers to the gross amount per day payable by the charterer to the owner for the use of the vessel. It may be reduced by chartering commission payable to a broker or other party. Under our time charters, hire is payable to us typically every 15 days in advance and in U.S. dollars. The daily charter rate is a fixed daily amount that will remain the same for the duration of the charter, although the charter rate can be reduced in certain circumstances where there are added costs to the charterer due to vessel performance deficiencies in speed or fuel consumption. Hire can also be reduced, pro-rata for any cost savings that we may realize, if the vessel is laid up or idled at the charterers’ request.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Operations and Expenses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As owners, we are required to maintain each vessel in class and in an efficient state of hull and machinery and are responsible for vessel costs such as crewing, lubricating oil, maintenance, insurance and drydocking. In general, the charterer is responsible for the voyage costs, which includes bunker fuel, stevedoring, port charges, towage, and taxes or dues arising out of cargo carried or ports visited while on charter, and other costs customarily borne by charterers. As described below, we have entered into ship management agreements to sub-contract the day-to-day technical management of our vessels.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Off-hire</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a time charter, when the vessel is not available for service, and is “off-hire”, the charterer generally is not required to pay charter hire (unless the charterer is responsible for the circumstances giving rise to the ship’s unavailability), and we are responsible for costs during any off-hire period, and possible additional costs of fuel to regain lost time. Additionally, in many cases the charterer has the option to extend the latest redelivery date by the off-hire days. A vessel generally will be deemed to be off-hire if there is an occurrence that affects the full working condition of the vessel, including, among other things:</w:t>
      </w:r>
    </w:p>
    <w:p>
      <w:pPr>
        <w:spacing w:after="0" w:line="129" w:lineRule="exact"/>
        <w:rPr>
          <w:sz w:val="20"/>
          <w:szCs w:val="20"/>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drydocking for repairs, maintenance or classification society inspection;</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defect, breakdown or deficiency of the ship’s hull, machinery or equipment or repairs or maintenance thereto;</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deficiency of the ship’s master, officers and/or crew, including the failure, refusal or inability of the ship’s master, officers and/or crew to perform the service immediately required, whether or not within its control;</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deviation, other than to save life or property, which results in the charterer’s lost time;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crewing labor boycotts, strikes, or certain vessel arrests; or</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governmental restrictions, prohibitions, or regulations relating to the vessel’s flag, ownership, management, or crewing;</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arrest or detention of the vessel by a third party; or</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failure to maintain the vessel in compliance with the charter’s requirements, such as maintaining operational certificates.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Ship Management and Maintenance</w:t>
      </w:r>
    </w:p>
    <w:p>
      <w:pPr>
        <w:spacing w:after="0" w:line="14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Under each of our time charters, we are responsible for the operation and technical management of each vessel, which includes crewing, lubricating oils, maintaining the vessel, periodic drydocking and performing work required by regulations. The day-to-day crewing and technical management of our vessels are provided by our ship managers pursuant to the terms of ship management agreements.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Termination and Withdrawal</w:t>
      </w:r>
    </w:p>
    <w:p>
      <w:pPr>
        <w:spacing w:after="0" w:line="145"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Generally, if a vessel is off-hire for a significant number of consecutive days, then the charterer may cancel the charter without any further consequential claims provided the vessel is free of cargo. The number of these days varies from 40 to 180 days and depends on the relevant charter agreement. Some of our charters provide that we can in some circumstances provide a substitute vessel during an anticipated extended period of off-hire.</w:t>
      </w:r>
    </w:p>
    <w:p>
      <w:pPr>
        <w:spacing w:after="0" w:line="8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For a number of vessels chartered to CMA CGM, if a vessel’s fuel consumption exceeds a level specified in the charter over a continuous period of 30 days, and the reason is within our or the vessel’s control, CMA CGM may request that we cure the deficiency. If the deficiency is not cured within 30 days after we receive notice, then CMA CGM may terminate the charter.</w:t>
      </w:r>
    </w:p>
    <w:p>
      <w:pPr>
        <w:spacing w:after="0" w:line="8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Generally, if either party informs the other party of a default under the charter, and the default is not rectified within 60 days of such notice, then the party giving the notice has the right to terminate the time charter with respect to that vessel.</w:t>
      </w:r>
    </w:p>
    <w:p>
      <w:pPr>
        <w:spacing w:after="0" w:line="10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charter will terminate in the event of a total (actual or constructive) loss of the vessel or if the vessel is requisitioned.</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 of Our Fleet</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Our management team supervises the day-to-day technical ship management of our vessels, which is provided by Technomar, a company of which our Executive Chairman is the Founder, Managing Director, and majority beneficial owner, and the commercial ship management, which is provided by Conchart, a company of which our Executive Chairman is the sole beneficial owner.</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Technical Management</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Technomar provides us with all day-to-day technical ship management services, pursuant to a technical management agreement with each of our vessel-owning subsidiaries (as amended from time to time, the “TTMA”) for all of the vessels in our fleet. Each TTMA was amended and restated in March 2024 (with effect from January 1, 2024) to expand Technomar’s responsibilities in view of EU ETS requirements, again amended and restated in March 2025 (with effect from January 1, 2025) to expand Technomar’s responsibilities in view of FEUM requirements, as detailed below, and again amended and restated in February 2026 (with effect from January 1, 2026) to clarify the applicability of fees with respect to such EU ETS and FEUM services.</w:t>
      </w:r>
    </w:p>
    <w:p>
      <w:pPr>
        <w:spacing w:after="0" w:line="9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Under each TTMA, Technomar is responsible for all day-to-day ship management, including crewing, purchasing stores, lubricating oils and spare parts, paying wages, pensions and insurance for the crew, and organizing other vessel operating necessities, including monitoring and reporting with respect to EU ETS compliance (including related Emission Trading Scheme Allowances) and FEUM compliance, and the arrangement and management of drydocking. We reimburse the ship managers for the costs they incur on our behalf. Each ship management agreement provides that we have the right to audit the accounts of our ship manager to verify the costs incurred. The ship managers have agreed to maintain our vessels so that they remain in class with valid certification. In addition, they are responsible for our current fleet’s compliance with all applicable government and other regulations, and compliance with class certifications. The ship managers are required to use their best endeavors to provide the services specified in the ship management agreements. Pursuant to the terms of the ship management agreements, we provide customary indemnification to the manager and its employees, agents and sub-contractors.</w:t>
      </w:r>
    </w:p>
    <w:p>
      <w:pPr>
        <w:spacing w:after="0" w:line="12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pay Technomar a daily management fee of Euro 850 from January 1, 2026, compared to Euro 820 for 2025, per vessel, payable in monthly instalments in advance in U.S. dollars, which, in addition to the technical ship management services noted above, includes administrative support services provided to us including accounting and financial reporting, treasury management and legal services. We also pay Technomar a fee of EUR 7,500, per annum per vessel, pro rata, for the provision of additional services relating to our compliance with (i) EU ETS requirements, effective January 1, 2024, and (ii) FEUM requirements, effective January 1, 2026, such services including, among others, gathering and monitoring emissions data, calculating emissions allowances, reporting verified emissions data to the relevant authorities, and managing and monitoring EU ETS trading accounts on our behalf. 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The fee covering EU ETS and FEUM services is subject to a good faith re-appraisal as market standards evolve.</w:t>
      </w:r>
    </w:p>
    <w:p>
      <w:pPr>
        <w:spacing w:after="0" w:line="100"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expect that additional vessels that we may acquire in the future will also be managed under a TTMA on substantially similar terms. For additional information on each TTMA, including term and termination provisions, please see “Item 7. Major Shareholders and Related Party Transactions—B. Related Party Transactions—Ship Management Agreements.”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Commercial Management</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Commercial management of vessels includes evaluating possible daily rate and duration of future employment, marketing a vessel for such employment, agreeing the detailed terms of a new charter or extension of an existing charter, administering the conduct of the charter including collection of charter-hire where necessary. Commercial management also includes negotiating sale and purchase transactions.</w:t>
      </w:r>
    </w:p>
    <w:p>
      <w:pPr>
        <w:spacing w:after="0" w:line="8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commercial management of all of our vessels is provided by Conchart pursuant to a commercial management agreement (the “CCMA”). Under each CCMA, we have agreed to pay Conchart a commission of 1.25% on all monies earned under each charter fixture. No commission is payable on any charter of a vessel in our fleet to CMA CGM in place as of November 15, 2018, if applicable. However, commission is payable to Conchart for any extension of such charters after March 31, 2021. The CCMA also provides for Conchart to be the named broker in each memorandum of agreement (or equivalent agreement) for the sale of all vessels and purchase of some vessels, at a commission of 1.00% based on the sale and purchase price for any sale and purchase of a vessel, which shall be payable upon request of the commercial manager. We expect that additional vessels that we may acquire in the future will also be managed under a CCMA on substantially similar terms. For additional information on the CCMA, including term and termination provisions, please see “Item 7. Major Shareholders and Related Party Transactions— B. Related Party Transactions—Ship Management Agreements.”</w:t>
      </w:r>
    </w:p>
    <w:p>
      <w:pPr>
        <w:spacing w:after="0" w:line="12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Pursuant to a Brokerage Services Agreement dated February 21, 2020 among us, each vessel owning subsidiary and GSL Enterprises Ltd. (“GSL Enterprises”), GSL Enterprises has been engaged by us and the vessel owning subsidiaries to provide various brokerage, administrative and other services. GSL Enterprises receives a base fee of $1,600 per month per vessel plus supplemental fees from January 1, 2026 compared to $1,300 for 2025. The Brokerage Services Agreement can be terminated by mutual agreement at any time or by either party in case of the other party’s breach of the terms of the agreement.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Insurance</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arrange for insurance coverage for each of our vessels, including hull and machinery insurance, protection and indemnity insurance and war risk insurance. We are responsible for the payment of all premiums. See “—Risk of Loss and Liability Insurance.”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Inspection by Classification Societies</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hull and machinery of every commercial vessel must be classed by a classification society authorized by the vessel’s country of registry. The classification society certifies that a vessel is safe and seaworthy in accordance with the applicable rules and regulations of the country of registry of the vessel and the International Convention for the Safety of Life at Sea of 1974, or SOLAS Convention. Most insurance underwriters make it a condition for insurance coverage that a vessel be certified “in class” by a classification society which is a member of the International Association of Classification Societies, the IACS. All of our vessels are certified as being “in class” by all the applicable Classification Societies.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maintenance of the class, regular and extraordinary surveys of hull and machinery, including the electrical plant and any special equipment classed, are required to be performed as follows: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Annual Surveys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seagoing ships, annual surveys are conducted for the hull and the machinery, including the electrical plant, and where applicable, on special equipment classed at intervals of 12 months from the date of commencement of the class period indicated in the certificate.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Intermediate Surveys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Extended annual surveys are referred to as intermediate surveys and typically are conducted two and one-half years after commissioning and each class renewal. Intermediate surveys may be carried out on the occasion of the second or third annual survey.</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Class Renewal Surveys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Class renewal surveys, also known as special surveys, are carried out on the ship’s hull and machinery, including the electrical plant, and on any special equipment classed at the intervals indicated by the character of classification for the hull. During the special survey, the vessel is thoroughly examined, including audio-gauging to determine the thickness of the steel structures. Should the thickness be found to be less than class requirements, the classification society would prescribe steel renewals. Substantial amounts of funds may have to be spent for steel renewals to pass a special survey if the vessel experiences excessive wear and tear. In lieu of the special survey, which is generally every five years, a shipowner has the option of arranging with the classification society for the vessel’s hull or machinery to be on a continuous survey cycle, in which every part of the vessel would be surveyed within a five-year cycle. At a ship-owner’s application, the surveys required for class renewal may be split according to an agreed schedule to extend over the entire period of class. This process is referred to as continuous class renewal. All areas subject to surveys as defined by the classification society are required to be surveyed at least once per class period, unless shorter intervals between surveys are otherwise prescribed. The period between two consecutive surveys of each area must not exceed five years.</w:t>
      </w:r>
    </w:p>
    <w:p>
      <w:pPr>
        <w:spacing w:after="0" w:line="108"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All vessels are also dry-docked at least once every five years for inspection of their underwater parts and for repairs related to such inspections. If any defects are found, the classification surveyor will issue a “recommendation” which must be rectified by the ship-owner within prescribed time limits.</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38"/>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4980" w:type="dxa"/>
            <w:vAlign w:val="bottom"/>
          </w:tcPr>
          <w:p>
            <w:pPr>
              <w:spacing w:after="0"/>
              <w:rPr>
                <w:sz w:val="12"/>
                <w:szCs w:val="12"/>
                <w:color w:val="auto"/>
              </w:rPr>
            </w:pPr>
          </w:p>
        </w:tc>
        <w:tc>
          <w:tcPr>
            <w:tcW w:w="312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734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77"/>
        </w:trPr>
        <w:tc>
          <w:tcPr>
            <w:tcW w:w="818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The following table shows the classification societies for our vessels and lists the date by which they need to have completed their next drydocking.</w:t>
            </w:r>
          </w:p>
        </w:tc>
        <w:tc>
          <w:tcPr>
            <w:tcW w:w="3120" w:type="dxa"/>
            <w:vAlign w:val="bottom"/>
          </w:tcPr>
          <w:p>
            <w:pPr>
              <w:spacing w:after="0"/>
              <w:rPr>
                <w:sz w:val="24"/>
                <w:szCs w:val="24"/>
                <w:color w:val="auto"/>
              </w:rPr>
            </w:pPr>
          </w:p>
        </w:tc>
      </w:tr>
      <w:tr>
        <w:trPr>
          <w:trHeight w:val="315"/>
        </w:trPr>
        <w:tc>
          <w:tcPr>
            <w:tcW w:w="32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4980" w:type="dxa"/>
            <w:vAlign w:val="bottom"/>
            <w:tcBorders>
              <w:bottom w:val="single" w:sz="8" w:color="auto"/>
            </w:tcBorders>
          </w:tcPr>
          <w:p>
            <w:pPr>
              <w:jc w:val="center"/>
              <w:ind w:left="260"/>
              <w:spacing w:after="0"/>
              <w:rPr>
                <w:sz w:val="20"/>
                <w:szCs w:val="20"/>
                <w:color w:val="auto"/>
              </w:rPr>
            </w:pPr>
            <w:r>
              <w:rPr>
                <w:rFonts w:ascii="Times New Roman" w:cs="Times New Roman" w:eastAsia="Times New Roman" w:hAnsi="Times New Roman"/>
                <w:sz w:val="12"/>
                <w:szCs w:val="12"/>
                <w:b w:val="1"/>
                <w:bCs w:val="1"/>
                <w:color w:val="auto"/>
              </w:rPr>
              <w:t>Classification Society</w:t>
            </w:r>
          </w:p>
        </w:tc>
        <w:tc>
          <w:tcPr>
            <w:tcW w:w="3120" w:type="dxa"/>
            <w:vAlign w:val="bottom"/>
            <w:tcBorders>
              <w:bottom w:val="single" w:sz="8" w:color="auto"/>
            </w:tcBorders>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w w:val="97"/>
              </w:rPr>
              <w:t>Drydocking Date</w:t>
            </w:r>
            <w:r>
              <w:rPr>
                <w:rFonts w:ascii="Times New Roman" w:cs="Times New Roman" w:eastAsia="Times New Roman" w:hAnsi="Times New Roman"/>
                <w:sz w:val="19"/>
                <w:szCs w:val="19"/>
                <w:b w:val="1"/>
                <w:bCs w:val="1"/>
                <w:color w:val="auto"/>
                <w:w w:val="97"/>
                <w:vertAlign w:val="superscript"/>
              </w:rPr>
              <w:t>(1)</w:t>
            </w:r>
          </w:p>
        </w:tc>
      </w:tr>
      <w:tr>
        <w:trPr>
          <w:trHeight w:val="133"/>
        </w:trPr>
        <w:tc>
          <w:tcPr>
            <w:tcW w:w="320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CMA CGM Thalassa</w:t>
            </w:r>
          </w:p>
        </w:tc>
        <w:tc>
          <w:tcPr>
            <w:tcW w:w="4980" w:type="dxa"/>
            <w:vAlign w:val="bottom"/>
          </w:tcPr>
          <w:p>
            <w:pPr>
              <w:jc w:val="center"/>
              <w:ind w:left="260"/>
              <w:spacing w:after="0" w:line="133" w:lineRule="exact"/>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line="133" w:lineRule="exact"/>
              <w:rPr>
                <w:sz w:val="20"/>
                <w:szCs w:val="20"/>
                <w:color w:val="auto"/>
              </w:rPr>
            </w:pPr>
            <w:r>
              <w:rPr>
                <w:rFonts w:ascii="Times New Roman" w:cs="Times New Roman" w:eastAsia="Times New Roman" w:hAnsi="Times New Roman"/>
                <w:sz w:val="12"/>
                <w:szCs w:val="12"/>
                <w:color w:val="auto"/>
              </w:rPr>
              <w:t>Dec-26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ZIM Norfolk</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7"/>
              </w:rPr>
              <w:t>Jun-30</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Anthea Y</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Jul-30</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ZIM Xiamen</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Sydney Express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Istanbul Express</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Apr-31</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Bremerhaven Express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Mar-31</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Czech</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MSC Tianjin</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Aug-29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MSC Qingdao</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Apr-29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Ningbo</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Alexandra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Sofia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Effie</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Lydia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Koi</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KR</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Apr-26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Lotus A</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KR</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7"/>
              </w:rPr>
              <w:t>Apr-30</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Cypress</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KR</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7"/>
              </w:rPr>
              <w:t>Apr-26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Eleni</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Kalliopi</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5"/>
              </w:rPr>
              <w:t>Oct-29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Grania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Colombia Express</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Panama Express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Costa Rica Express</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Nicaragua Express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Berlioz</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Julr-26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Mexico Express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 &amp; 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Jamaica Express</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 &amp; 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Christen</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Nicoletta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Agios Dimitrios</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7"/>
              </w:rPr>
              <w:t>Jun-29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Vinia</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5"/>
              </w:rPr>
              <w:t>Oct-29</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Christel Elisabeth</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Arcadia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Feb-26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Violetta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Nov-30</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Maria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rPr>
              <w:t>Dec-26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MYNY</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DD in progress</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Melita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Tegea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7"/>
              </w:rPr>
              <w:t>Jun-26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Dorothea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Ian H</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rPr>
              <w:t>Dec-29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Tripoli</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Kithira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Tinos</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Syros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Dolphin II</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Jan-27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Orca I</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Alcazar</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Château d’If</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rPr>
              <w:t>Dec-27</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Susan</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CMA CGM Jamaica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CMA CGM Sambhar</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Jul-26</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CMA CGM America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60"/>
              <w:spacing w:after="0"/>
              <w:rPr>
                <w:sz w:val="20"/>
                <w:szCs w:val="20"/>
                <w:color w:val="auto"/>
              </w:rPr>
            </w:pPr>
            <w:r>
              <w:rPr>
                <w:rFonts w:ascii="Times New Roman" w:cs="Times New Roman" w:eastAsia="Times New Roman" w:hAnsi="Times New Roman"/>
                <w:sz w:val="12"/>
                <w:szCs w:val="12"/>
                <w:color w:val="auto"/>
                <w:w w:val="99"/>
              </w:rPr>
              <w:t>Sep-26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Rossi</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Alice</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Jan-29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Eleftheria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Melina</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Nov-28</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Athena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Feb-28</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Valerie</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w w:val="99"/>
              </w:rPr>
              <w:t>DNV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7"/>
              </w:rPr>
              <w:t>Jun-30</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Mamitsa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Feb-30</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Lalo</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Aug-26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Mercer</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May-27</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Elizabeth</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7"/>
              </w:rPr>
              <w:t>Jun-26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Chloe</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60"/>
              <w:spacing w:after="0"/>
              <w:rPr>
                <w:sz w:val="20"/>
                <w:szCs w:val="20"/>
                <w:color w:val="auto"/>
              </w:rPr>
            </w:pPr>
            <w:r>
              <w:rPr>
                <w:rFonts w:ascii="Times New Roman" w:cs="Times New Roman" w:eastAsia="Times New Roman" w:hAnsi="Times New Roman"/>
                <w:sz w:val="12"/>
                <w:szCs w:val="12"/>
                <w:color w:val="auto"/>
                <w:w w:val="99"/>
              </w:rPr>
              <w:t>Feb-30</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Maren</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Mar-29</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Maira</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8"/>
              </w:rPr>
              <w:t>Aug-30</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Nikolas</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Aug-30</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Newyorker</w:t>
            </w:r>
          </w:p>
        </w:tc>
        <w:tc>
          <w:tcPr>
            <w:tcW w:w="4980" w:type="dxa"/>
            <w:vAlign w:val="bottom"/>
            <w:shd w:val="clear" w:color="auto" w:fill="CCEEFF"/>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Jan-31</w:t>
            </w:r>
          </w:p>
        </w:tc>
      </w:tr>
      <w:tr>
        <w:trPr>
          <w:trHeight w:val="144"/>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Manet</w:t>
            </w:r>
          </w:p>
        </w:tc>
        <w:tc>
          <w:tcPr>
            <w:tcW w:w="4980" w:type="dxa"/>
            <w:vAlign w:val="bottom"/>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5"/>
              </w:rPr>
              <w:t>Oct-26</w:t>
            </w:r>
          </w:p>
        </w:tc>
      </w:tr>
      <w:tr>
        <w:trPr>
          <w:trHeight w:val="144"/>
        </w:trPr>
        <w:tc>
          <w:tcPr>
            <w:tcW w:w="3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Kumasi</w:t>
            </w:r>
          </w:p>
        </w:tc>
        <w:tc>
          <w:tcPr>
            <w:tcW w:w="4980" w:type="dxa"/>
            <w:vAlign w:val="bottom"/>
            <w:shd w:val="clear" w:color="auto" w:fill="CCEEFF"/>
          </w:tcPr>
          <w:p>
            <w:pPr>
              <w:jc w:val="center"/>
              <w:ind w:left="240"/>
              <w:spacing w:after="0"/>
              <w:rPr>
                <w:sz w:val="20"/>
                <w:szCs w:val="20"/>
                <w:color w:val="auto"/>
              </w:rPr>
            </w:pPr>
            <w:r>
              <w:rPr>
                <w:rFonts w:ascii="Times New Roman" w:cs="Times New Roman" w:eastAsia="Times New Roman" w:hAnsi="Times New Roman"/>
                <w:sz w:val="12"/>
                <w:szCs w:val="12"/>
                <w:color w:val="auto"/>
                <w:w w:val="95"/>
              </w:rPr>
              <w:t>BV</w:t>
            </w:r>
          </w:p>
        </w:tc>
        <w:tc>
          <w:tcPr>
            <w:tcW w:w="3120" w:type="dxa"/>
            <w:vAlign w:val="bottom"/>
            <w:shd w:val="clear" w:color="auto" w:fill="CCEEFF"/>
          </w:tcPr>
          <w:p>
            <w:pPr>
              <w:jc w:val="center"/>
              <w:ind w:right="340"/>
              <w:spacing w:after="0"/>
              <w:rPr>
                <w:sz w:val="20"/>
                <w:szCs w:val="20"/>
                <w:color w:val="auto"/>
              </w:rPr>
            </w:pPr>
            <w:r>
              <w:rPr>
                <w:rFonts w:ascii="Times New Roman" w:cs="Times New Roman" w:eastAsia="Times New Roman" w:hAnsi="Times New Roman"/>
                <w:sz w:val="12"/>
                <w:szCs w:val="12"/>
                <w:color w:val="auto"/>
                <w:w w:val="99"/>
              </w:rPr>
              <w:t>Mar-27</w:t>
            </w:r>
          </w:p>
        </w:tc>
      </w:tr>
      <w:tr>
        <w:trPr>
          <w:trHeight w:val="155"/>
        </w:trPr>
        <w:tc>
          <w:tcPr>
            <w:tcW w:w="32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Julie</w:t>
            </w:r>
          </w:p>
        </w:tc>
        <w:tc>
          <w:tcPr>
            <w:tcW w:w="4980" w:type="dxa"/>
            <w:vAlign w:val="bottom"/>
          </w:tcPr>
          <w:p>
            <w:pPr>
              <w:jc w:val="center"/>
              <w:ind w:left="260"/>
              <w:spacing w:after="0"/>
              <w:rPr>
                <w:sz w:val="20"/>
                <w:szCs w:val="20"/>
                <w:color w:val="auto"/>
              </w:rPr>
            </w:pPr>
            <w:r>
              <w:rPr>
                <w:rFonts w:ascii="Times New Roman" w:cs="Times New Roman" w:eastAsia="Times New Roman" w:hAnsi="Times New Roman"/>
                <w:sz w:val="12"/>
                <w:szCs w:val="12"/>
                <w:color w:val="auto"/>
              </w:rPr>
              <w:t>RINA</w:t>
            </w:r>
          </w:p>
        </w:tc>
        <w:tc>
          <w:tcPr>
            <w:tcW w:w="3120" w:type="dxa"/>
            <w:vAlign w:val="bottom"/>
          </w:tcPr>
          <w:p>
            <w:pPr>
              <w:jc w:val="center"/>
              <w:ind w:right="340"/>
              <w:spacing w:after="0"/>
              <w:rPr>
                <w:sz w:val="20"/>
                <w:szCs w:val="20"/>
                <w:color w:val="auto"/>
              </w:rPr>
            </w:pPr>
            <w:r>
              <w:rPr>
                <w:rFonts w:ascii="Times New Roman" w:cs="Times New Roman" w:eastAsia="Times New Roman" w:hAnsi="Times New Roman"/>
                <w:sz w:val="12"/>
                <w:szCs w:val="12"/>
                <w:color w:val="auto"/>
                <w:w w:val="98"/>
              </w:rPr>
              <w:t>Nov-27</w:t>
            </w:r>
          </w:p>
        </w:tc>
      </w:tr>
    </w:tbl>
    <w:p>
      <w:pPr>
        <w:spacing w:after="0" w:line="122" w:lineRule="exact"/>
        <w:rPr>
          <w:sz w:val="20"/>
          <w:szCs w:val="20"/>
          <w:color w:val="auto"/>
        </w:rPr>
      </w:pPr>
    </w:p>
    <w:p>
      <w:pPr>
        <w:ind w:left="60"/>
        <w:spacing w:after="0"/>
        <w:tabs>
          <w:tab w:leader="none" w:pos="280" w:val="left"/>
        </w:tabs>
        <w:rPr>
          <w:sz w:val="20"/>
          <w:szCs w:val="20"/>
          <w:color w:val="auto"/>
        </w:rPr>
      </w:pPr>
      <w:r>
        <w:rPr>
          <w:rFonts w:ascii="Times New Roman" w:cs="Times New Roman" w:eastAsia="Times New Roman" w:hAnsi="Times New Roman"/>
          <w:sz w:val="12"/>
          <w:szCs w:val="12"/>
          <w:color w:val="auto"/>
        </w:rPr>
        <w:t>(1)</w:t>
        <w:tab/>
        <w:t>Expected date of drydocking assumes that the vessel qualifies for in-water inspections at the intermediate survey.</w:t>
      </w:r>
    </w:p>
    <w:p>
      <w:pPr>
        <w:spacing w:after="0" w:line="2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table does not take account of discretionary drydockings to effect vessel upgrades, or in response to proposed or actual regulatory changes such as for ballast water treatment.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Competition</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operate in markets that are highly competitive. We expect to compete for vessel purchases and charters based upon price, customer relationships, operating expertise, professional reputation and size, age, and condition of the vessel. We also expect to compete with many other companies, both other owners and operators to, among other things, purchase newbuildings and secondhand vessels to grow our fleet.</w:t>
      </w:r>
    </w:p>
    <w:p>
      <w:pPr>
        <w:spacing w:after="0" w:line="8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expect substantial competition in obtaining new containership charters from a number of experienced and substantial companies. Many of these competitors may have greater financial resources than us, may operate larger fleets, may have been established for longer and may be able to offer better charter rates. Due to the recent industry downturn, there has been an increased number of vessels available for charter, including many from owners with strong reputations and experience. Excess supply of vessels in the container shipping market results in a more active short-term charter market and greater price competition for charters. As a result of these factors, we may be unable to purchase additional containerships, expand our relationships with existing customers or obtain new charterers on a profitable basis, if at all, which would have a material adverse effect on our business, results of operations, and financial condition.</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Permits and Authorizations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are required by various governmental and other agencies to obtain certain permits, licenses, and certificates with respect to our vessels. The kinds of permits, licenses, and certificates required depend upon several factors, including the commodities transported, the waters in which the vessel operates, the nationality of the vessel’s crew, and the age of a vessel. Not all of the permits, licenses, and certificates currently required to operate the vessels globally have been obtained by us or our ship managers. For example, Julie has not been certified to comply with all U.S., Canadian, and Panama Canal regulations, as our charterers do not intend to operate it in these waters. However, permits can be obtained in case charterers wish to trade the vessels in the U.S. or Canada and/or transit the Panama Canal.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and Other Regulations</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Government regulation significantly affects our business and the operation of our vessels. We are subject to international conventions and codes, and national, state, and local laws and regulations in the jurisdictions in which our vessels operate or are registered, including, among others, those governing the generation, management, and disposal of hazardous substances and wastes, the cleanup of oil spills and other contamination, air emissions, and water discharges. Because such laws and regulations frequently change, we cannot predict the ultimate cost of complying with these requirements or the impact of these requirements on the resale or current market value or useful lives of our vessels.</w:t>
      </w:r>
    </w:p>
    <w:p>
      <w:pPr>
        <w:spacing w:after="0" w:line="96"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 variety of government, quasi-government, and private entities require us to obtain permits, licenses, or certificates for the operation of our vessels. Failure to maintain necessary permits or approvals could require us to incur substantial costs or temporarily suspend the operation of one or more of our vessels in one or more ports.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Increasing environmental concerns have created a demand for vessels that conform to the strictest environmental standards. We are required to maintain operating standards for all of our vessels that emphasize operational safety, quality maintenance, continuous training of our officers and crews, and compliance with United States and international regulations and with flag state administrations.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is an overview of certain material governmental regulations that affect our business and the operation of our vessels.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Maritime Organization</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IMO is the United Nations’ agency for maritime safety. The IMO has adopted international conventions that impose liability for pollution in international waters and a signatory’s territorial waters. For example, the IMO’s International Convention for the Prevention of Pollution from Ships, or MARPOL, imposes environmental standards on the shipping industry relating to, among other things, pollution prevention and procedures, technical standards, oil spills management, transportation of marine pollutants, and air emissions.</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Annex VI of MARPOL, which regulates air pollution from vessels, sets limits on sulfur oxide (or NOx), nitrogen oxide and particulate matter emissions from vessel exhausts and prohibits deliberate emissions of ozone depleting substances, such as chlorofluorocarbons. We believe all of our vessels currently are Annex VI compliant. Annex VI also includes a global cap on the sulfur content of fuel oil with a lower cap (currently 0.1%) on the sulfur content applicable inside Emission Control Areas, or ECAs. Existing ECAs include the Baltic Sea, the North Sea, including the English Channel, the North American area, and the U.S. Caribbean Sea area. At the MEPC78, the IMO approved a proposal for a new ECA for the Mediterranean. These amendments, designating the Mediterranean Sea, as a whole, as an ECA for sulfur oxides and particular matter entered into force on May 1, 2025. MEPC 82 adopted additional amendments to Annex VI designating the Canadian Arctic and the Norwegian Sea as ECAs, which entered into force on March 1, 2026, with effect from March 1, 2027. Other areas in China are subject to local regulations that impose stricter emission controls. Additional geographical areas may be designated as ECAs in the future. If other ECAs are approved by the IMO or other new or more stringent requirements relating to emissions from marine diesel engines or port operations by vessels are adopted by the U.S. Environmental Protection Agency, or EPA, or the states or countries where we operate, compliance with these regulations could entail significant capital expenditures or otherwise increase the costs of our operations.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76"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Annex VI establishes tiers of stringent nitrogen oxide (Nox) emissions standards for marine diesel engines, depending on their date of installation. Now Annex VI provides for a three-tier reduction in NOx emissions from marine diesel engines, with the final tier (or Tier III) applicable to engines installed on vessels constructed on or after January 1, 2016 and which operate in the North American ECA or the U.S. Caribbean Sea ECA as well as ECAs designated in the future by the IMO (such as the Canadian Arctic and the Norwegian Sea). At MEPC 70 and MEPC 71, the MEPC approved the North Sea and Baltic Sea as ECAs for Nox emissions for ships built after January 1, 2021. The EPA promulgated equivalent (and in some senses stricter) emissions standards in late 2009. Additionally, amendments to Annex II, which strengthen discharge requirements for cargo residues and tank washings in specified sea areas (including Northwest European waters, Baltic Sea area, Western European waters and Norwegian Sea), came into effect in January 2021. Additional ECAs could be established in the future.</w:t>
      </w:r>
    </w:p>
    <w:p>
      <w:pPr>
        <w:spacing w:after="0" w:line="99"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From January 1, 2020, the IMO mandated global sulfur cap of 0.5% m/m was implemented. Vessels comply either by being fitted with exhaust gas cleaning systems (“scrubbers”), allowing the vessel to continue to use less expensive, higher sulfur content fuel or by burning more expensive, low sulfur fuel. From March 1, 2020, vessels not fitted with exhaust gas scrubbers cannot have high sulfur content fuel on board. Additional amendments to Annex VI revising, among other terms, the definition of “Sulphur content of fuel oil” (if the flashpoint is under 70°C) and “low-flashpoint fuel” and pertaining to the sampling and testing of onboard fuel oil, became effective in April 2022. Amendments to Annex VI, requiring bunker delivery notes to include a flashpoint of fuel oil or a statement that the flashpoint has been measured at or above 70°C as mandatory information, became effective on May 1, 2024. Additional amendments intended to prevent the supply of oil fuel not complying with SOLAS flashpoint requirements and adding new definitions regarding probability of ignition became effective January 1, 2026.</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existing time charters call for our customers to supply fuel that complies with Annex VI. It may be that charterers of certain of our vessels will seek to comply with Annex VI by agreeing with us to have scrubbers installed.</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These amendments or other changes could require modifications to our vessels to achieve compliance, and the cost of compliance may be significant to our operations.</w:t>
      </w:r>
    </w:p>
    <w:p>
      <w:pPr>
        <w:spacing w:after="0" w:line="123"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IMO has also adopted technical and operational measures aimed at reducing greenhouse gas emissions from vessels. These include the “Energy Efficiency Design Index,” (EEDI) which is mandatory for newbuilding vessels, and the “Ship Energy Efficiency Management Plan,” (SEEMP) which is mandatory for all vessels. Under these measures, by 2025, all new ships built will be 30% more energy efficient than those built in 2014. The IMO now requires ships of 5,000 gross tonnage, or grt, or more to record and report their fuel consumption to their flag state at the end of each calendar year. The IMO plans to use this data to adopt an initial greenhouse gas emissions reduction strategy. In 2016 IMO adopted the mandatory IMO Data Collection System (DCS) for ships to collect and report fuel oil consumption data from ships over 5,000 GT. The IMO DCS covers any maritime activity carried out by ships, including dredging, pipeline laying, and off-shore installations. The SEEMPs of all ships covered by the IMO DCS must include a description of the methodology for data collection and reporting. MEPC 81 adopted amendments to the guidelines for the development of SEEMPs, including methodology for collecting data. These amendments went into effect on August 1, 2025. A range of IMO-led global projects initiated since 2012 support developing countries in ratifying MARPOL Annex VI and implementing the energy efficiency measures and to support and encourage pilot projects, innovation and R&amp;D. Beginning in January 2023, Annex VI requires EEXI and CII certification. The first annual reporting was to be completed in 2023, with initial ratings given in 2024. Phase 1 of the review of effectiveness of the measures has been finalized; Phase 2 of the review will run from 2026 to 2028 to further develop the SEMP framework and metrics.</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IMO’s International Convention on Civil Liability for Bunker Oil Pollution Damage, or the Bunker Convention, imposes, subject to limited exceptions, strict liability on vessel owners for pollution damage in jurisdictional waters of ratifying states, which does not include the United States, caused by discharges of “bunker oil.” The Bunker Convention also requires owners of registered vessels over a certain size to maintain insurance for pollution damage in an amount generally equal to the limits of liability under the applicable national or international limitation regime. With respect to non-ratifying states, liability for spills or releases of oil carried as fuel in a ship’s bunkers typically is determined by the national or other domestic laws in the jurisdiction where the events or damages occur on a fault or strict-liability basis. We believe our vessels comply with the Bunker Convention. Ships are required to maintain a certificate attesting that they maintain adequate insurance to cover an incident. In jurisdictions such as the United States where the Bunker Convention has not been adopted, various legislative schemes or common law govern, and liability is imposed either on the basis of fault or on a strict-liability basis.</w:t>
      </w:r>
    </w:p>
    <w:p>
      <w:pPr>
        <w:spacing w:after="0" w:line="107" w:lineRule="exact"/>
        <w:rPr>
          <w:sz w:val="20"/>
          <w:szCs w:val="20"/>
          <w:color w:val="auto"/>
        </w:rPr>
      </w:pPr>
    </w:p>
    <w:p>
      <w:pPr>
        <w:jc w:val="both"/>
        <w:ind w:firstLine="240"/>
        <w:spacing w:after="0" w:line="233" w:lineRule="auto"/>
        <w:rPr>
          <w:sz w:val="20"/>
          <w:szCs w:val="20"/>
          <w:color w:val="auto"/>
        </w:rPr>
      </w:pPr>
      <w:r>
        <w:rPr>
          <w:rFonts w:ascii="Times New Roman" w:cs="Times New Roman" w:eastAsia="Times New Roman" w:hAnsi="Times New Roman"/>
          <w:sz w:val="12"/>
          <w:szCs w:val="12"/>
          <w:color w:val="auto"/>
        </w:rPr>
        <w:t>The IMO’s International Convention for the Control and Management of Ships’ Ballast Water and Sediments, or the BWM Convention, requires the installation of ballast water treatment systems on certain newbuilding vessels for which the keel is laid after September 8, 2017 and for existing vessels at the renewal of their International Oil Pollution Prevention Certificate (IOPP) after September 8, 2019. The MEPC adopted updated guidelines for approval of ballast water management systems at MEPC 70. Ships over 400 gross tons generally must comply with a “D-1 standard,” requiring the exchange of ballast water only in open seas and away from coastal waters. The “D-2 standard” specifies the maximum amount of viable organisms allowed to be discharged, and compliance dates vary depending on the IOPP renewal dates. Depending on the date of the IOPP renewal survey, existing vessels must comply with the D-2 standard on or after September 8, 2019. For most ships, compliance with the D-2 standard will involve installing on-board systems to treat ballast water and eliminate unwanted organisms. Ballast water management systems, which include systems that make use of chemical, biocides, organisms or biological mechanisms, or which alter the chemical or physical characteristics of the ballast water, must be approved in accordance with IMO Guidelines (Regulation D-3). As of October 13, 2019, MEPC 72’s amendments to the BWM Convention took effect, making the Code for Approval of Ballast Water Management Systems, which governs assessment of ballast water management systems, mandatory rather than permissive, and formalized an implementation schedule for the D-2 standard. Under these amendments, all ships must meet the D-2 standard by September 8, 2024. Costs of compliance with these regulations may be substantial. The BWM Convention also requires ships to carry an approved ballast water management plan, record books and statement of compliance. Additionally, in November 2020, MEPC 75 adopted amendments to the BWM Convention requiring a commissioning test of the ballast water management system for the initial survey or when performing an additional survey for retrofits. This analysis will not apply to ships that already have an installed BWM system certified under the BWM Convention. These amendments became effective on June 1, 2022. Additional amendments to the BWM Convention, concerning the form of the Ballast Water Record Book entered into force on February 1, 2025, and additional amendments concerning the use of Ballast Water Record Books in electronic form entered into force on October 1, 2025. We will be required to incur significant costs to install these ballast water treatment systems on all our vessels before the applicable due dates.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IMO’s International Convention on the Control of Harmful Anti-fouling Systems on Ships, or the “Anti-fouling Convention,” prohibits the use of organotin compound coatings to prevent the attachment of mollusks and other sea life to the hulls of vessels and requires vessels over 400 grt engaged in international voyages to undergo an initial survey before the vessel is put into service or before an International Anti fouling System Certificate is issued for the first time, or subsequent surveys when the anti-fouling systems are altered or replaced. In 2023, amendments to the Anti-fouling Convention entered into effect and include controls on the biocide cybutryne; ships shall not apply or re-apply anti-fouling systems containing this substance from January 1, 2023. The amendments require ships to remove this substance, or apply a coating to anti-fouling systems with this substance at the next scheduled renewal of the anti-fouling system after January 1, 2023. We have obtained Anti-fouling System Certificates for all of our vessels that are subject to the Anti-fouling Convention. MEPC 77 adopted a non-binding resolution which urges Member States and ship operators to voluntarily use distillate or other cleaner alternative fuels or methods of propulsion that are safe for ships and could contribute to the reduction of Black Carbon emissions from ships when operating in or near the Arctic.</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Amendments to MARPOL Annex V (regulation for the prevention of pollution by garbage from ships) entered into force on March 1, 2018 and included criteria for determining whether cargo residues are harmful to the marine environment, and a new Garbage Record Book format with a new garbage category for e-waste. As all our existing containerships are compliant with MARPOL Annex V requirements; additional amendments could cause us to incur additional operational costs for the handling of garbage produced on our fleet.</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IMO also regulates vessel safety. The International Safety Management Code, or the ISM Code, provides an international standard for the safe management and operation of ships and for pollution prevention. The ISM Code requires our vessels to develop and maintain an extensive “Safety Management System” that includes the adoption of a safety and environmental protection policy and implementation procedures. A Safety Management Certificate is issued under the provisions of the SOLAS Convention to each vessel with a Safety Management System verified to be in compliance with the ISM Code. No vessel can obtain a safety management certificate unless its manager has been awarded a document of compliance, issued by each flag state, under the ISM Code. Failure to comply with the ISM Code may subject a party to increased liability, may decrease available insurance coverage for the affected vessels, and may result in a denial of access to, or detention in, certain ports. All of the vessels in our fleet are ISM Code-certified. Furthermore, all seafarers are required to meet the standards of the International Convention on Standards of Training, Certification and Watchkeeping for Seafarers, or STCW, and be in possession of a valid STCW certificate. Flag states that have ratified the SOLAS Convention and STCW generally employ the classification societies to undertake surveys to confirm compliance.</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Furthermore, recent action by the IMO’s Maritime Safety Committee and United States agencies indicate that cybersecurity regulations for the maritime industry are likely to be further developed in the near future in an attempt to combat cybersecurity threats. For example, under the IMO’s Resolution MSC.428(98), cyber risks must be appropriately addressed in existing safety management systems no later than the first annual verification of a company’s Document of Compliance after January 1, 2021. This might cause companies to create additional procedures for monitoring cybersecurity, which could require additional expenses and/or capital expenditures.</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Increasingly, various regions are adopting additional, unilateral requirements on the operation of vessels in their territorial waters. These regulations, such as those described below, apply to our vessels when they operate in the relevant regions’ waters and can add to operational and maintenance costs, as well as increase the potential liability that applies to violations of the applicable requirements.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United States Regulations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United States Oil Pollution Act of 1990 and CERCLA</w:t>
      </w:r>
    </w:p>
    <w:p>
      <w:pPr>
        <w:spacing w:after="0" w:line="12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United States Oil Pollution Act of 1990 (“OPA”), establishes an extensive regulatory and liability regime for the protection and cleanup of the environment from oil spills. The Comprehensive Environmental Response, Compensation and Liability Act (“CERCLA”), governs spills or releases of hazardous substances other than petroleum or petroleum products. Under OPA and CERCLA, vessel owners, operators and bareboat charterers whose vessels trade or operate within the U.S., its territories and possessions or whose vessels operate in U.S. waters, which includes the U.S.’s territorial sea and its 200 nautical mile exclusive economic zone around the U.S., are jointly and, subject to limited exceptions, strictly liable for all containment and clean-up costs and other damages arising from discharges or threatened discharges of oil or hazardous substances, as applicable, from their vessels. OPA and CERCLA define these damages broadly to include certain direct and indirect damages and losses, including but not limited to assessment of damages, remediation, damages to natural resources such as fish and wildlife habitat, and agency oversight costs. Although our vessels do not carry oil as cargo, they do carry oil as bunkers, or fuel.</w:t>
      </w:r>
    </w:p>
    <w:p>
      <w:pPr>
        <w:spacing w:after="0" w:line="109"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Under OPA and CERCLA, the liability of responsible parties is limited to a specified amount, which is periodically updated. Effective March 2023, the USCG adjusted the limits of OPA liability for non-tank vessels to the greater of $1,300 per gross ton or $1,076,000 (subject to periodic adjustment for inflation). These limits of liability do not apply if an incident was proximately caused by the violation of an applicable U.S. federal safety, construction or operating regulation by a responsible party (or its agent, employee or a person acting pursuant to a contractual relationship), or a responsible party's gross negligence or willful misconduct. CERCLA contains a similar liability regime whereby owners and operators of vessels are liable for clean-up, removal, and remedial costs, as well as damages for injury to, or destruction or loss of, natural resources, including the reasonable costs associated with assessing the same, and health assessments or health effects studies. There is no liability if the discharge of a hazardous substance results solely from the act or omission of a third party, an act of God or an act of war. Liability under CERCLA is limited to the greater of $300 per gross ton or $5.0 million for vessels carrying a hazardous substance as cargo and the greater of $300 per gross ton or $500,000 for any other vessel. Liability limits do not apply under OPA if the responsible party fails or refuses to report the incident where the responsible party knows or has reason to know of the incident or reasonably cooperate and assist as requested in connection with oil removal activities or comply with an order issued under the U.S. Federal Water Pollution Act or Intervention of the High Seas Act, or under CERCLA if the responsible person fails or refused to provide all reasonable cooperation and assistance as requested in connection with response activities where the vessel is subject to OPA. Under both OPA and CERCLA, liability is unlimited if the incident is caused by gross negligence, willful misconduct, or a violation of certain regulations.</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maintain pollution liability coverage insurance in the amount of $1 billion per incident for each of our vessels. If the damages from a catastrophic spill were to exceed our insurance coverage it could harm our business, financial condition, and results of operation. Vessel owners and operators must establish and maintain with the U.S. Coast Guard evidence of financial responsibility sufficient to meet their potential aggregate liabilities under OPA and CERCLA. Evidence of financial responsibility may be demonstrated by showing proof of insurance, surety bonds, self-insurance, or guarantees. We have obtained the necessary U.S. Coast Guard financial assurance certificates, or COFRs, for each of our vessels currently in service and trading to the United States. Owners or operators of certain vessels operating in U.S. waters also must prepare and submit to the U.S. Coast Guard a response plan for each vessel, which plan, among other things, must address a “worst case” scenario environmental discharge and describe crew training and drills to address any discharge. Each of our vessels has the necessary response plans in place.</w:t>
      </w:r>
    </w:p>
    <w:p>
      <w:pPr>
        <w:spacing w:after="0" w:line="9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OPA and CERCLA do not prohibit individual states from imposing their own liability regimes with regard to oil pollution or hazardous substance incidents occurring within their boundaries, and some states have enacted legislation providing for unlimited liability for spills. In some cases, states that have enacted such legislation have not yet issued implementing regulations defining vessel owners’ responsibilities under these laws. We intend to comply with all applicable state regulations in the ports where our vessels call. Nevertheless, future changes to OPA, CERCLA, and other United States environmental regulations could adversely affect our operations.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 Water Act</w:t>
      </w:r>
    </w:p>
    <w:p>
      <w:pPr>
        <w:spacing w:after="0" w:line="11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Clean Water Act, or CWA, establishes the basic structure for regulating discharges of pollutants into the “waters of the United States” and regulating quality standards for surface waters. The CWA authorizes civil and criminal penalties for discharging pollutants without a permit, failure to meet any requirement of a permit, and also allows for citizen suits against violators. The CWA imposes strict liability in the form of penalties for any unauthorized discharges, and substantial liability for the costs of removal, remediation and damages and complements the remedies available under OPA and CERCLA. In 2015, the EPA expanded the definition of waters of the United States (“WOTUS”), thereby expanding federal authority under the CWA. On December 30, 2022, the EPA and U.S. Army Corps of Engineers announced the final revised WOTUS rule, which was published on January 18, 2023. In August 2023, the EPA and Department of the Army issued a final rule to amend the revised WOTUS definition to conform the definition of WOTUS to the U.S. Supreme Court’s interpretation of the CWA in its decision dated May 25, 2023. This final rule became effective September 8, 2023 and operates to limit the CWA. On March 12, 2025, the EPA announced it would work with the U.S. Army Corps of Engineers to review the definition of WOTUS and undertake a rulemaking process to revise such definition. On November 17, 2025, a new definition of WOTUS was proposed to align with the Supreme Court’s decision, narrowing federal jurisdiction and clarifying exclusions. Public comments closed on January 5, 2026 and as of March 11, 2026, EPA and U.S. Army Corps of Engineers have not announced an expected date for the final WOTUS rule.</w:t>
      </w:r>
    </w:p>
    <w:p>
      <w:pPr>
        <w:spacing w:after="0" w:line="98"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EPA and the USCG have also enacted rules relating to ballast water discharge, compliance with which requires the installation of equipment on our vessels to treat ballast water before it is discharged or the implementation of other port facility disposal arrangements or procedures at potentially substantial costs, and/or otherwise restrict our vessels from entering U.S. Waters. The EPA will regulate these ballast water discharges and other discharges incidental to the normal operation of certain vessels within United States waters pursuant to the Vessel Incidental Discharge Act (“VIDA”), which was signed into law on December 4, 2018 and requires that the U.S. Coast Guard develop implementation, compliance, and enforcement regulations regarding ballast water. On October 26, 2020, the EPA published a Notice of Proposed rulemaking for Vessel Incidental Discharge National Standards of Performance under VIDA, and in November 2020, held virtual public meetings. On September 20, 2024, the EPA finalized national standards of performance for non-recreational vessels 79-feet in length and longer with respect to incidental discharges and on October 9, 2024, the Vessel Incidental Discharge National Standards of Performance were published. Within two years of publication, the USCG is required to develop corresponding implementation regulations. The USCG has not yet issued corresponding enforcement standards, and the current 2013 VGP scheme therefore remains in effect. Several U.S. states have added specific requirements to the Vessel General Permit and, in some cases, may require vessels to install ballast water treatment technology to meet biological performance standards. In addition, several U.S. states have added specific requirements to the VGP, including submission of a Notice of Intent, or NOI, or retention of a PARI form and submission of annual reports.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Non-military, non-recreational vessels greater than 79 feet in length must continue to comply with the requirements of the VGP. Under the U.S. National Invasive Species Act, or NISA, newbuilding vessels constructed after December 1, 2013 are required to have a U.S. Coast Guard-approved ballast water treatment system installed, and existing vessels, are required to have a ballast water treatment system installed on the first scheduled dry-dock after January 1, 2016. Compliance with the EPA, U.S. Coast Guard and state regulations could require the installation of ballast water treatment equipment on our vessels or the implementation of other port facility disposal procedures at potentially substantial cost, or may otherwise restrict our vessels from entering U.S. waters.</w:t>
      </w:r>
    </w:p>
    <w:p>
      <w:pPr>
        <w:spacing w:after="0" w:line="107"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In addition, the Act to Prevent Pollution from Ships, or APPS, implements various provisions of MARPOL and applies to larger foreign-flag ships when operating in U.S. waters. The regulatory mechanisms established in APPS to implement MARPOL are separate and distinct from the CWA and other federal environmental laws. Civil and criminal penalties may be assessed under APPS for non-compliance.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Additional Ballast Water Regulations</w:t>
      </w:r>
    </w:p>
    <w:p>
      <w:pPr>
        <w:spacing w:after="0" w:line="14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The U.S. Coast Guard regulations also require vessels to maintain a vessel-specific ballast water management plan that addresses training and safety procedures, fouling maintenance and sediment removal procedures. Individual U.S. states have also enacted laws to address invasive species through ballast water and hull cleaning management and permitting requirements.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Clean Air Act</w:t>
      </w:r>
    </w:p>
    <w:p>
      <w:pPr>
        <w:spacing w:after="0" w:line="14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Clean Air Act, or the CAA, and its implementing regulations subject our vessels to vapor control and recovery requirements when cleaning fuel tanks and conducting other operations in regulated port areas and to air emissions standards for our engines while operating in U.S. waters. The EPA has adopted standards that apply to certain engines installed on U.S. vessels and to marine diesel fuels produced and distributed in the United States. These standards are consistent with Annex VI of MARPOL and establish significant reductions for vessel emissions of particulate matter, sulfur oxides, and nitrogen oxides.</w:t>
      </w:r>
    </w:p>
    <w:p>
      <w:pPr>
        <w:spacing w:after="0" w:line="9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The CAA also requires states to draft State Implementation Plans, or SIPs, designed to attain national health-based air quality standards in primarily major metropolitan and industrial areas. Several SIPs regulate emissions from degassing operations by requiring the installation of vapor control equipment on vessels. California has enacted regulations which apply to ocean-going vessels’ engines when operating within 24 miles of the California coast and require operators to use low sulfur fuels. California also approved regulations to reduce emissions from diesel auxiliary engines on certain ocean-going vessels while in California ports, including container ship fleets that make 25 or more annual visits to California ports, which became effective in January 2023 with respect to containerships. These federal and state requirements may increase our capital expenditures and operating costs while in applicable ports. As with other U.S. environmental laws, failure to comply with the Clean Air Act may subject us to enforcement action, including payment of civil or criminal penalties and citizen suits.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European Union Requirements</w:t>
      </w:r>
    </w:p>
    <w:p>
      <w:pPr>
        <w:spacing w:after="0" w:line="118" w:lineRule="exact"/>
        <w:rPr>
          <w:sz w:val="20"/>
          <w:szCs w:val="20"/>
          <w:color w:val="auto"/>
        </w:rPr>
      </w:pPr>
    </w:p>
    <w:p>
      <w:pPr>
        <w:jc w:val="both"/>
        <w:ind w:firstLine="240"/>
        <w:spacing w:after="0" w:line="263" w:lineRule="auto"/>
        <w:rPr>
          <w:sz w:val="20"/>
          <w:szCs w:val="20"/>
          <w:color w:val="auto"/>
        </w:rPr>
      </w:pPr>
      <w:r>
        <w:rPr>
          <w:rFonts w:ascii="Times New Roman" w:cs="Times New Roman" w:eastAsia="Times New Roman" w:hAnsi="Times New Roman"/>
          <w:sz w:val="11"/>
          <w:szCs w:val="11"/>
          <w:color w:val="auto"/>
        </w:rPr>
        <w:t>In waters of the EU, our vessels are subject to regulation by EU-level legislation, including directives implemented by the various member states through laws and regulations of these requirements. These laws and regulations prescribe measures, among other things, to prevent pollution, protect the environment, and support maritime safety. For instance, the EU has adopted directives that require member states to refuse access to their ports to certain sub-standard vessels, according to various factors, such as the vessel’s condition, flag, and number of previous detentions (Directive 2009/16) of vessels using their ports annually (based on an inspection “share” of the relevant member state of the total number of inspections to be carried out within the EU and the Paris Memorandum of Understanding on Port State Control region), inspect all vessels which are due for a mandatory inspection (based on, among other things, their type, age, risk profile, and the time of their last inspection) and carry out more frequent inspections of vessels with a high risk profile. If deficiencies are found that are clearly hazardous to safety, health, or the environment, the state is required to detain the vessel or stop loading or unloading until the deficiencies are addressed. Member states are also required to implement their own separate systems of proportionate penalties for breaches of these standards.</w:t>
      </w:r>
    </w:p>
    <w:p>
      <w:pPr>
        <w:spacing w:after="0" w:line="9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vessels are also subject to inspection by appropriate classification societies. Classification societies typically establish and maintain standards for the construction and classification of vessels, supervise that construction in accordance with such standards, and carry out regular surveys of ships in service to ensure compliance with such standards. The EU has adopted legislation (Regulation (EC) No 391/2009 and Directive 2009/15/EC, as amended and supplemented from time to time) that provides member states with greater authority and control over classification societies, including the ability to seek to suspend or revoke the authority of classification societies that are negligent in their duties. The EU requires member states to monitor these organizations’ compliance with EU inspection requirements and to suspend any organization whose safety and pollution prevention performance becomes unsatisfactory.</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EU’s directive on the sulfur content of fuels (Directive (EU) 2016/802, which consolidates Directive 1999/32/EC and its various amendments) restricts the maximum sulfur content of marine fuels used in vessels operating in EU member states’ territorial seas, exclusive economic zones, and pollution control zones. The directive provides for more stringent rules on maximum sulfur content of marine fuels applicable in specific Sulfur Emission Control Areas, or SECAs, such as the Baltic Sea and the North Sea, including the English Channel. Further sea areas may be designated as SECAs in the future by the IMO in accordance with Annex VI of MARPOL. Under this directive, we may be required to make expenditures to comply with the sulfur fuel content limits in the marine fuel our vessels use in order to avoid delays or other obstructions to their operations, as well as any enforcement measures which may be imposed by the relevant member states for non-compliance with the provisions of the directive. We also may need to make other expenditures (such as expenditures related to washing or filtering exhaust gases) to comply with relevant sulfur oxide emissions levels. The directive has been amended to bring the above requirements in line with Annex VI of MARPOL. It also makes certain of these requirements more stringent. These and other related requirements may require additional capital expenditures and increase our operating costs.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Through Directive 2005/35/EC (as amended by Directive 2009/123/EC and as further amended and supplemented from time to time), the EU requires member states to cooperate to detect pollution discharges and impose criminal sanctions for certain pollution discharges committed intentionally, recklessly or by serious negligence and to initiate proceedings against ships at their next port of call following the discharge. Penalties may include fines and civil and criminal penalties. Directive 2000/59/EC (as amended and supplemented from time to time) requires all ships (except for warships, naval auxiliary, or other state-owned or state-operated ships on non-commercial service), irrespective of flag, calling at, or operating within, ports of member states to deliver all ship-generated waste and cargo residues to port reception facilities. Under the directive, a fee is payable by the ships for the use of the port reception facilities, including the treatment and disposal of the waste. The ships may be subject to an inspection for verification of their compliance with the requirements of the directive and penalties may be imposed for their breach.</w:t>
      </w:r>
    </w:p>
    <w:p>
      <w:pPr>
        <w:spacing w:after="0" w:line="9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EU also authorizes member states to adopt the IMO’s Bunker Convention, discussed above, that imposes strict liability on shipowners for pollution damage caused by spills of oil carried as fuel in vessels’ bunkers and requires vessels of a certain size to maintain financial security to cover any liability for such damage. Most EU member states have ratified the Bunker Convention.</w:t>
      </w:r>
    </w:p>
    <w:p>
      <w:pPr>
        <w:spacing w:after="0" w:line="83"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The EU adopted a regulation (EU Ship Recycling Regulation (1257/2013)), which sets forth rules relating to vessel recycling and management of hazardous materials on vessels. The regulation contains requirements for the recycling of vessels at approved recycling facilities that must meet certain requirements, so as to minimize the adverse effects of recycling on human health and the environment. The regulation also contains rules for the control and proper management of hazardous materials on vessels and prohibits or restricts the installation or use of certain hazardous materials on vessels. The regulation facilitated the ratification of the IMO’s Hong Kong International Convention for the Safe and Environmentally Sound Recycling of Ships, 2009, or the HKC. The HKC entered into force on June 26, 2025. The EU regulation applies to vessels flying the flag of a member state and certain of its provisions apply to vessels flying the flag of a third country calling at a port or anchorage of a member state. For example, when calling at a port or anchorage of a member state, a vessel flying the flag of a third country will be required, among other things, to have on board an inventory of hazardous materials which complies with the requirements of the new regulation and the vessel must be able to submit to the relevant authorities of that member state a copy of a statement of compliance issued by the relevant authorities of the country of the vessel’s flag verifying the inventory. The regulation entered into force on December 30, 2013, although certain of its provisions are to apply at different stages, with certain of them applicable from December 31, 2020. Pursuant to this regulation, the EU Commission adopted the first version of a European List of approved ship recycling facilities meeting the requirements of the regulation, as well as four further implementing decisions dealing with certification and other administrative requirements set out in the regulation. Now that the HKC was ratified, it is expected that the EU Ship Recycling Regulation will be reviewed in light of this.</w:t>
      </w:r>
    </w:p>
    <w:p>
      <w:pPr>
        <w:spacing w:after="0" w:line="101"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EU is considering other proposals to further regulate vessel operations. The EU has adopted an Integrated Maritime Policy for the purposes of achieving a more coherent approach to maritime issues through coordination between different maritime sectors and integration of maritime policies. The Integrated Maritime Policy has sought to promote the sustainable development of the European maritime economy and to protect the marine environment through cross-sector and cross-border cooperation of maritime participants. The EU Commission’s proposals included, among other items, the development of environmentally sound end-of-life ship dismantling requirements (as described above in respect of the EU Ship Recycling Regulation (1257/2013)), promotion of the use of shore-side electricity by ships at berth in EU ports to reduce air emissions, and consideration of options for EU legislation to reduce greenhouse gas emissions from maritime transport. The European Maritime Safety Agency was established to provide technical support to the EU Commission and member states in respect of EU legislation pertaining to maritime safety, pollution, and security. The EU, any individual country or other competent authority may adopt additional legislation or regulations applicable to us and our operations.</w:t>
      </w:r>
    </w:p>
    <w:p>
      <w:pPr>
        <w:spacing w:after="0" w:line="109"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On July 14, 2021, the European Commission published a package of draft proposals as part of its ‘Fit for 55’ environmental legislative agenda and as part of the wider EU Green Deal growth strategy. There are two key initiatives relevant to maritime arising from these proposals: (a) the EU ETS, a bespoke emissions trading scheme for the maritime sector which commenced in 2024 and applies to all ships above a gross tonnage of 5,000; and (b) a FuelEU Maritime regulation which seeks to require all ships above a gross tonnage of 5,000 to carry on board a ‘FuelEU certificate of compliance’ from June 30, 2026 as evidence of compliance with the limits on the greenhouse gas intensity of the energy used on-board by a ship and with the requirements on the use of on-shore power supply (OPS) at berth. More specifically, EU ETS applies gradually over the period from 2024 to 2026. In 2025, shipping companies had to surrender 40% of EU ETS allowances for 2024 emissions; shipping companies will have to surrender 70% of EU ETS allowances in 2026 for 2025 emissions and 100% in 2027 for 2026 emissions. The cap under the EU ETS was set by taking into account EU MRV system emissions data for the years 2018 and 2019, adjusted, from the year 2021 capturing 100% of the emissions from intra-EU maritime voyages; 100% of emissions from ships at berth in EU ports; and 50% of emissions from voyages which start or end at EU ports (but the other destination is outside the EU). More recent proposed amendments signal that 100% of non-EU emissions may be caught if the IMO does not introduce a global market-based measure by 2028. This measure is the IMO’s proposed Net Zero Framework, the vote on which was due to take place in October 2025 but was postponed by one year. From a risk management perspective, new systems, including personnel, data management systems, costs recovery mechanisms, revised service agreement terms, and emissions reporting procedures, need to be already in place, at significant cost, to manage the administrative aspect of EU ETS compliance.</w:t>
      </w:r>
    </w:p>
    <w:p>
      <w:pPr>
        <w:spacing w:after="0" w:line="110"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Additionally, on July 25, 2023, the European Council of the European Union adopted FuelEU under the FuelEU initiative of its ‘Fit for 55’ package, which sets limitations on the acceptable yearly greenhouse gas intensity of the energy used by covered vessels. Among other things, FuelEU requires that, from January 1, 2025, the greenhouse has intensity of fuel used by covered vessels is reduced by 2%, with additional reductions contemplated every five years (up to 80% by 2050). Shipping companies may enter into pooling mechanisms with other shipping companies in order to achieve compliance, bank surplus emissions, and borrow compliance balances from future years. By June 30, 2026, a FuelEU Document of Compliance is required to be kept on board a vessel to show compliance. Both the ETS and FuelEU schemes have significant impacts on the management of vessels calling to EU ports, by increasing the complexity and monitoring of, and the costs associated with the operation of vessels, and by affecting the relationships with our time charterers.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6" w:name="page47"/>
    <w:bookmarkEnd w:id="4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i w:val="1"/>
          <w:iCs w:val="1"/>
          <w:color w:val="auto"/>
        </w:rPr>
        <w:t>Other Greenhouse Gas Legislation</w:t>
      </w:r>
    </w:p>
    <w:p>
      <w:pPr>
        <w:spacing w:after="0" w:line="145"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Currently, the emissions of greenhouse gases from international shipping are not subject to the Kyoto Protocol to the United Nations Framework Convention on Climate Change, which entered into force in 2005 and pursuant to which adopting countries have been required to implement national programs to reduce greenhouse gas emissions with targets extended through 2020. International negotiations are continuing with respect to a successor to the Kyoto Protocol, and restrictions on shipping emissions may be included in any new treaty. In December 2009, more than 27 nations, including the U.S. and China, signed the Copenhagen Accord, which includes a non-binding commitment to reduce greenhouse gas emissions. The 2015 United Nations Climate Change Conference in Paris resulted in the Paris Agreement, which entered into force on November 4, 2016 and does not directly limit greenhouse gas emissions from ships. In January 2025, President Trump signed an executive order to start the process of withdrawing the United States from the Paris Agreement, which withdrawal took effect on January 27, 2026.</w:t>
      </w:r>
    </w:p>
    <w:p>
      <w:pPr>
        <w:spacing w:after="0" w:line="99" w:lineRule="exact"/>
        <w:rPr>
          <w:sz w:val="20"/>
          <w:szCs w:val="20"/>
          <w:color w:val="auto"/>
        </w:rPr>
      </w:pPr>
    </w:p>
    <w:p>
      <w:pPr>
        <w:jc w:val="both"/>
        <w:ind w:left="8" w:firstLine="240"/>
        <w:spacing w:after="0" w:line="237" w:lineRule="auto"/>
        <w:rPr>
          <w:sz w:val="20"/>
          <w:szCs w:val="20"/>
          <w:color w:val="auto"/>
        </w:rPr>
      </w:pPr>
      <w:r>
        <w:rPr>
          <w:rFonts w:ascii="Times New Roman" w:cs="Times New Roman" w:eastAsia="Times New Roman" w:hAnsi="Times New Roman"/>
          <w:sz w:val="12"/>
          <w:szCs w:val="12"/>
          <w:color w:val="auto"/>
        </w:rPr>
        <w:t>The IMO, EU, the United States and other individual countries, states and provinces are evaluating various measures to reduce greenhouse gas emissions from international shipping, which may include some combination of market-based instruments, a carbon tax or other mandatory reduction measures. The EU adopted Regulation (EU) 2015/757 concerning the monitoring, reporting and verification of carbon dioxide emissions from vessels, or the MRV Regulation, which entered into force in July 2015 (as amended by Regulation (EU) 2016/2071). The MRV Regulation applies to all vessels over 5,000 gross tonnage (except for a few types, including, but not limited to, warships and fish-catching or fish-processing vessels), irrespective of flag, in respect of carbon dioxide emissions released during voyages within the EU as well as EU incoming and outgoing voyages. The first reporting period commenced on January 1, 2018. The monitoring, reporting and verification system adopted by the MRV Regulation may be the precursor to a market-based mechanism to be adopted in the future. The EU recently agreed on a Directive on the inclusion of shipping in the EU Emissions Trading System and it has been in force since January 1, 2024.</w:t>
      </w:r>
    </w:p>
    <w:p>
      <w:pPr>
        <w:spacing w:after="0" w:line="109" w:lineRule="exact"/>
        <w:rPr>
          <w:sz w:val="20"/>
          <w:szCs w:val="20"/>
          <w:color w:val="auto"/>
        </w:rPr>
      </w:pPr>
    </w:p>
    <w:p>
      <w:pPr>
        <w:jc w:val="both"/>
        <w:ind w:left="8" w:firstLine="240"/>
        <w:spacing w:after="0" w:line="236" w:lineRule="auto"/>
        <w:rPr>
          <w:sz w:val="20"/>
          <w:szCs w:val="20"/>
          <w:color w:val="auto"/>
        </w:rPr>
      </w:pPr>
      <w:r>
        <w:rPr>
          <w:rFonts w:ascii="Times New Roman" w:cs="Times New Roman" w:eastAsia="Times New Roman" w:hAnsi="Times New Roman"/>
          <w:sz w:val="12"/>
          <w:szCs w:val="12"/>
          <w:color w:val="auto"/>
        </w:rPr>
        <w:t>At MEPC 70 and MEPC 71, a draft outline of the structure of the initial strategy for developing a comprehensive IMO strategy on reduction of greenhouse gas emissions from ships was approved. Nations at the MEPC 72 adopted an initial strategy to reduce greenhouse gas emissions from ships. The initial strategy identified “levels of ambition” to reducing greenhouse gas emissions, including decreasing the carbon intensity from ships, reducing carbon dioxide emissions per transport work by at least 40% by 2030, pursuing efforts towards 70% by 2050, compared to 2008 emission levels, and reducing the total annual greenhouse emissions by at least 50% by 2050 compared to 2008. At MEPC 80 in July 2023, the IMO adopted the 2023 IMO Strategy on Reduction of GHG Emissions from Ships, which revoked the 2018 initial strategy. The 2023 IMO GHG Strategy identifies a number of levels of ambition, including:</w:t>
      </w:r>
    </w:p>
    <w:p>
      <w:pPr>
        <w:jc w:val="both"/>
        <w:ind w:left="8" w:hanging="8"/>
        <w:spacing w:after="0" w:line="234" w:lineRule="auto"/>
        <w:tabs>
          <w:tab w:leader="none" w:pos="158" w:val="left"/>
        </w:tabs>
        <w:numPr>
          <w:ilvl w:val="0"/>
          <w:numId w:val="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decline of carbon intensity through further improvement of the energy efficiency for new ships; (ii) decline of carbon intensity of international shipping, to reduce CO2 emissions by at least 40% by 2030, compared to 2008; (iii) uptake of zero or near-zero Green House Gas (“GHG”) emission technologies, fuels, and/or energy sources, striving to represent 10% of the energy sources used by international shipping by 2030; and (iv) to reach net-zero GHG emission by or around 2050. In April 2025, the IMO net-zero framework was approved by MEPC 83, including the new fuel standard for ships and a global pricing mechanism for emissions. These regulations were approved as amendments and submitted for adoption as legally binding, but in October 2025 MEPC agreed to adjourn the meeting on adoption until October 2026. UK too is consulting on introducing a UK based emissions trading scheme (UK ETS) to apply from 2026 for ships above 5000GT but for domestic voyages only (i.e., voyages taking place between two UK ports). These regulations could cause us to incur additional substantial expenses.</w:t>
      </w:r>
    </w:p>
    <w:p>
      <w:pPr>
        <w:spacing w:after="0" w:line="116" w:lineRule="exact"/>
        <w:rPr>
          <w:sz w:val="20"/>
          <w:szCs w:val="20"/>
          <w:color w:val="auto"/>
        </w:rPr>
      </w:pPr>
    </w:p>
    <w:p>
      <w:pPr>
        <w:jc w:val="both"/>
        <w:ind w:left="8" w:firstLine="240"/>
        <w:spacing w:after="0" w:line="241" w:lineRule="auto"/>
        <w:rPr>
          <w:sz w:val="20"/>
          <w:szCs w:val="20"/>
          <w:color w:val="auto"/>
        </w:rPr>
      </w:pPr>
      <w:r>
        <w:rPr>
          <w:rFonts w:ascii="Times New Roman" w:cs="Times New Roman" w:eastAsia="Times New Roman" w:hAnsi="Times New Roman"/>
          <w:sz w:val="12"/>
          <w:szCs w:val="12"/>
          <w:color w:val="auto"/>
        </w:rPr>
        <w:t>The EU made a unilateral commitment to reduce overall greenhouse gas emissions from its member states from 20% of 1990 levels by 2020. The EU also committed to reduce its emissions by 20% under the Kyoto Protocol’s second period from 2013 to 2020. Starting in January 2018, large ships over 5,000 gross tonnage calling at EU ports are required to collect and publish data on carbon dioxide emissions and other information. As previously discussed, regulations relating to the inclusion of greenhouse gas emissions from the maritime sector in the European Union’s carbon market are also forthcoming.</w:t>
      </w:r>
    </w:p>
    <w:p>
      <w:pPr>
        <w:spacing w:after="0" w:line="97" w:lineRule="exact"/>
        <w:rPr>
          <w:sz w:val="20"/>
          <w:szCs w:val="20"/>
          <w:color w:val="auto"/>
        </w:rPr>
      </w:pPr>
    </w:p>
    <w:p>
      <w:pPr>
        <w:jc w:val="both"/>
        <w:ind w:left="8" w:firstLine="240"/>
        <w:spacing w:after="0" w:line="244" w:lineRule="auto"/>
        <w:rPr>
          <w:sz w:val="20"/>
          <w:szCs w:val="20"/>
          <w:color w:val="auto"/>
        </w:rPr>
      </w:pPr>
      <w:r>
        <w:rPr>
          <w:rFonts w:ascii="Times New Roman" w:cs="Times New Roman" w:eastAsia="Times New Roman" w:hAnsi="Times New Roman"/>
          <w:sz w:val="12"/>
          <w:szCs w:val="12"/>
          <w:color w:val="auto"/>
        </w:rPr>
        <w:t>In the United States, the EPA issued a finding that greenhouse gases endanger the public health and safety, adopted regulations to limit greenhouse gas emissions from certain mobile sources, and proposed regulations to limit greenhouse gas emissions from large stationary sources. In December 2023, at COP28, the United States announced a rule under the CAA to reduce methane emissions from oil and gas operations, covering both new and existing oil and gas sources. This rule took effect on March 8, 2024. The EPA estimated that future methane emissions would be reduced by 80% compared to the projections without this rule. While this finding in itself does not impose any requirements on our industry, it authorizes the EPA to regulate directly greenhouse gas emissions.</w:t>
      </w:r>
    </w:p>
    <w:p>
      <w:pPr>
        <w:spacing w:after="0" w:line="105" w:lineRule="exact"/>
        <w:rPr>
          <w:sz w:val="20"/>
          <w:szCs w:val="20"/>
          <w:color w:val="auto"/>
        </w:rPr>
      </w:pPr>
    </w:p>
    <w:p>
      <w:pPr>
        <w:jc w:val="both"/>
        <w:ind w:left="8" w:right="20" w:firstLine="240"/>
        <w:spacing w:after="0" w:line="241" w:lineRule="auto"/>
        <w:rPr>
          <w:sz w:val="20"/>
          <w:szCs w:val="20"/>
          <w:color w:val="auto"/>
        </w:rPr>
      </w:pPr>
      <w:r>
        <w:rPr>
          <w:rFonts w:ascii="Times New Roman" w:cs="Times New Roman" w:eastAsia="Times New Roman" w:hAnsi="Times New Roman"/>
          <w:sz w:val="12"/>
          <w:szCs w:val="12"/>
          <w:color w:val="auto"/>
        </w:rPr>
        <w:t>Any passage of climate control legislation or other regulatory initiatives by the IMO, the EU, the U.S., or other countries in which we operate, or any treaty adopted at the international level to succeed the Kyoto Protocol or Paris Agreement, that restricts emissions of greenhouse gases could require us to make significant financial expenditures which we cannot predict with certainty at this time. Even in the absence of climate control legislation, our business may be indirectly affected to the extent that climate change may result in sea level changes or certain weather events.</w:t>
      </w:r>
    </w:p>
    <w:p>
      <w:pPr>
        <w:spacing w:after="0" w:line="12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Regions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may be subject to environmental and other regulations that have been or may become adopted in other regions of the world that may impose obligations on our vessels and may increase our costs to own and operate them.</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Compliance with these requirements may require significant expenditures on our part and may materially increase our operating costs.</w:t>
      </w:r>
    </w:p>
    <w:p>
      <w:pPr>
        <w:spacing w:after="0" w:line="12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Of particular importance, due to the trade intensity in these areas, are the ECAs, which cover the entire coastline up to 12 nautical miles, created in Hong Kong and in China, which aim to reduce the levels of ship-generated air pollution and focus on the sulfur content of fuels. All vessels at berth in all ports within Chinese emission control areas are required to use fuel with a maximum sulfur content of 0.5% m/m. Vessels must switch to fuel with a sulfur content not exceeding 0.5% m/m prior to entering China’s territorial sea, in defined areas. Vessels entering inland waterway ECAs must use fuel with a sulfur content not exceeding 0.10%. From January 1, 2022, a sulfur cap of 0.1% applies to seagoing vessels entering Hainan Waters within the coastal ECA. China was evaluating whether to expand the 0.10% requirement to all other coastal waters, and if requirements are expanded we may incur additional costs. Vessels capable of receiving shore power must use shore power if they berth for more than three hours in ports in the coastal ECA that have shore power capabilities (or more than two hours in ports with such capabilities in the inland ECAs). Ships may also be required to report energy consumption data to Chinese regulatory authorities before leaving port.</w:t>
      </w:r>
    </w:p>
    <w:p>
      <w:pPr>
        <w:spacing w:after="0" w:line="109"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Hong Kong, effective January 1, 2019, all vessels are required to use fuel with a sulfur content not exceeding 0.5% m/m (with certain exemptions permissible with advance permission when the vessel is utilizing technology to reduce emissions) within Hong Kong waters, regardless of whether the vessels are at berth or sailing. In Taiwan, ships not fitted with exhaust gas scrubbers must burn fuel with a sulfur content not exceeding 0.5% m/m when entering its international commercial port areas.</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connection with the introduction of the ban of high sulfur fuel for vessels not fitted with exhaust gas scrubbers, a number of countries are introducing rules as to the type of exhaust gas scrubber that may be acceptable to be operated on vessels, in effect prohibiting the operation in their waters of hybrid or open loop type exhaust gas scrubbers and forcing vessels to use more expensive closed loop systems or to burn low sulfur fuel when sailing in their waters.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International Labor Organization</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International Labor Organization is a specialized agency of the UN that has adopted the Maritime Labor Convention 2006 (“MLC 2006”). A Maritime Labor Certificate and a Declaration of Maritime Labor Compliance is required to ensure compliance with the MLC 2006 for all ships that are 500 gross tonnage or over and are either engaged in international trade or flying the flag of a Member and operating from a port, or between ports, in another country. We believe that all our vessels are in substantial compliance with and are certified to meet MLC 2006.</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 Security Regulations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Since September 2001, there have been a variety of initiatives intended to enhance vessel security. In November 2002, the U.S Maritime Transportation Security Act of 2002, or the MTSA, came into effect. To implement certain portions of the MTSA, the U.S. Coast Guard has issued regulations requiring the implementation of certain security requirements aboard vessels operating in waters subject to the jurisdiction of the United States and at certain ports and facilities, some of which are regulated by the EPA. Similarly, amendments to the SOLAS Convention created a new chapter of the convention dealing specifically with maritime security, which came into effect in July 2004. To trade internationally, a vessel must attain an International Ship Security Certificate, or ISSC, from a recognized security organization approved by the vessel’s flag state. Ships operating without a valid certificate may be detained, expelled from, or refused entry at port until they obtain an ISSC. The new chapter imposes various detailed security obligations on vessels and port authorities, most of which are contained in the International Ship and Port Facilities Security Code, or ISPS Code. Among the various requirements are:</w:t>
      </w:r>
    </w:p>
    <w:p>
      <w:pPr>
        <w:spacing w:after="0" w:line="109" w:lineRule="exact"/>
        <w:rPr>
          <w:sz w:val="20"/>
          <w:szCs w:val="20"/>
          <w:color w:val="auto"/>
        </w:rPr>
      </w:pPr>
    </w:p>
    <w:p>
      <w:pPr>
        <w:ind w:left="540" w:hanging="188"/>
        <w:spacing w:after="0"/>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on-board installation of automatic information systems, to enhance vessel-to-vessel and vessel-to-shore communications;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on-board installation of ship security alert systems;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development of vessel security plans;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flag state security certification requirements.</w:t>
      </w:r>
    </w:p>
    <w:p>
      <w:pPr>
        <w:spacing w:after="0" w:line="141"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United States Coast Guard regulations, intended to align with international maritime security standards, exempt non-U.S. vessels from MTSA vessel security measures if such vessels have on board a valid International Ship Security Certificate, that attests to the vessel’s compliance with the SOLAS Convention security requirements and the ISPS Code. Our existing vessels have implemented the various security measures addressed by the MTSA, the SOLAS Convention, and the ISPS Code.</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Inspection by Classification Societies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hull and machinery of every commercial vessel must be classed by a classification society authorized by its country of registry. The classification society certifies that a vessel is safe and seaworthy in accordance with the applicable rules and regulations of the country of registry of the vessel and SOLAS. Most insurance underwriters make it a condition for insurance coverage and lending that a vessel be certified “in class” by a classification society which is a member of the International Association of Classification Societies, the IACS. The IACS has adopted harmonized Common Structural Rules, or “the Rules,” which apply to oil tankers and bulk carriers contracted for construction on or after July 1, 2015. The Rules attempt to create a level of consistency between IACS Societies. All of our vessels are certified as being “in class” by all the applicable Classification Societies.</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 vessel must undergo annual surveys, intermediate surveys, drydockings, and special surveys. In lieu of a special survey, a vessel’s machinery may be on a continuous survey cycle, under which the machinery would be surveyed periodically over a five-year period. Every vessel is also required to be drydocked every 30 to 36 months for inspection of the underwater parts of the vessel. If any vessel does not maintain its class and/or fails any annual survey, intermediate survey, drydocking, or special survey, the vessel will be unable to carry cargo between ports and will be unemployable and uninsurable which could cause us to be in violation of certain covenants in our loan agreements. Any such inability to carry cargo or be employed, or any such violation of covenants, could have a material adverse impact on our financial condition and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Risk of Loss and Liability Insurance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General</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operation of any cargo vessel includes risks such as mechanical failure, physical damage, collision, property loss, cargo loss or damage, and business interruption due to political circumstances in foreign countries, piracy incidents, hostilities, and labor strikes. In addition, there is always an inherent possibility of marine disaster, including oil spills and other environmental mishaps, and the liabilities arising from owning and operating vessels in international trade. OPA, which imposes virtually unlimited liability upon shipowners, operators, and bareboat charterers of any vessel trading in the exclusive economic zone of the United States for certain oil pollution accidents in the United States, has made liability insurance more expensive for shipowners and operators trading in the United States market. We carry insurance coverage as customary in the shipping industry. However, not all risks can be insured, specific claims may be rejected, and we might not be always able to obtain adequate insurance coverage at reasonable rates.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Hull &amp; Machinery, Loss of Hire and War Risks Insurance</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maintain marine hull and machinery, increased value and war risks insurances, which cover the risk of actual or constructive total loss, for all of our vessels. Our vessels are each covered up to at least fair market value, which we expect to assess at least annually, with certain deductibles per vessel per incident. We also maintain freight value coverage for each of our vessels under which in the event of total loss or constructive total loss of a vessel, we will be entitled to recover the lost anticipated long-term income. As required by the terms of our credit facilities, we have assigned certain of our insurance policies to our lenders and will be subject to restrictions on our use of any proceeds therefrom.</w:t>
      </w:r>
    </w:p>
    <w:p>
      <w:pPr>
        <w:spacing w:after="0" w:line="10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do not have loss-of-hire insurance covering the loss of revenue during extended off-hire periods. We evaluate obtaining such coverage on an ongoing basis, taking into account insurance market conditions and the employment of our vessels.</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Protection and Indemnity Insurance</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Protection and indemnity insurance is provided by mutual protection and indemnity associations, or P&amp;I associations (“Clubs”), which insure our third-party and crew liabilities in connection with our shipping activities. Coverage includes third-party liability, crew liability, and other related expenses resulting from the abandonment, injury, or death of crew, and other third parties, the loss of or damage to cargo, claims arising from collisions with other vessels, damage to other third-party property, pollution arising from oil or other substances and salvage, towing and other related costs, including wreck removal. Protection and indemnity insurance is a form of mutual indemnity insurance, extended by P&amp;I associations. Subject to the limit for pollution discussed below, our coverage is virtually unlimited, but subject to the rules of the particular protection and indemnity insurer.</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current protection and indemnity insurance coverage for pollution is up to $1.0 billion per vessel per incident. The 12 Clubs that comprise the International Group insure approximately 90% of the world’s commercial blue-water tonnage and have entered into a pooling agreement to reinsure each association’s liabilities. The International Group of P&amp;I Clubs maintain a Pool arrangement, which provides a mechanism for sharing all claims in excess of $10.0 million up to, currently, $100.0 million. The Clubs are collectively reinsured in the International Group Excess Loss Programme for $3.0 billion, with an excess of $100.0 million. The overall limit of coverage per vessel, per incident, is approximately $7.0 billion. As members of Clubs which are members of the International Group, we are subject to calls payable to the associations based on our claim records as well as the claim records of all other members of the individual associations and members of the shipping pool of Clubs comprising the International Group.</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Organizational Structure</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 xml:space="preserve">Global Ship Lease, Inc. is a Marshall Islands corporation. Each of our vessels is owned by a separate wholly-owned subsidiary. Twenty-one vessels are owned by companies incorporated in the Republic of the Marshall Islands. Fifty vessels are owned by companies incorporated in the Republic of Liberia (including </w:t>
      </w:r>
      <w:r>
        <w:rPr>
          <w:rFonts w:ascii="Times New Roman" w:cs="Times New Roman" w:eastAsia="Times New Roman" w:hAnsi="Times New Roman"/>
          <w:sz w:val="12"/>
          <w:szCs w:val="12"/>
          <w:i w:val="1"/>
          <w:iCs w:val="1"/>
          <w:color w:val="auto"/>
        </w:rPr>
        <w:t>Cypress</w:t>
      </w:r>
      <w:r>
        <w:rPr>
          <w:rFonts w:ascii="Times New Roman" w:cs="Times New Roman" w:eastAsia="Times New Roman" w:hAnsi="Times New Roman"/>
          <w:sz w:val="12"/>
          <w:szCs w:val="12"/>
          <w:color w:val="auto"/>
        </w:rPr>
        <w:t xml:space="preserve"> that was delivered in January 2026); eight of our vessels are under sale and leaseback transactions and while the disponent owners are Liberian companies, their registered owners are Hong Kong (eight) non-GSL companies. GSL Enterprises Ltd., a Marshall Islands corporation which has established a branch office in Greece pursuant to the provisions of art. 25 of Law 27/1975 (formerly law 89/1967), provides certain administrative services to the group.</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 list of our subsidiaries and their respective countries of incorporation is provided as Exhibit 8.1 to this Annual Report on Form 20-F.</w:t>
      </w:r>
    </w:p>
    <w:p>
      <w:pPr>
        <w:spacing w:after="0" w:line="1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Property, Plants and Equipment</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only material properties are the vessels in our fleet, which are described in “Item 4. Information on the Company—B. Business Overview.” The vessels are affected by environmental and other regulations. See “Item 4. Information on the Company—B. Business Overview—Environmental and Other Regulations.” Certain of our vessels serve as security under our debt agreements. See “Item 5. Operating and Financial Review—B. Liquidity and Capital Resources —Our Borrowing Activities.” We do not own any real property.</w:t>
      </w:r>
    </w:p>
    <w:p>
      <w:pPr>
        <w:spacing w:after="0" w:line="143" w:lineRule="exact"/>
        <w:rPr>
          <w:sz w:val="20"/>
          <w:szCs w:val="20"/>
          <w:color w:val="auto"/>
        </w:rPr>
      </w:pPr>
    </w:p>
    <w:p>
      <w:pPr>
        <w:ind w:left="260"/>
        <w:spacing w:after="0"/>
        <w:tabs>
          <w:tab w:leader="none" w:pos="840" w:val="left"/>
        </w:tabs>
        <w:rPr>
          <w:sz w:val="20"/>
          <w:szCs w:val="20"/>
          <w:color w:val="auto"/>
        </w:rPr>
      </w:pPr>
      <w:r>
        <w:rPr>
          <w:rFonts w:ascii="Times New Roman" w:cs="Times New Roman" w:eastAsia="Times New Roman" w:hAnsi="Times New Roman"/>
          <w:sz w:val="12"/>
          <w:szCs w:val="12"/>
          <w:b w:val="1"/>
          <w:bCs w:val="1"/>
          <w:color w:val="auto"/>
        </w:rPr>
        <w:t>Item 4A.</w:t>
      </w:r>
      <w:r>
        <w:rPr>
          <w:sz w:val="20"/>
          <w:szCs w:val="20"/>
          <w:color w:val="auto"/>
        </w:rPr>
        <w:tab/>
      </w:r>
      <w:r>
        <w:rPr>
          <w:rFonts w:ascii="Times New Roman" w:cs="Times New Roman" w:eastAsia="Times New Roman" w:hAnsi="Times New Roman"/>
          <w:sz w:val="11"/>
          <w:szCs w:val="11"/>
          <w:b w:val="1"/>
          <w:bCs w:val="1"/>
          <w:color w:val="auto"/>
        </w:rPr>
        <w:t>Unresolved Staff Comments</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14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5.</w:t>
      </w:r>
      <w:r>
        <w:rPr>
          <w:sz w:val="20"/>
          <w:szCs w:val="20"/>
          <w:color w:val="auto"/>
        </w:rPr>
        <w:tab/>
      </w:r>
      <w:r>
        <w:rPr>
          <w:rFonts w:ascii="Times New Roman" w:cs="Times New Roman" w:eastAsia="Times New Roman" w:hAnsi="Times New Roman"/>
          <w:sz w:val="12"/>
          <w:szCs w:val="12"/>
          <w:b w:val="1"/>
          <w:bCs w:val="1"/>
          <w:color w:val="auto"/>
        </w:rPr>
        <w:t>Operating and Financial Review and Prospects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b w:val="1"/>
          <w:bCs w:val="1"/>
          <w:color w:val="auto"/>
        </w:rPr>
        <w:t>A.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Discussion and Analysis of Financial Conditions and Results of Operations</w:t>
      </w:r>
    </w:p>
    <w:p>
      <w:pPr>
        <w:spacing w:after="0" w:line="143" w:lineRule="exact"/>
        <w:rPr>
          <w:sz w:val="20"/>
          <w:szCs w:val="20"/>
          <w:color w:val="auto"/>
        </w:rPr>
      </w:pPr>
    </w:p>
    <w:p>
      <w:pPr>
        <w:jc w:val="both"/>
        <w:ind w:firstLine="240"/>
        <w:spacing w:after="0"/>
        <w:rPr>
          <w:sz w:val="20"/>
          <w:szCs w:val="20"/>
          <w:color w:val="auto"/>
        </w:rPr>
      </w:pPr>
      <w:r>
        <w:rPr>
          <w:rFonts w:ascii="Times New Roman" w:cs="Times New Roman" w:eastAsia="Times New Roman" w:hAnsi="Times New Roman"/>
          <w:sz w:val="12"/>
          <w:szCs w:val="12"/>
          <w:i w:val="1"/>
          <w:iCs w:val="1"/>
          <w:color w:val="auto"/>
        </w:rPr>
        <w:t>The following discussion and analysis of our financial condition and results of operations should be read in conjunction with our consolidated financial statements and the related notes and the financial and other information included elsewhere in this Annual Report. The term consolidated financial statements refers to the consolidated financial statements of Global Ship Lease, Inc. and its subsidiaries. This discussion contains forward-looking statements based on assumptions about our future business. Our actual results will likely differ materially from those contained in the forward-looking statements. See “Cautionary Note Regarding Forward-Looking Statements” at the beginning of this Annual Report.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145" w:lineRule="exact"/>
        <w:rPr>
          <w:sz w:val="20"/>
          <w:szCs w:val="20"/>
          <w:color w:val="auto"/>
        </w:rPr>
      </w:pPr>
    </w:p>
    <w:p>
      <w:pPr>
        <w:ind w:right="20" w:firstLine="240"/>
        <w:spacing w:after="0" w:line="248" w:lineRule="auto"/>
        <w:rPr>
          <w:sz w:val="20"/>
          <w:szCs w:val="20"/>
          <w:color w:val="auto"/>
        </w:rPr>
      </w:pPr>
      <w:r>
        <w:rPr>
          <w:rFonts w:ascii="Times New Roman" w:cs="Times New Roman" w:eastAsia="Times New Roman" w:hAnsi="Times New Roman"/>
          <w:sz w:val="12"/>
          <w:szCs w:val="12"/>
          <w:color w:val="auto"/>
        </w:rPr>
        <w:t>We are a containership owner, incorporated in the Republic of the Marshall Islands. We commenced operations in December 2007 with a business of owning and chartering out containerships under fixed rate charters to container liner companies.</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March 12, 2026, we owned 71 mid-sized and smaller containerships, ranging from 2,207 to 11,040 TEU, with an aggregate capacity of 423,003 TEU. Forty-one ships are wide-beam Post-Panamax.</w:t>
      </w:r>
    </w:p>
    <w:p>
      <w:pPr>
        <w:spacing w:after="0" w:line="114"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We have entered into ship management agreements with third-party ship managers for the day-to-day technical and commercial management of our current fleet of vessels. See “Item 4. Information on the Company—B. Business Overview—Management of Our Fleet” for a more detailed description of our ship management agreements.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financial results are largely driven by the following factors:</w:t>
      </w:r>
    </w:p>
    <w:p>
      <w:pPr>
        <w:spacing w:after="0" w:line="150" w:lineRule="exact"/>
        <w:rPr>
          <w:sz w:val="20"/>
          <w:szCs w:val="20"/>
          <w:color w:val="auto"/>
        </w:rPr>
      </w:pPr>
    </w:p>
    <w:p>
      <w:pPr>
        <w:ind w:left="540" w:hanging="188"/>
        <w:spacing w:after="0"/>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continued performance of the charter agreements;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vessels in our fleet and their charter rates;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under which we recharter our vessels once the existing time charters have expired;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days that our vessels are utilized and not subject to drydocking, special surveys, or otherwise are off-hire;</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ability to control our costs, including ship operating costs, ship management fees, insurance costs, drydock costs, general, administrative, and other expenses, and interest and financing costs. Ship operating costs may vary from month to month depending on a number of factors, including the timing of purchases of spares and stores and of crew changes;</w:t>
      </w:r>
    </w:p>
    <w:p>
      <w:pPr>
        <w:spacing w:after="0" w:line="11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of our vessels and other non-current assets;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access to, and the pricing and other terms of, our financing arrangements.</w:t>
      </w:r>
    </w:p>
    <w:p>
      <w:pPr>
        <w:spacing w:after="0" w:line="11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 xml:space="preserve">As of December 31, 2025, including the three 8,586 TEU, Korean-built containerships delivered on various dates in December 2025 and the third one, </w:t>
      </w:r>
      <w:r>
        <w:rPr>
          <w:rFonts w:ascii="Times New Roman" w:cs="Times New Roman" w:eastAsia="Times New Roman" w:hAnsi="Times New Roman"/>
          <w:sz w:val="12"/>
          <w:szCs w:val="12"/>
          <w:i w:val="1"/>
          <w:iCs w:val="1"/>
          <w:color w:val="auto"/>
        </w:rPr>
        <w:t>Cypress</w:t>
      </w:r>
      <w:r>
        <w:rPr>
          <w:rFonts w:ascii="Times New Roman" w:cs="Times New Roman" w:eastAsia="Times New Roman" w:hAnsi="Times New Roman"/>
          <w:sz w:val="12"/>
          <w:szCs w:val="12"/>
          <w:color w:val="auto"/>
        </w:rPr>
        <w:t>, on January 9, 2026, and all charters agreed during 2025 and through February 28, 2026, the average remaining term of our charters, to the mid-point of redelivery, including options under our control and other than if a redelivery notice has been received, was 2.7 years on a TEU-weighted basis. Contracted revenue on the same basis was $2.24 billion. Contracted revenue was $2.77 billion, including options under charterers’ control and with latest redelivery date, representing a weighted average remaining term of 3.6 years. The time charters for three of our 71 containerships either have expired or could expire before the end of the first half of 2026, and a further six vessels have charters that could expire during the second half of 2026. The charter rate that we will be able to achieve on renewal will be affected by market conditions at that time. As discussed further below, operational matters such as off-hire days for planned maintenance or for unexpected accidents and incidents also affect the actual amount of revenues we receive.</w:t>
      </w:r>
    </w:p>
    <w:p>
      <w:pPr>
        <w:spacing w:after="0" w:line="10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container shipping industry suffered a cyclical downturn as a result of the Global Financial Crisis in 2008—2009 and many container shipping companies reported substantial losses. Financial performance of container shipping companies subsequently improved; however, the industry remained under pressure due to oversupply of container ship capacity. In 2020 there was a substantial downturn, triggered by the global COVID-19 pandemic. The industry recovered markedly in 2021, but was followed by negative growth in 2022 and 2023 due to geopolitical tensions driving inflationary macro-economic headwinds, which placed downward pressure on consumer demand and, as a result, on the container shipping industry. Container trade volumes rebounded in 2024, and are estimated to have grown by approximately 5.0% in 2025.</w:t>
      </w:r>
    </w:p>
    <w:p>
      <w:pPr>
        <w:spacing w:after="0" w:line="10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Charter payments have been received on a timely basis and, as of December 31, 2025, charter hire was up-to-date. If our charterers are unable to make charter payments to us, our results of operations and financial condition will be materially adversely affected. If our existing charters with our charterers were terminated and we were required to recharter at lower rates or if we were unable to find new charters due to market conditions, our results of operations and financial condition would be materially adversely affected.</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Selected Financial Information and Other Data</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following table sets forth our selected consolidated financial and other data as of and for the years ended December 31, 2025, 2024, 2023, 2022, and 2021. Consolidated financial data is derived from our audited consolidated financial statements which have been prepared in accordance with United States generally accepted accounting principles (“U.S. GAAP”). Our audited consolidated statements of income and statements of cash flows for the years ended December 31, 2025, 2024, and 2023 and our audited consolidated balance sheets as of December 31, 2025 and 2024, together with the notes thereto, are included in this Annual Report. Our audited consolidated statements of income and cash flows for the years ended December 31, 2022 and 2021 and our audited consolidated balance sheets as of December 31, 2023, 2022, and 2021, and the notes thereto, are not included herein.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7000"/>
        <w:spacing w:after="0"/>
        <w:tabs>
          <w:tab w:leader="none" w:pos="8020" w:val="left"/>
          <w:tab w:leader="none" w:pos="9020" w:val="left"/>
          <w:tab w:leader="none" w:pos="10140" w:val="left"/>
          <w:tab w:leader="none" w:pos="11040"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2"/>
          <w:szCs w:val="12"/>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4023995</wp:posOffset>
            </wp:positionH>
            <wp:positionV relativeFrom="paragraph">
              <wp:posOffset>13335</wp:posOffset>
            </wp:positionV>
            <wp:extent cx="314896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148965" cy="5715"/>
                    </a:xfrm>
                    <a:prstGeom prst="rect">
                      <a:avLst/>
                    </a:prstGeom>
                    <a:noFill/>
                  </pic:spPr>
                </pic:pic>
              </a:graphicData>
            </a:graphic>
          </wp:anchor>
        </w:drawing>
      </w:r>
    </w:p>
    <w:p>
      <w:pPr>
        <w:spacing w:after="0" w:line="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2"/>
          <w:szCs w:val="12"/>
          <w:color w:val="auto"/>
        </w:rPr>
        <w:t>(Expressed in millions of U.S. dollars, except for per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Statement of Income</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charter revenue</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$ 766.5</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$ 711.1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$ 674.8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$ 645.6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$ 448.0</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(208.4)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(191.4)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(179.2)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(167.4)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(130.3)</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Time charter and voyage expenses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(25.1)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(23.6)</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(13.1)</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(122.0)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(100.0)</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(91.7)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(81.3)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(61.6)</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(22.1)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(17.1)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Impairment of vessels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(18.8)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Gain on sale of vessels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46.3</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7.8</w:t>
            </w:r>
          </w:p>
        </w:tc>
      </w:tr>
      <w:tr>
        <w:trPr>
          <w:trHeight w:val="133"/>
        </w:trPr>
        <w:tc>
          <w:tcPr>
            <w:tcW w:w="63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(331.3)</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(332.0)</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(331.6)</w:t>
            </w:r>
          </w:p>
        </w:tc>
        <w:tc>
          <w:tcPr>
            <w:tcW w:w="22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(291.4)</w:t>
            </w:r>
          </w:p>
        </w:tc>
        <w:tc>
          <w:tcPr>
            <w:tcW w:w="2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(210.4)</w:t>
            </w:r>
          </w:p>
        </w:tc>
      </w:tr>
      <w:tr>
        <w:trPr>
          <w:trHeight w:val="133"/>
        </w:trPr>
        <w:tc>
          <w:tcPr>
            <w:tcW w:w="634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Income</w:t>
            </w: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435.2</w:t>
            </w:r>
          </w:p>
        </w:tc>
        <w:tc>
          <w:tcPr>
            <w:tcW w:w="24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379.1</w:t>
            </w:r>
          </w:p>
        </w:tc>
        <w:tc>
          <w:tcPr>
            <w:tcW w:w="220" w:type="dxa"/>
            <w:vAlign w:val="bottom"/>
          </w:tcPr>
          <w:p>
            <w:pPr>
              <w:spacing w:after="0"/>
              <w:rPr>
                <w:sz w:val="11"/>
                <w:szCs w:val="11"/>
                <w:color w:val="auto"/>
              </w:rPr>
            </w:pPr>
          </w:p>
        </w:tc>
        <w:tc>
          <w:tcPr>
            <w:tcW w:w="7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343.2</w:t>
            </w:r>
          </w:p>
        </w:tc>
        <w:tc>
          <w:tcPr>
            <w:tcW w:w="220" w:type="dxa"/>
            <w:vAlign w:val="bottom"/>
          </w:tcPr>
          <w:p>
            <w:pPr>
              <w:spacing w:after="0"/>
              <w:rPr>
                <w:sz w:val="11"/>
                <w:szCs w:val="11"/>
                <w:color w:val="auto"/>
              </w:rPr>
            </w:pPr>
          </w:p>
        </w:tc>
        <w:tc>
          <w:tcPr>
            <w:tcW w:w="9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354.2</w:t>
            </w:r>
          </w:p>
        </w:tc>
        <w:tc>
          <w:tcPr>
            <w:tcW w:w="220" w:type="dxa"/>
            <w:vAlign w:val="bottom"/>
          </w:tcPr>
          <w:p>
            <w:pPr>
              <w:spacing w:after="0"/>
              <w:rPr>
                <w:sz w:val="11"/>
                <w:szCs w:val="11"/>
                <w:color w:val="auto"/>
              </w:rPr>
            </w:pPr>
          </w:p>
        </w:tc>
        <w:tc>
          <w:tcPr>
            <w:tcW w:w="6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237.6</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Non-operating income/(expenses)</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19.2</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other finance expenses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(39.0)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(40.7)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(44.8)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(75.3)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6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Income before income taxes</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416.4</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353.6</w:t>
            </w:r>
          </w:p>
        </w:tc>
        <w:tc>
          <w:tcPr>
            <w:tcW w:w="220" w:type="dxa"/>
            <w:vAlign w:val="bottom"/>
            <w:tcBorders>
              <w:bottom w:val="single" w:sz="8" w:color="CCEEFF"/>
            </w:tcBorders>
          </w:tcPr>
          <w:p>
            <w:pPr>
              <w:spacing w:after="0"/>
              <w:rPr>
                <w:sz w:val="11"/>
                <w:szCs w:val="11"/>
                <w:color w:val="auto"/>
              </w:rPr>
            </w:pPr>
          </w:p>
        </w:tc>
        <w:tc>
          <w:tcPr>
            <w:tcW w:w="7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304.9</w:t>
            </w:r>
          </w:p>
        </w:tc>
        <w:tc>
          <w:tcPr>
            <w:tcW w:w="220" w:type="dxa"/>
            <w:vAlign w:val="bottom"/>
            <w:tcBorders>
              <w:bottom w:val="single" w:sz="8" w:color="CCEEFF"/>
            </w:tcBorders>
          </w:tcPr>
          <w:p>
            <w:pPr>
              <w:spacing w:after="0"/>
              <w:rPr>
                <w:sz w:val="11"/>
                <w:szCs w:val="11"/>
                <w:color w:val="auto"/>
              </w:rPr>
            </w:pP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292.9</w:t>
            </w:r>
          </w:p>
        </w:tc>
        <w:tc>
          <w:tcPr>
            <w:tcW w:w="220" w:type="dxa"/>
            <w:vAlign w:val="bottom"/>
            <w:tcBorders>
              <w:bottom w:val="single" w:sz="8" w:color="CCEEFF"/>
            </w:tcBorders>
          </w:tcPr>
          <w:p>
            <w:pPr>
              <w:spacing w:after="0"/>
              <w:rPr>
                <w:sz w:val="11"/>
                <w:szCs w:val="11"/>
                <w:color w:val="auto"/>
              </w:rPr>
            </w:pPr>
          </w:p>
        </w:tc>
        <w:tc>
          <w:tcPr>
            <w:tcW w:w="68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171.6</w:t>
            </w:r>
          </w:p>
        </w:tc>
      </w:tr>
      <w:tr>
        <w:trPr>
          <w:trHeight w:val="133"/>
        </w:trPr>
        <w:tc>
          <w:tcPr>
            <w:tcW w:w="6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Income taxes</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(0.4)</w:t>
            </w:r>
          </w:p>
        </w:tc>
        <w:tc>
          <w:tcPr>
            <w:tcW w:w="22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0.0</w:t>
            </w:r>
          </w:p>
        </w:tc>
        <w:tc>
          <w:tcPr>
            <w:tcW w:w="2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(0.1)</w:t>
            </w:r>
          </w:p>
        </w:tc>
      </w:tr>
      <w:tr>
        <w:trPr>
          <w:trHeight w:val="133"/>
        </w:trPr>
        <w:tc>
          <w:tcPr>
            <w:tcW w:w="6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416.4</w:t>
            </w:r>
          </w:p>
        </w:tc>
        <w:tc>
          <w:tcPr>
            <w:tcW w:w="24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353.6</w:t>
            </w:r>
          </w:p>
        </w:tc>
        <w:tc>
          <w:tcPr>
            <w:tcW w:w="22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304.5</w:t>
            </w:r>
          </w:p>
        </w:tc>
        <w:tc>
          <w:tcPr>
            <w:tcW w:w="22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292.9</w:t>
            </w:r>
          </w:p>
        </w:tc>
        <w:tc>
          <w:tcPr>
            <w:tcW w:w="220" w:type="dxa"/>
            <w:vAlign w:val="bottom"/>
            <w:tcBorders>
              <w:bottom w:val="single" w:sz="8" w:color="CCEEFF"/>
            </w:tcBorders>
          </w:tcPr>
          <w:p>
            <w:pPr>
              <w:spacing w:after="0"/>
              <w:rPr>
                <w:sz w:val="11"/>
                <w:szCs w:val="11"/>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171.5</w:t>
            </w:r>
          </w:p>
        </w:tc>
      </w:tr>
      <w:tr>
        <w:trPr>
          <w:trHeight w:val="133"/>
        </w:trPr>
        <w:tc>
          <w:tcPr>
            <w:tcW w:w="6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Earnings allocated to Series B Preferred Shares</w:t>
            </w: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w:t>
            </w:r>
          </w:p>
        </w:tc>
        <w:tc>
          <w:tcPr>
            <w:tcW w:w="240" w:type="dxa"/>
            <w:vAlign w:val="bottom"/>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w:t>
            </w:r>
          </w:p>
        </w:tc>
        <w:tc>
          <w:tcPr>
            <w:tcW w:w="220" w:type="dxa"/>
            <w:vAlign w:val="bottom"/>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w:t>
            </w:r>
          </w:p>
        </w:tc>
        <w:tc>
          <w:tcPr>
            <w:tcW w:w="220" w:type="dxa"/>
            <w:vAlign w:val="bottom"/>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(9.5)</w:t>
            </w:r>
          </w:p>
        </w:tc>
        <w:tc>
          <w:tcPr>
            <w:tcW w:w="220" w:type="dxa"/>
            <w:vAlign w:val="bottom"/>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(8.3)</w:t>
            </w:r>
          </w:p>
        </w:tc>
      </w:tr>
      <w:tr>
        <w:trPr>
          <w:trHeight w:val="140"/>
        </w:trPr>
        <w:tc>
          <w:tcPr>
            <w:tcW w:w="634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406.9</w:t>
            </w:r>
          </w:p>
        </w:tc>
        <w:tc>
          <w:tcPr>
            <w:tcW w:w="24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344.1</w:t>
            </w:r>
          </w:p>
        </w:tc>
        <w:tc>
          <w:tcPr>
            <w:tcW w:w="22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295.0</w:t>
            </w:r>
          </w:p>
        </w:tc>
        <w:tc>
          <w:tcPr>
            <w:tcW w:w="22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283.4</w:t>
            </w:r>
          </w:p>
        </w:tc>
        <w:tc>
          <w:tcPr>
            <w:tcW w:w="22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163.2</w:t>
            </w:r>
          </w:p>
        </w:tc>
      </w:tr>
      <w:tr>
        <w:trPr>
          <w:trHeight w:val="144"/>
        </w:trPr>
        <w:tc>
          <w:tcPr>
            <w:tcW w:w="6340" w:type="dxa"/>
            <w:vAlign w:val="bottom"/>
            <w:shd w:val="clear" w:color="auto" w:fill="CCEEFF"/>
          </w:tcPr>
          <w:p>
            <w:pPr>
              <w:spacing w:after="0" w:line="137" w:lineRule="exact"/>
              <w:rPr>
                <w:sz w:val="20"/>
                <w:szCs w:val="20"/>
                <w:color w:val="auto"/>
              </w:rPr>
            </w:pPr>
            <w:r>
              <w:rPr>
                <w:rFonts w:ascii="Times New Roman" w:cs="Times New Roman" w:eastAsia="Times New Roman" w:hAnsi="Times New Roman"/>
                <w:sz w:val="12"/>
                <w:szCs w:val="12"/>
                <w:color w:val="auto"/>
              </w:rPr>
              <w:t>Net Earnings per Class A common share in $</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Basic</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11.40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9.74</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8.33</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7.74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4.65</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Diluted</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11.32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9.67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8.21</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7.62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4.60</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Weighted average number of Class A common shares outstanding</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in millions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35.7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35.4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36.6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35.1</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Diluted in millions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36.0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35.9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37.2</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per Class B common share in $</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Nil</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Nil</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Nil</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Weighted average number of Class B common shares outstanding</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Basic and diluted in millions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Nil</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Nil</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Nil</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Nil</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 per Class A common share in $</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76.1</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58.4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53.2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50.5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27.9</w:t>
            </w:r>
          </w:p>
        </w:tc>
      </w:tr>
      <w:tr>
        <w:trPr>
          <w:trHeight w:val="171"/>
        </w:trPr>
        <w:tc>
          <w:tcPr>
            <w:tcW w:w="6340" w:type="dxa"/>
            <w:vAlign w:val="bottom"/>
          </w:tcPr>
          <w:p>
            <w:pPr>
              <w:spacing w:after="0" w:line="171" w:lineRule="exact"/>
              <w:rPr>
                <w:sz w:val="20"/>
                <w:szCs w:val="20"/>
                <w:color w:val="auto"/>
              </w:rPr>
            </w:pPr>
            <w:r>
              <w:rPr>
                <w:rFonts w:ascii="Times New Roman" w:cs="Times New Roman" w:eastAsia="Times New Roman" w:hAnsi="Times New Roman"/>
                <w:sz w:val="12"/>
                <w:szCs w:val="12"/>
                <w:b w:val="1"/>
                <w:bCs w:val="1"/>
                <w:color w:val="auto"/>
              </w:rPr>
              <w:t xml:space="preserve">Statement of cash flow </w:t>
            </w:r>
            <w:r>
              <w:rPr>
                <w:rFonts w:ascii="Times New Roman" w:cs="Times New Roman" w:eastAsia="Times New Roman" w:hAnsi="Times New Roman"/>
                <w:sz w:val="19"/>
                <w:szCs w:val="19"/>
                <w:b w:val="1"/>
                <w:bCs w:val="1"/>
                <w:color w:val="auto"/>
                <w:vertAlign w:val="superscript"/>
              </w:rPr>
              <w:t>(1)</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528.3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430.1</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375.0</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327.5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247.9</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(351.9)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(254.6)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(152.0)</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(9.9)</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(463.0)</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cash (used in)/provided by Financing Activities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(84.7)</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(208.6)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(212.2)</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(243.3)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sheet data (at year end)</w:t>
            </w: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current assets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627.0</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301.2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295.7</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143.4</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Vessels in operation</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1,962.9</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1,884.6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1,664.1</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1,623.3</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1,682.8</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Total assets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2,861.2</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2,373.2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2,171.8</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2,106.2</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1,994.1</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Debt (current and non-current portion), net</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689.1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684.1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812.4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934.4</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1,070.5</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A and B common shares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0.4</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0.4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Shareholders’ equity</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1.801.0</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1,463.5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1,184.4</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966.5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712.6</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Other data</w:t>
            </w: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Number of vessels in operation at year end</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71</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71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68</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65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r>
      <w:tr>
        <w:trPr>
          <w:trHeight w:val="144"/>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Ownership days</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25,323</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24,937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24,285</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23,725</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19,427</w:t>
            </w:r>
          </w:p>
        </w:tc>
      </w:tr>
      <w:tr>
        <w:trPr>
          <w:trHeight w:val="155"/>
        </w:trPr>
        <w:tc>
          <w:tcPr>
            <w:tcW w:w="6340" w:type="dxa"/>
            <w:vAlign w:val="bottom"/>
          </w:tcPr>
          <w:p>
            <w:pPr>
              <w:spacing w:after="0"/>
              <w:rPr>
                <w:sz w:val="20"/>
                <w:szCs w:val="20"/>
                <w:color w:val="auto"/>
              </w:rPr>
            </w:pPr>
            <w:r>
              <w:rPr>
                <w:rFonts w:ascii="Times New Roman" w:cs="Times New Roman" w:eastAsia="Times New Roman" w:hAnsi="Times New Roman"/>
                <w:sz w:val="12"/>
                <w:szCs w:val="12"/>
                <w:color w:val="auto"/>
              </w:rPr>
              <w:t>Utilization</w:t>
            </w: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95.6%</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96.1%</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95.9%</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95.5%</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94.3%</w:t>
            </w:r>
          </w:p>
        </w:tc>
      </w:tr>
    </w:tbl>
    <w:p>
      <w:pPr>
        <w:spacing w:after="0" w:line="194" w:lineRule="exact"/>
        <w:rPr>
          <w:sz w:val="20"/>
          <w:szCs w:val="20"/>
          <w:color w:val="auto"/>
        </w:rPr>
      </w:pPr>
    </w:p>
    <w:p>
      <w:pPr>
        <w:jc w:val="both"/>
        <w:ind w:left="340" w:hanging="231"/>
        <w:spacing w:after="0" w:line="265" w:lineRule="auto"/>
        <w:tabs>
          <w:tab w:leader="none" w:pos="340" w:val="left"/>
        </w:tabs>
        <w:numPr>
          <w:ilvl w:val="0"/>
          <w:numId w:val="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of December 31, 2023, we made reclassifications to our December 31, 2022 and 2021 statement of cash flows to correct and reclassify payments for drydocking and special survey costs from investing outflows to operating outflows which resulted in a decrease in investing outflows and increase in operating outflows of $24.4 million and $19.2 million for the years ended December 31, 2022 and December 31, 2021, respectively. As of December 31, 2023, we evaluated the reclassifications from both a quantitative and qualitative perspective and determined the impacts were immaterial to the previously issued interim and annual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2025 compared to Year ended December 31, 2024</w:t>
      </w:r>
    </w:p>
    <w:p>
      <w:pPr>
        <w:spacing w:after="0" w:line="294"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2"/>
          <w:szCs w:val="12"/>
          <w:b w:val="1"/>
          <w:bCs w:val="1"/>
          <w:color w:val="auto"/>
        </w:rPr>
        <w:t>Year ended December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8580" w:type="dxa"/>
            <w:vAlign w:val="bottom"/>
          </w:tcPr>
          <w:p>
            <w:pPr>
              <w:spacing w:after="0"/>
              <w:rPr>
                <w:sz w:val="11"/>
                <w:szCs w:val="11"/>
                <w:color w:val="auto"/>
              </w:rPr>
            </w:pPr>
          </w:p>
        </w:tc>
        <w:tc>
          <w:tcPr>
            <w:tcW w:w="8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440" w:type="dxa"/>
            <w:vAlign w:val="bottom"/>
            <w:tcBorders>
              <w:top w:val="single" w:sz="8" w:color="auto"/>
              <w:bottom w:val="single" w:sz="8" w:color="auto"/>
            </w:tcBorders>
            <w:gridSpan w:val="3"/>
          </w:tcPr>
          <w:p>
            <w:pPr>
              <w:jc w:val="right"/>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460" w:type="dxa"/>
            <w:vAlign w:val="bottom"/>
            <w:tcBorders>
              <w:top w:val="single" w:sz="8" w:color="auto"/>
              <w:bottom w:val="single" w:sz="8" w:color="auto"/>
            </w:tcBorders>
          </w:tcPr>
          <w:p>
            <w:pPr>
              <w:spacing w:after="0"/>
              <w:rPr>
                <w:sz w:val="11"/>
                <w:szCs w:val="11"/>
                <w:color w:val="auto"/>
              </w:rPr>
            </w:pPr>
          </w:p>
        </w:tc>
      </w:tr>
      <w:tr>
        <w:trPr>
          <w:trHeight w:val="133"/>
        </w:trPr>
        <w:tc>
          <w:tcPr>
            <w:tcW w:w="8580" w:type="dxa"/>
            <w:vAlign w:val="bottom"/>
          </w:tcPr>
          <w:p>
            <w:pPr>
              <w:spacing w:after="0"/>
              <w:rPr>
                <w:sz w:val="11"/>
                <w:szCs w:val="11"/>
                <w:color w:val="auto"/>
              </w:rPr>
            </w:pPr>
          </w:p>
        </w:tc>
        <w:tc>
          <w:tcPr>
            <w:tcW w:w="2260" w:type="dxa"/>
            <w:vAlign w:val="bottom"/>
            <w:gridSpan w:val="4"/>
          </w:tcPr>
          <w:p>
            <w:pPr>
              <w:jc w:val="right"/>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(in millions of U.S. </w:t>
            </w:r>
            <w:r>
              <w:rPr>
                <w:rFonts w:ascii="Times New Roman" w:cs="Times New Roman" w:eastAsia="Times New Roman" w:hAnsi="Times New Roman"/>
                <w:sz w:val="12"/>
                <w:szCs w:val="12"/>
                <w:color w:val="auto"/>
              </w:rPr>
              <w:t>dollars)</w:t>
            </w:r>
          </w:p>
        </w:tc>
        <w:tc>
          <w:tcPr>
            <w:tcW w:w="460" w:type="dxa"/>
            <w:vAlign w:val="bottom"/>
          </w:tcPr>
          <w:p>
            <w:pPr>
              <w:spacing w:after="0"/>
              <w:rPr>
                <w:sz w:val="11"/>
                <w:szCs w:val="11"/>
                <w:color w:val="auto"/>
              </w:rPr>
            </w:pPr>
          </w:p>
        </w:tc>
      </w:tr>
      <w:tr>
        <w:trPr>
          <w:trHeight w:val="144"/>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Revenues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44"/>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Time charter revenue</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$ 766.5</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$ 711.1</w:t>
            </w:r>
          </w:p>
        </w:tc>
      </w:tr>
      <w:tr>
        <w:trPr>
          <w:trHeight w:val="144"/>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Expenses</w:t>
            </w: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r>
      <w:tr>
        <w:trPr>
          <w:trHeight w:val="144"/>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Vessel operating expenses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(208.4)</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(191.4)</w:t>
            </w:r>
          </w:p>
        </w:tc>
      </w:tr>
      <w:tr>
        <w:trPr>
          <w:trHeight w:val="144"/>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Time charter and voyage expenses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(25.1)</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(23.5)</w:t>
            </w:r>
          </w:p>
        </w:tc>
      </w:tr>
      <w:tr>
        <w:trPr>
          <w:trHeight w:val="144"/>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(122.0)</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44"/>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vessels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46.3</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General and administrative expenses</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(22.1)</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(17.1)</w:t>
            </w:r>
          </w:p>
        </w:tc>
      </w:tr>
      <w:tr>
        <w:trPr>
          <w:trHeight w:val="133"/>
        </w:trPr>
        <w:tc>
          <w:tcPr>
            <w:tcW w:w="858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820" w:type="dxa"/>
            <w:vAlign w:val="bottom"/>
            <w:tcBorders>
              <w:top w:val="single" w:sz="8" w:color="auto"/>
              <w:bottom w:val="single" w:sz="8" w:color="auto"/>
            </w:tcBorders>
            <w:shd w:val="clear" w:color="auto" w:fill="CCEEFF"/>
          </w:tcPr>
          <w:p>
            <w:pPr>
              <w:spacing w:after="0"/>
              <w:rPr>
                <w:sz w:val="11"/>
                <w:szCs w:val="11"/>
                <w:color w:val="auto"/>
              </w:rPr>
            </w:pPr>
          </w:p>
        </w:tc>
        <w:tc>
          <w:tcPr>
            <w:tcW w:w="4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(331.3)</w:t>
            </w:r>
          </w:p>
        </w:tc>
        <w:tc>
          <w:tcPr>
            <w:tcW w:w="100" w:type="dxa"/>
            <w:vAlign w:val="bottom"/>
            <w:tcBorders>
              <w:top w:val="single" w:sz="8" w:color="CCEEFF"/>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spacing w:after="0"/>
              <w:rPr>
                <w:sz w:val="11"/>
                <w:szCs w:val="11"/>
                <w:color w:val="auto"/>
              </w:rPr>
            </w:pPr>
          </w:p>
        </w:tc>
        <w:tc>
          <w:tcPr>
            <w:tcW w:w="46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(332.0)</w:t>
            </w:r>
          </w:p>
        </w:tc>
      </w:tr>
      <w:tr>
        <w:trPr>
          <w:trHeight w:val="133"/>
        </w:trPr>
        <w:tc>
          <w:tcPr>
            <w:tcW w:w="8580" w:type="dxa"/>
            <w:vAlign w:val="bottom"/>
            <w:tcBorders>
              <w:bottom w:val="single" w:sz="8" w:color="CCEEFF"/>
            </w:tcBorders>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Operating Income</w:t>
            </w:r>
          </w:p>
        </w:tc>
        <w:tc>
          <w:tcPr>
            <w:tcW w:w="8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435.2</w:t>
            </w:r>
          </w:p>
        </w:tc>
        <w:tc>
          <w:tcPr>
            <w:tcW w:w="10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379.1</w:t>
            </w:r>
          </w:p>
        </w:tc>
      </w:tr>
      <w:tr>
        <w:trPr>
          <w:trHeight w:val="133"/>
        </w:trPr>
        <w:tc>
          <w:tcPr>
            <w:tcW w:w="858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Non-Operating Income / (Expenses)</w:t>
            </w:r>
          </w:p>
        </w:tc>
        <w:tc>
          <w:tcPr>
            <w:tcW w:w="8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r>
      <w:tr>
        <w:trPr>
          <w:trHeight w:val="144"/>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Interest income</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19.2</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r>
      <w:tr>
        <w:trPr>
          <w:trHeight w:val="144"/>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and other finance expenses</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(39.0)</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(40.7)</w:t>
            </w:r>
          </w:p>
        </w:tc>
      </w:tr>
      <w:tr>
        <w:trPr>
          <w:trHeight w:val="144"/>
        </w:trPr>
        <w:tc>
          <w:tcPr>
            <w:tcW w:w="9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Other income, net</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6.0</w:t>
            </w:r>
          </w:p>
        </w:tc>
        <w:tc>
          <w:tcPr>
            <w:tcW w:w="9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44"/>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(5.0)</w:t>
            </w:r>
          </w:p>
        </w:tc>
        <w:tc>
          <w:tcPr>
            <w:tcW w:w="9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33"/>
        </w:trPr>
        <w:tc>
          <w:tcPr>
            <w:tcW w:w="85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w:t>
            </w:r>
          </w:p>
        </w:tc>
        <w:tc>
          <w:tcPr>
            <w:tcW w:w="8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416.4</w:t>
            </w:r>
          </w:p>
        </w:tc>
        <w:tc>
          <w:tcPr>
            <w:tcW w:w="1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353.6</w:t>
            </w:r>
          </w:p>
        </w:tc>
      </w:tr>
      <w:tr>
        <w:trPr>
          <w:trHeight w:val="144"/>
        </w:trPr>
        <w:tc>
          <w:tcPr>
            <w:tcW w:w="9400" w:type="dxa"/>
            <w:vAlign w:val="bottom"/>
            <w:gridSpan w:val="2"/>
            <w:shd w:val="clear" w:color="auto" w:fill="CCECFF"/>
          </w:tcPr>
          <w:p>
            <w:pPr>
              <w:spacing w:after="0"/>
              <w:rPr>
                <w:sz w:val="20"/>
                <w:szCs w:val="20"/>
                <w:color w:val="auto"/>
              </w:rPr>
            </w:pPr>
            <w:r>
              <w:rPr>
                <w:rFonts w:ascii="Times New Roman" w:cs="Times New Roman" w:eastAsia="Times New Roman" w:hAnsi="Times New Roman"/>
                <w:sz w:val="12"/>
                <w:szCs w:val="12"/>
                <w:color w:val="auto"/>
              </w:rPr>
              <w:t>Earnings allocated to Series B Preferred Shares</w:t>
            </w:r>
          </w:p>
        </w:tc>
        <w:tc>
          <w:tcPr>
            <w:tcW w:w="540" w:type="dxa"/>
            <w:vAlign w:val="bottom"/>
            <w:gridSpan w:val="2"/>
            <w:shd w:val="clear" w:color="auto" w:fill="CCECFF"/>
          </w:tcPr>
          <w:p>
            <w:pPr>
              <w:jc w:val="right"/>
              <w:ind w:right="100"/>
              <w:spacing w:after="0"/>
              <w:rPr>
                <w:sz w:val="20"/>
                <w:szCs w:val="20"/>
                <w:color w:val="auto"/>
              </w:rPr>
            </w:pPr>
            <w:r>
              <w:rPr>
                <w:rFonts w:ascii="Times New Roman" w:cs="Times New Roman" w:eastAsia="Times New Roman" w:hAnsi="Times New Roman"/>
                <w:sz w:val="12"/>
                <w:szCs w:val="12"/>
                <w:color w:val="auto"/>
              </w:rPr>
              <w:t>(9.5)</w:t>
            </w:r>
          </w:p>
        </w:tc>
        <w:tc>
          <w:tcPr>
            <w:tcW w:w="900" w:type="dxa"/>
            <w:vAlign w:val="bottom"/>
            <w:shd w:val="clear" w:color="auto" w:fill="CCECFF"/>
          </w:tcPr>
          <w:p>
            <w:pPr>
              <w:spacing w:after="0"/>
              <w:rPr>
                <w:sz w:val="12"/>
                <w:szCs w:val="12"/>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40"/>
        </w:trPr>
        <w:tc>
          <w:tcPr>
            <w:tcW w:w="8580" w:type="dxa"/>
            <w:vAlign w:val="bottom"/>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8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$ 406.9</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$ 344.1</w:t>
            </w:r>
          </w:p>
        </w:tc>
      </w:tr>
    </w:tbl>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Revenues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 xml:space="preserve">Operating revenues reflect income under fixed rate time charters and were $766.5 million in the year ended December 31, 2025, an increase of $55.4 million, or 7.8%, from operating revenues of $711.1 million for 2024. The increase in operating revenue was mainly due to (i) the net effect of higher rates on charter renewals (ii) the addition of the 2024 Acquired Vessels, the addition of two of the Newly Acquired Vessels offset by the sale of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in the first quarter of 2025 and the sale of </w:t>
      </w:r>
      <w:r>
        <w:rPr>
          <w:rFonts w:ascii="Times New Roman" w:cs="Times New Roman" w:eastAsia="Times New Roman" w:hAnsi="Times New Roman"/>
          <w:sz w:val="12"/>
          <w:szCs w:val="12"/>
          <w:i w:val="1"/>
          <w:iCs w:val="1"/>
          <w:color w:val="auto"/>
        </w:rPr>
        <w:t>Dimitris Y</w:t>
      </w:r>
      <w:r>
        <w:rPr>
          <w:rFonts w:ascii="Times New Roman" w:cs="Times New Roman" w:eastAsia="Times New Roman" w:hAnsi="Times New Roman"/>
          <w:sz w:val="12"/>
          <w:szCs w:val="12"/>
          <w:color w:val="auto"/>
        </w:rPr>
        <w:t xml:space="preserve"> in the fourth quarter of 2025, (iii) a non-cash $4.8 million positive effect from straight lining time charter modifications, and (iv) a non-cash $8.0 million increase in the amortization of intangible liabilities arising from below market charters attached to certain vessel additions offset by an increase in off hire days. There were 1,125 days of offhire and idle time in the year ended December 31, 2025 of which 816 were for scheduled drydockings, compared to 966 days of offhire and idle time in the prior year of which 807 were for scheduled drydockings. Utilization for the year ended December 31, 2025 was 95.6% compared to utilization of 96.1% in the prior year.</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Total Operating Expenses</w:t>
      </w:r>
    </w:p>
    <w:p>
      <w:pPr>
        <w:spacing w:after="0" w:line="145"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Total operating expenses totaled $331.3 million (or 43.2% of operating revenues) for the year ended December 31, 2025. Total operating expenses totaled $332.0 million for the year ended December 31, 2024 (or 46.7% of operating revenues).</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Total operating expenses is primarily comprised of:</w:t>
      </w:r>
    </w:p>
    <w:p>
      <w:pPr>
        <w:spacing w:after="0" w:line="139" w:lineRule="exact"/>
        <w:rPr>
          <w:sz w:val="20"/>
          <w:szCs w:val="20"/>
          <w:color w:val="auto"/>
        </w:rPr>
      </w:pPr>
    </w:p>
    <w:p>
      <w:pPr>
        <w:jc w:val="both"/>
        <w:ind w:left="540" w:hanging="188"/>
        <w:spacing w:after="0" w:line="269" w:lineRule="auto"/>
        <w:tabs>
          <w:tab w:leader="none" w:pos="5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Vessel Operating Expenses: </w:t>
      </w:r>
      <w:r>
        <w:rPr>
          <w:rFonts w:ascii="Times New Roman" w:cs="Times New Roman" w:eastAsia="Times New Roman" w:hAnsi="Times New Roman"/>
          <w:sz w:val="12"/>
          <w:szCs w:val="12"/>
          <w:color w:val="auto"/>
        </w:rPr>
        <w:t>Vessel operating expenses, which relate to the operation of the vessels themselves, were $208.4 million for the year ended December 31, 2025 (or 27.2% of operating revenues) compared to</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$191.4 million for the year ended December 31, 2024 (or 26.9% of operating revenues). Ownership days in 2025 were 25,323, up 1.5% on 24,937 of 2024. The increase of $17.0 million was mainly due to (i) the addition of the 2024 Acquired Vessels, the addition of two of the Newly Acquired Vessels offset by the sale of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in the first quarter of 2025 and the sale of </w:t>
      </w:r>
      <w:r>
        <w:rPr>
          <w:rFonts w:ascii="Times New Roman" w:cs="Times New Roman" w:eastAsia="Times New Roman" w:hAnsi="Times New Roman"/>
          <w:sz w:val="12"/>
          <w:szCs w:val="12"/>
          <w:i w:val="1"/>
          <w:iCs w:val="1"/>
          <w:color w:val="auto"/>
        </w:rPr>
        <w:t>Dimitris Y</w:t>
      </w:r>
      <w:r>
        <w:rPr>
          <w:rFonts w:ascii="Times New Roman" w:cs="Times New Roman" w:eastAsia="Times New Roman" w:hAnsi="Times New Roman"/>
          <w:sz w:val="12"/>
          <w:szCs w:val="12"/>
          <w:color w:val="auto"/>
        </w:rPr>
        <w:t xml:space="preserve"> in the fourth quarter of 2025, (ii) an increase in crew expenses following our decision to increase the number of seafarers on board to improve the vessels’ conditions, (iii) an increase in stores, spares, and maintenance expenses for planned main engine maintenance and overhaul of diesel generators, and (iv) the impact of inflation on fees and expenses, including management fees. The average cost per ownership day for the year ended December 31, 2025 was $8,231, compared to $7,670 for the prior year period, up $560 per day, or 7.3%.</w:t>
      </w:r>
    </w:p>
    <w:p>
      <w:pPr>
        <w:spacing w:after="0" w:line="116" w:lineRule="exact"/>
        <w:rPr>
          <w:rFonts w:ascii="Times New Roman" w:cs="Times New Roman" w:eastAsia="Times New Roman" w:hAnsi="Times New Roman"/>
          <w:sz w:val="12"/>
          <w:szCs w:val="12"/>
          <w:color w:val="auto"/>
        </w:rPr>
      </w:pPr>
    </w:p>
    <w:p>
      <w:pPr>
        <w:jc w:val="both"/>
        <w:ind w:left="540" w:hanging="188"/>
        <w:spacing w:after="0" w:line="277" w:lineRule="auto"/>
        <w:tabs>
          <w:tab w:leader="none" w:pos="5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Time Charter and Voyage Expenses: </w:t>
      </w:r>
      <w:r>
        <w:rPr>
          <w:rFonts w:ascii="Times New Roman" w:cs="Times New Roman" w:eastAsia="Times New Roman" w:hAnsi="Times New Roman"/>
          <w:sz w:val="12"/>
          <w:szCs w:val="12"/>
          <w:color w:val="auto"/>
        </w:rPr>
        <w:t>Time charter and voyage expenses, which comprise mainly of commission paid to ship brokers, the cost of bunker fuel for owner’s account when a ship is off-hire or idle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miscellaneous costs associated with a ship’s voyage for the owner’s account, were $25.1 million for the year ended December 31, 2025 (or 3.3% of operating revenues) compared to $23.5 million for the year ended December 31, 2024 (or 3.3% of operating revenues). The increase was mainly due to increased commissions on charter renewals at higher rates and increase in bunkering expenses due to higher off-hire days. The average cost per ownership day was $993, an increase of $49 (or 5.2%), from $944 for 2024.</w:t>
      </w:r>
    </w:p>
    <w:p>
      <w:pPr>
        <w:spacing w:after="0" w:line="109" w:lineRule="exact"/>
        <w:rPr>
          <w:rFonts w:ascii="Times New Roman" w:cs="Times New Roman" w:eastAsia="Times New Roman" w:hAnsi="Times New Roman"/>
          <w:sz w:val="12"/>
          <w:szCs w:val="12"/>
          <w:color w:val="auto"/>
        </w:rPr>
      </w:pPr>
    </w:p>
    <w:p>
      <w:pPr>
        <w:jc w:val="both"/>
        <w:ind w:left="540" w:hanging="188"/>
        <w:spacing w:after="0" w:line="282" w:lineRule="auto"/>
        <w:tabs>
          <w:tab w:leader="none" w:pos="5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Depreciation and Amortization</w:t>
      </w:r>
      <w:r>
        <w:rPr>
          <w:rFonts w:ascii="Times New Roman" w:cs="Times New Roman" w:eastAsia="Times New Roman" w:hAnsi="Times New Roman"/>
          <w:sz w:val="12"/>
          <w:szCs w:val="12"/>
          <w:color w:val="auto"/>
        </w:rPr>
        <w:t>: Depreciation and Amortization was $122.0 million (or 15.9% of operating revenues) for the year ended December 31, 2025, up from $100.0 million (or 14.1% of operating revenues) in 2024.</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The increase was mainly due to the 13 drydockings completed in 2025 and the addition of the 2024 Acquired Vessels, the addition of two of the Newly Acquired Vessels offset by the sale of </w:t>
      </w:r>
      <w:r>
        <w:rPr>
          <w:rFonts w:ascii="Times New Roman" w:cs="Times New Roman" w:eastAsia="Times New Roman" w:hAnsi="Times New Roman"/>
          <w:sz w:val="12"/>
          <w:szCs w:val="12"/>
          <w:i w:val="1"/>
          <w:iCs w:val="1"/>
          <w:color w:val="auto"/>
        </w:rPr>
        <w:t>Tasman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Keta,</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Akiteta</w:t>
      </w:r>
      <w:r>
        <w:rPr>
          <w:rFonts w:ascii="Times New Roman" w:cs="Times New Roman" w:eastAsia="Times New Roman" w:hAnsi="Times New Roman"/>
          <w:sz w:val="12"/>
          <w:szCs w:val="12"/>
          <w:color w:val="auto"/>
        </w:rPr>
        <w:t xml:space="preserve"> in the first quarter of 2025 and the sale of </w:t>
      </w:r>
      <w:r>
        <w:rPr>
          <w:rFonts w:ascii="Times New Roman" w:cs="Times New Roman" w:eastAsia="Times New Roman" w:hAnsi="Times New Roman"/>
          <w:sz w:val="12"/>
          <w:szCs w:val="12"/>
          <w:i w:val="1"/>
          <w:iCs w:val="1"/>
          <w:color w:val="auto"/>
        </w:rPr>
        <w:t>Dimitris Y</w:t>
      </w:r>
      <w:r>
        <w:rPr>
          <w:rFonts w:ascii="Times New Roman" w:cs="Times New Roman" w:eastAsia="Times New Roman" w:hAnsi="Times New Roman"/>
          <w:sz w:val="12"/>
          <w:szCs w:val="12"/>
          <w:color w:val="auto"/>
        </w:rPr>
        <w:t xml:space="preserve"> in the fourth quarter of 2025.</w:t>
      </w:r>
    </w:p>
    <w:p>
      <w:pPr>
        <w:spacing w:after="0" w:line="107" w:lineRule="exact"/>
        <w:rPr>
          <w:rFonts w:ascii="Times New Roman" w:cs="Times New Roman" w:eastAsia="Times New Roman" w:hAnsi="Times New Roman"/>
          <w:sz w:val="12"/>
          <w:szCs w:val="12"/>
          <w:color w:val="auto"/>
        </w:rPr>
      </w:pPr>
    </w:p>
    <w:p>
      <w:pPr>
        <w:ind w:left="540" w:hanging="188"/>
        <w:spacing w:after="0" w:line="298" w:lineRule="auto"/>
        <w:tabs>
          <w:tab w:leader="none" w:pos="5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Gain on sale of Vessels: Tasman </w:t>
      </w:r>
      <w:r>
        <w:rPr>
          <w:rFonts w:ascii="Times New Roman" w:cs="Times New Roman" w:eastAsia="Times New Roman" w:hAnsi="Times New Roman"/>
          <w:sz w:val="12"/>
          <w:szCs w:val="12"/>
          <w:color w:val="auto"/>
        </w:rPr>
        <w:t>(5,936 TEU, built 2000),</w:t>
      </w:r>
      <w:r>
        <w:rPr>
          <w:rFonts w:ascii="Times New Roman" w:cs="Times New Roman" w:eastAsia="Times New Roman" w:hAnsi="Times New Roman"/>
          <w:sz w:val="12"/>
          <w:szCs w:val="12"/>
          <w:i w:val="1"/>
          <w:iCs w:val="1"/>
          <w:color w:val="auto"/>
        </w:rPr>
        <w:t xml:space="preserve"> Akiteta </w:t>
      </w:r>
      <w:r>
        <w:rPr>
          <w:rFonts w:ascii="Times New Roman" w:cs="Times New Roman" w:eastAsia="Times New Roman" w:hAnsi="Times New Roman"/>
          <w:sz w:val="12"/>
          <w:szCs w:val="12"/>
          <w:color w:val="auto"/>
        </w:rPr>
        <w:t>(2,220 TEU, built 2002), and</w:t>
      </w:r>
      <w:r>
        <w:rPr>
          <w:rFonts w:ascii="Times New Roman" w:cs="Times New Roman" w:eastAsia="Times New Roman" w:hAnsi="Times New Roman"/>
          <w:sz w:val="12"/>
          <w:szCs w:val="12"/>
          <w:i w:val="1"/>
          <w:iCs w:val="1"/>
          <w:color w:val="auto"/>
        </w:rPr>
        <w:t xml:space="preserve"> Keta </w:t>
      </w:r>
      <w:r>
        <w:rPr>
          <w:rFonts w:ascii="Times New Roman" w:cs="Times New Roman" w:eastAsia="Times New Roman" w:hAnsi="Times New Roman"/>
          <w:sz w:val="12"/>
          <w:szCs w:val="12"/>
          <w:color w:val="auto"/>
        </w:rPr>
        <w:t>(2,207 TEU, built 2003) were sold for an aggregate gain of $28.3 million in the first quarter of 2025.</w:t>
      </w:r>
      <w:r>
        <w:rPr>
          <w:rFonts w:ascii="Times New Roman" w:cs="Times New Roman" w:eastAsia="Times New Roman" w:hAnsi="Times New Roman"/>
          <w:sz w:val="12"/>
          <w:szCs w:val="12"/>
          <w:i w:val="1"/>
          <w:iCs w:val="1"/>
          <w:color w:val="auto"/>
        </w:rPr>
        <w:t xml:space="preserve"> Dimitris Y </w:t>
      </w:r>
      <w:r>
        <w:rPr>
          <w:rFonts w:ascii="Times New Roman" w:cs="Times New Roman" w:eastAsia="Times New Roman" w:hAnsi="Times New Roman"/>
          <w:sz w:val="12"/>
          <w:szCs w:val="12"/>
          <w:color w:val="auto"/>
        </w:rPr>
        <w:t>(5,936</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TEU, built 2000) was sold for an aggregate gain of $17.9 million in the fourth quarter of 2025.</w:t>
      </w:r>
    </w:p>
    <w:p>
      <w:pPr>
        <w:spacing w:after="0" w:line="98" w:lineRule="exact"/>
        <w:rPr>
          <w:rFonts w:ascii="Times New Roman" w:cs="Times New Roman" w:eastAsia="Times New Roman" w:hAnsi="Times New Roman"/>
          <w:sz w:val="12"/>
          <w:szCs w:val="12"/>
          <w:color w:val="auto"/>
        </w:rPr>
      </w:pPr>
    </w:p>
    <w:p>
      <w:pPr>
        <w:jc w:val="both"/>
        <w:ind w:left="540" w:hanging="188"/>
        <w:spacing w:after="0" w:line="277" w:lineRule="auto"/>
        <w:tabs>
          <w:tab w:leader="none" w:pos="540" w:val="left"/>
        </w:tabs>
        <w:numPr>
          <w:ilvl w:val="0"/>
          <w:numId w:val="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General and Administrative Expenses: </w:t>
      </w:r>
      <w:r>
        <w:rPr>
          <w:rFonts w:ascii="Times New Roman" w:cs="Times New Roman" w:eastAsia="Times New Roman" w:hAnsi="Times New Roman"/>
          <w:sz w:val="12"/>
          <w:szCs w:val="12"/>
          <w:color w:val="auto"/>
        </w:rPr>
        <w:t>General and administrative expenses were $22.1 million (or 2.9% of operating revenues) in the year ended December 31, 2025, and were $17.1 million (or 2.4% of operating revenues)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 2024. The average general and administrative expense per ownership day for the year ended December 31, 2025 was $872, compared to $687 in the comparative period, an increase of $185 or 26.9%. The increase was mainly due to a non-cash charge for stock-based compensation expense relating to the Equity Incentive Plan, which is based on the valuation of awards under the Equity Incentive Plan as of the grant date, such valuation being a function of the Company’s increased share price. The Plan was amended, effective September 25, 2025, to replenish the number of Class A common shares that may be issued thereunder by 2,430,000 shares.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Operating Income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a consequence of all preceding items, operating income was $435.2 million for the year ended December 31, 2025 compared to an operating income of $379.1 million for the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Income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Interest income earned on cash balances for the year ended December 31, 2025 was $19.2 million compared to $16.7 million for the year ended December 31, 2024 with the increase being mainly due to higher invested amounts.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Interest and other finance expenses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Interest and other finance expenses for the year ended December 31, 2025 was $39.0 million, down from $40.7 million for the prior year. Interest and other finance expenses for the year ended December 31, 2025 of $39.0 million, included (i) a prepayment fee of $0.2 million following the full repayment of Macquarie Credit Facility and (ii) the non-cash write off of deferred financing costs of $0.7 million on the full repayments of the Macquarie Credit Facility, the HCOB-CACIB Credit Facility and the E.SUN Credit Facility in 2025. In March 2025, we entered into a loan agreement with UBS AG for $85.0 million (the UBS Credit Facility), to refinance certain of our existing loans. The new loan bears interest at a rate of at SOFR plus a margin of 2.15% per annum and has a maturity of three years. During March 2025, we fully repaid the outstanding balance of E.SUN Credit Facility amounting to $5.9 million. During April 2025, we fully repaid the outstanding balance of the Macquarie Credit Facility amounting to $17.5 million and the outstanding balance of the HCOB-CACIB Credit Facility amounting to $46.8 million. Interest and other finance expenses for the year ended December 31, 2024 of $40.7 million, included (i) the non-cash write off of deferred financing costs of $2.7 million on the full repayments of six of our credit facilities and two of our sale and leaseback agreements, (ii) a prepayment fee of $0.7 million on the full repayment of the sale and leaseback agreement with CMB Financial Leasing Co. Ltd., and (iii) a prepayment fee of $0.2 million on the partial repayment of the Macquarie Credit Facility.</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Other income, net</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income, net represents miscellaneous revenue mainly from sundry recharges to charterers under our time charters. In the year ended December 31, 2025, other income, net was $6.0 million, up from $3.7 million in 2024.</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Income Taxes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Income taxes for the year ended December 31, 2025 were nil, the same as in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year ended December 31, 2025, net income was $416.4 million, compared to a net income of $353.6 million for the year ended December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Earnings Allocated to Series B Preferred Shares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dividends payable on the $109.0 million of Series B Preferred Shares outstanding as at December 31, 2025, are presented as a reduction of net income, as and when declared by the Board of Directors. These dividends totaled $9.5 million for each of the years ended December 31, 2025 and 2024,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Net Income Available to Common Shareholders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Net income available to common shareholders for the year ended December 31, 2025 was $406.9 million, compared to a net income available to common shareholders of $344.1 million for the year ended December 31, 2024.</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2024 compared to Year ended December 31, 2023</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For a discussion of our results for the year ended December 31, 2024 compared to the year ended December 31, 2023, please see “Item 5. Operating and Financial Review and Prospects—A. Operating Results—Results of Operations—Year Ended December 31, 2024 Compared to the Year Ended December 31, 2023” contained in our Annual Report on Form 20-F for the year ended December 31, 2024, filed with the SEC on March 18,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Liquidity and Capital Resources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Working Capital and Dividends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We anticipate that our principal sources of funds for our short-term liquidity needs will be our primary operating cash flows, long-term bank borrowings, sale and leaseback transactions and other debt raisings, proceeds from asset sales, and cash flows from our equity offerings. In addition, our primary short-term liquidity needs are to fund general working capital requirements, cash reserve requirements including those under our credit facilities and debt service, while our long-term liquidity needs primarily relate to expansion and investment capital expenditures, other maintenance capital expenditures, debt repayment, lease payment, and payment of quarterly dividends on our outstanding preferred and common stock. As of December 31, 2025, our current assets totaled $627.0 million, while current liabilities totaled $306.8 million, resulting in a positive working capital position of $320.2 million. Since our working capital is positive, we believe that we have sufficient funds to meet our short-term and long-term liquidity needs although we cannot assure you that we will be able to secure adequate financing or to obtain additional funds on favorable terms, to meet our liquidity needs.</w:t>
      </w:r>
    </w:p>
    <w:p>
      <w:pPr>
        <w:spacing w:after="0" w:line="12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Our net cash flow from operating activities derives from revenue received under our charter contracts, which varies directly with the number of vessels under charter, days on-hire, and charter rates, less operating expenses including crew costs, lubricating oil costs, costs of repairs and maintenance, insurance premiums, and organizing other ship operating necessities, including monitoring and reporting with respect to EU ETS requirements (including related Emission Trading Scheme Allowances) and FEUM compliance, general and administrative expenses, interest, and other financing costs. In addition, each of our vessels is subject to a drydock approximately every five years. Thirteen drydockings were completed in 2025 for regulatory reasons and 27 vessel upgrades were completed, the total cost of which, excluding the effect of the associated 816 days of off-hire, was $62.5 million. Twelve drydockings were completed in 2024 for regulatory reasons and 49 for vessel upgrades, the total cost of which, excluding the effect of the associated 807 days of off-hire, was $77.5 million. The average cost of the 25 drydockings completed on vessels in the current fleet between January 2024 and December 2025 was $3.4 million with an average loss of revenue of $1.7 million while the relevant vessel was off-hire. The average cost for vessel upgrades due to commercial reasons was $0.6 million.</w:t>
      </w:r>
    </w:p>
    <w:p>
      <w:pPr>
        <w:spacing w:after="0" w:line="12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included a schedule of the next anticipated drydocking date for each of our vessels in “Item 4. Information on the Company—B. Business— Inspection by Classification Societies.” In future years there will be incremental costs for compliance with ballast water management regulations and with emission control regulations should we decide, in conjunction with our relevant charter, to retrofit scrubbers on our vessels. See “Item 4. Information on the Company—B. Business—Environmental and Other Regulations.”</w:t>
      </w:r>
    </w:p>
    <w:p>
      <w:pPr>
        <w:spacing w:after="0" w:line="12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main factor affecting cash flow in a period is the timing of the receipt of charter hire, which is due to be paid two weeks or one month in advance, proceeds from any asset sales, costs of any asset purchases, the payments for costs of drydockings and vessel upgrades, the timing of the payment of interest, which is mainly quarterly, amortization of our debt including the 2027 Secured Notes, financings and refinancings, purchases of our Class A common shares, as of the date of this Annual Report, we have remaining approximately $33.0 million available authorization for such purchases and dividends paid on our Class A common shares and Series B Preferred Shares.</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As at December 31, 2025, we had $694.7 million of debt outstanding, comprising $311.0 million of secured bank debt collateralized by vessels, $179.4 million of investment grade rated 2027 Secured Notes collateralized by vessels, and $204.3 million under sale and leaseback financing transactions, which have floating interest rates at SOFR plus a weighted average margin of approximately 2.34%. Assuming SOFR of 4.0%, quarterly interest on total gross debt as at December 31, 2025, without taking into account amortization of the premium or the effect of the interest rate caps, would amount to approximately $10.7 million.</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credit facilities require that we maintain $20.0 million minimum liquidity at each quarter end on group basis.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and December 31, 2024, we were in compliance with our debt covenants.</w:t>
      </w:r>
    </w:p>
    <w:p>
      <w:pPr>
        <w:spacing w:after="0" w:line="141"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We intend to declare and make quarterly dividend payments amounting to approximately $2.4 million per quarter on our Series B Preferred Shares based on the amount outstanding as of December 31, 2025 on a perpetual basis and in accordance with the Certificate of Designation governing the terms of our Series B Preferred Shares. Finally, we may, at the discretion of our Board of Directors, declare and pay dividends on our common shares, subject to, among other things, any applicable restrictions contained in our current and future agreements governing our indebtedness, including our credit facilities, and available cash flow. We paid dividends of $0.525 per Class A common share for the first and second quarter of 2025, and $0.625 per Class A common share for the third and fourth quarter of 2025. Effective from first quarter of 2026, we expect that our quarterly dividend will be $0.625 per Class A common share. Please see “Item 8. Financial Information —Dividend Policy.”</w:t>
      </w:r>
    </w:p>
    <w:p>
      <w:pPr>
        <w:spacing w:after="0" w:line="12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Other than costs for drydockings and compliance with environmental regulations, there are no other current material commitments for capital expenditures or other known and reasonably likely material cash requirements other than in respect of our growth strategy.</w:t>
      </w:r>
    </w:p>
    <w:p>
      <w:pPr>
        <w:spacing w:after="0" w:line="101"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All our revenues are denominated in U.S. dollars and a portion of our expenses are denominated in currencies other than U.S. dollars. As of December 31, 2025, we had $637.0 million in cash and cash equivalents, including restricted cash, time deposits and other instruments. Our cash and cash equivalents are mainly held in U.S. dollars, with relatively small amounts of UK pounds sterling and Euros. We regularly review the amount of cash and cash equivalents held in different jurisdictions to determine the amounts necessary to fund our operations and their growth initiatives and amounts needed to service our indebtedness and related obligations. If these amounts are moved out of their original jurisdictions, we may be subject to taxation.</w:t>
      </w:r>
    </w:p>
    <w:p>
      <w:pPr>
        <w:spacing w:after="0" w:line="123"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Due to our charter coverage and nature of our operating and financial costs, our cashflows are predictable and visible, at least in the near to medium term. We have policies in place to control treasury activities within the group. For example, all new funding must be approved by our Board of Directors, and cash deposits can only be made with institutions meeting certain credit metrics and up to predetermined limits by institution.</w:t>
      </w:r>
    </w:p>
    <w:p>
      <w:pPr>
        <w:spacing w:after="0" w:line="120"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floating rate debt is represented by drawings under a number of secured credit facilities. In December 2021, we entered into a USD one-month London Interbank Offered Rate (“LIBOR”) interest rate cap of 0.75% through fourth quarter of 2026 on $484.1 million of floating rate debt and in February 2022 we entered into USD one-month LIBOR interest rate caps of 0.75% though fourth quarter of 2026 on $507.9 million of floating rate debt to hedge our cash flows. As a result of the discontinuation of LIBOR, on July 1, 2023, our interest rate caps automatically transitioned to one-month Compounded SOFR at a net level of 0.64%. We would not enter into derivatives for trading or speculative purposes.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38"/>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2"/>
                <w:szCs w:val="12"/>
                <w:b w:val="1"/>
                <w:bCs w:val="1"/>
                <w:color w:val="auto"/>
              </w:rPr>
              <w:t>Cash Flows</w:t>
            </w:r>
          </w:p>
        </w:tc>
        <w:tc>
          <w:tcPr>
            <w:tcW w:w="772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8560" w:type="dxa"/>
            <w:vAlign w:val="bottom"/>
            <w:gridSpan w:val="3"/>
          </w:tcPr>
          <w:p>
            <w:pPr>
              <w:ind w:left="240"/>
              <w:spacing w:after="0"/>
              <w:rPr>
                <w:sz w:val="20"/>
                <w:szCs w:val="20"/>
                <w:color w:val="auto"/>
              </w:rPr>
            </w:pPr>
            <w:r>
              <w:rPr>
                <w:rFonts w:ascii="Times New Roman" w:cs="Times New Roman" w:eastAsia="Times New Roman" w:hAnsi="Times New Roman"/>
                <w:sz w:val="12"/>
                <w:szCs w:val="12"/>
                <w:color w:val="auto"/>
              </w:rPr>
              <w:t>The table below shows our consolidated cash flows for each of the years ended December 31, 2025, 2024, and 2023:</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8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tcBorders>
              <w:bottom w:val="single" w:sz="8" w:color="auto"/>
            </w:tcBorders>
            <w:gridSpan w:val="5"/>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w w:val="98"/>
              </w:rPr>
              <w:t>Year ended December 31,</w:t>
            </w: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84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64"/>
        </w:trPr>
        <w:tc>
          <w:tcPr>
            <w:tcW w:w="856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2220" w:type="dxa"/>
            <w:vAlign w:val="bottom"/>
            <w:gridSpan w:val="5"/>
          </w:tcPr>
          <w:p>
            <w:pPr>
              <w:jc w:val="center"/>
              <w:ind w:left="460"/>
              <w:spacing w:after="0"/>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856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$ 416.3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$ 353.6</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$ 304.5</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Adjustments to reconcile net income to net cash provided by operating activities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122.0</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91.7</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Impairment of vessels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Gain on sale of vessels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Amounts reclassified to other comprehensive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derivative assets’ premium</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4.6</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6.8</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liabilities-charter agreements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(13.5)</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(5.5)</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5.2</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Prepayment fees on debt repayment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0.9</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Stock based compensation expense</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14.0</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8.7</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Movement in working capital</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23.3</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(45.1)</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(57.5)</w:t>
            </w:r>
          </w:p>
        </w:tc>
        <w:tc>
          <w:tcPr>
            <w:tcW w:w="0" w:type="dxa"/>
            <w:vAlign w:val="bottom"/>
          </w:tcPr>
          <w:p>
            <w:pPr>
              <w:spacing w:after="0"/>
              <w:rPr>
                <w:sz w:val="1"/>
                <w:szCs w:val="1"/>
                <w:color w:val="auto"/>
              </w:rPr>
            </w:pP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8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528.3</w:t>
            </w:r>
          </w:p>
        </w:tc>
        <w:tc>
          <w:tcPr>
            <w:tcW w:w="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430.1</w:t>
            </w: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375.0</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Acquisition of vessels and intangibles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(205.5)</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proceeds from sale of vessels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88.6</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Cash paid for vessel expenditures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(14.3)</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(12.8)</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(19.6)</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Advances for vessel acquisitions and other additions</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(33.2)</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(24.1)</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Time deposits and other instruments acquired</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(271.5)</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(12.2)</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0" w:type="dxa"/>
            <w:vAlign w:val="bottom"/>
          </w:tcPr>
          <w:p>
            <w:pPr>
              <w:spacing w:after="0"/>
              <w:rPr>
                <w:sz w:val="1"/>
                <w:szCs w:val="1"/>
                <w:color w:val="auto"/>
              </w:rPr>
            </w:pP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by/(used in) investing activities</w:t>
            </w:r>
          </w:p>
        </w:tc>
        <w:tc>
          <w:tcPr>
            <w:tcW w:w="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351.9</w:t>
            </w:r>
          </w:p>
        </w:tc>
        <w:tc>
          <w:tcPr>
            <w:tcW w:w="8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(254.6)</w:t>
            </w: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(152.0)</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financing costs paid</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(3.1)</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Repayment of refinanced debt, including prepayment fees</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(70.4)</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(292.0)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drawdown of credit facilities and sale and leaseback</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218.5</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344.5</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Repayment of credit facilities and sale and leaseback</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(144.7)</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(185.4)</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proceeds from offering of Class A common shares, net of offering costs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Cancellation of Class A common shares</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(5.0)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(22.0)</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Class A common shares-dividend paid</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(76.1)</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(58.4)</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w:t>
            </w:r>
          </w:p>
        </w:tc>
        <w:tc>
          <w:tcPr>
            <w:tcW w:w="0" w:type="dxa"/>
            <w:vAlign w:val="bottom"/>
          </w:tcPr>
          <w:p>
            <w:pPr>
              <w:spacing w:after="0"/>
              <w:rPr>
                <w:sz w:val="1"/>
                <w:szCs w:val="1"/>
                <w:color w:val="auto"/>
              </w:rPr>
            </w:pPr>
          </w:p>
        </w:tc>
      </w:tr>
      <w:tr>
        <w:trPr>
          <w:trHeight w:val="144"/>
        </w:trPr>
        <w:tc>
          <w:tcPr>
            <w:tcW w:w="85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Series B preferred shares – dividends paid</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80" w:type="dxa"/>
            <w:vAlign w:val="bottom"/>
          </w:tcPr>
          <w:p>
            <w:pPr>
              <w:spacing w:after="0"/>
              <w:rPr>
                <w:sz w:val="12"/>
                <w:szCs w:val="12"/>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(9.5)</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0" w:type="dxa"/>
            <w:vAlign w:val="bottom"/>
          </w:tcPr>
          <w:p>
            <w:pPr>
              <w:spacing w:after="0"/>
              <w:rPr>
                <w:sz w:val="1"/>
                <w:szCs w:val="1"/>
                <w:color w:val="auto"/>
              </w:rPr>
            </w:pPr>
          </w:p>
        </w:tc>
      </w:tr>
      <w:tr>
        <w:trPr>
          <w:trHeight w:val="133"/>
        </w:trPr>
        <w:tc>
          <w:tcPr>
            <w:tcW w:w="8480" w:type="dxa"/>
            <w:vAlign w:val="bottom"/>
            <w:tcBorders>
              <w:top w:val="single" w:sz="8" w:color="CCEEFF"/>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1020" w:type="dxa"/>
            <w:vAlign w:val="bottom"/>
            <w:tcBorders>
              <w:top w:val="single" w:sz="8" w:color="auto"/>
              <w:bottom w:val="single" w:sz="8" w:color="auto"/>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(84.7)</w:t>
            </w:r>
          </w:p>
        </w:tc>
        <w:tc>
          <w:tcPr>
            <w:tcW w:w="1020" w:type="dxa"/>
            <w:vAlign w:val="bottom"/>
            <w:tcBorders>
              <w:top w:val="single" w:sz="8" w:color="auto"/>
              <w:bottom w:val="single" w:sz="8" w:color="auto"/>
            </w:tcBorders>
            <w:gridSpan w:val="2"/>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(208.6)</w:t>
            </w: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(212.2)</w:t>
            </w:r>
          </w:p>
        </w:tc>
        <w:tc>
          <w:tcPr>
            <w:tcW w:w="0" w:type="dxa"/>
            <w:vAlign w:val="bottom"/>
          </w:tcPr>
          <w:p>
            <w:pPr>
              <w:spacing w:after="0"/>
              <w:rPr>
                <w:sz w:val="1"/>
                <w:szCs w:val="1"/>
                <w:color w:val="auto"/>
              </w:rPr>
            </w:pPr>
          </w:p>
        </w:tc>
      </w:tr>
      <w:tr>
        <w:trPr>
          <w:trHeight w:val="133"/>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Net increase/(decrease) in cash and cash equivalents and restricted cash</w:t>
            </w:r>
          </w:p>
        </w:tc>
        <w:tc>
          <w:tcPr>
            <w:tcW w:w="80" w:type="dxa"/>
            <w:vAlign w:val="bottom"/>
          </w:tcPr>
          <w:p>
            <w:pPr>
              <w:spacing w:after="0"/>
              <w:rPr>
                <w:sz w:val="11"/>
                <w:szCs w:val="11"/>
                <w:color w:val="auto"/>
              </w:rPr>
            </w:pPr>
          </w:p>
        </w:tc>
        <w:tc>
          <w:tcPr>
            <w:tcW w:w="10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91.7</w:t>
            </w:r>
          </w:p>
        </w:tc>
        <w:tc>
          <w:tcPr>
            <w:tcW w:w="1020" w:type="dxa"/>
            <w:vAlign w:val="bottom"/>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(33.1)</w:t>
            </w:r>
          </w:p>
        </w:tc>
        <w:tc>
          <w:tcPr>
            <w:tcW w:w="180" w:type="dxa"/>
            <w:vAlign w:val="bottom"/>
          </w:tcPr>
          <w:p>
            <w:pPr>
              <w:spacing w:after="0"/>
              <w:rPr>
                <w:sz w:val="11"/>
                <w:szCs w:val="11"/>
                <w:color w:val="auto"/>
              </w:rPr>
            </w:pPr>
          </w:p>
        </w:tc>
        <w:tc>
          <w:tcPr>
            <w:tcW w:w="5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10.8</w:t>
            </w:r>
          </w:p>
        </w:tc>
        <w:tc>
          <w:tcPr>
            <w:tcW w:w="0" w:type="dxa"/>
            <w:vAlign w:val="bottom"/>
          </w:tcPr>
          <w:p>
            <w:pPr>
              <w:spacing w:after="0"/>
              <w:rPr>
                <w:sz w:val="1"/>
                <w:szCs w:val="1"/>
                <w:color w:val="auto"/>
              </w:rPr>
            </w:pPr>
          </w:p>
        </w:tc>
      </w:tr>
      <w:tr>
        <w:trPr>
          <w:trHeight w:val="144"/>
        </w:trPr>
        <w:tc>
          <w:tcPr>
            <w:tcW w:w="85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and cash equivalents and restricted cash at beginning of the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247.6</w:t>
            </w: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280.7</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269.9</w:t>
            </w:r>
          </w:p>
        </w:tc>
        <w:tc>
          <w:tcPr>
            <w:tcW w:w="0" w:type="dxa"/>
            <w:vAlign w:val="bottom"/>
          </w:tcPr>
          <w:p>
            <w:pPr>
              <w:spacing w:after="0"/>
              <w:rPr>
                <w:sz w:val="1"/>
                <w:szCs w:val="1"/>
                <w:color w:val="auto"/>
              </w:rPr>
            </w:pPr>
          </w:p>
        </w:tc>
      </w:tr>
      <w:tr>
        <w:trPr>
          <w:trHeight w:val="140"/>
        </w:trPr>
        <w:tc>
          <w:tcPr>
            <w:tcW w:w="848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the year</w:t>
            </w:r>
          </w:p>
        </w:tc>
        <w:tc>
          <w:tcPr>
            <w:tcW w:w="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$ 339.3</w:t>
            </w:r>
          </w:p>
        </w:tc>
        <w:tc>
          <w:tcPr>
            <w:tcW w:w="8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$ 247.6</w:t>
            </w:r>
          </w:p>
        </w:tc>
        <w:tc>
          <w:tcPr>
            <w:tcW w:w="1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$ 280.7</w:t>
            </w:r>
          </w:p>
        </w:tc>
        <w:tc>
          <w:tcPr>
            <w:tcW w:w="0" w:type="dxa"/>
            <w:vAlign w:val="bottom"/>
          </w:tcPr>
          <w:p>
            <w:pPr>
              <w:spacing w:after="0"/>
              <w:rPr>
                <w:sz w:val="1"/>
                <w:szCs w:val="1"/>
                <w:color w:val="auto"/>
              </w:rPr>
            </w:pPr>
          </w:p>
        </w:tc>
      </w:tr>
      <w:tr>
        <w:trPr>
          <w:trHeight w:val="288"/>
        </w:trPr>
        <w:tc>
          <w:tcPr>
            <w:tcW w:w="8480" w:type="dxa"/>
            <w:vAlign w:val="bottom"/>
            <w:tcBorders>
              <w:bottom w:val="single" w:sz="8" w:color="auto"/>
            </w:tcBorders>
            <w:gridSpan w:val="2"/>
          </w:tcPr>
          <w:p>
            <w:pPr>
              <w:ind w:left="5580"/>
              <w:spacing w:after="0"/>
              <w:rPr>
                <w:sz w:val="20"/>
                <w:szCs w:val="20"/>
                <w:color w:val="auto"/>
              </w:rPr>
            </w:pPr>
            <w:r>
              <w:rPr>
                <w:rFonts w:ascii="Times New Roman" w:cs="Times New Roman" w:eastAsia="Times New Roman" w:hAnsi="Times New Roman"/>
                <w:sz w:val="12"/>
                <w:szCs w:val="12"/>
                <w:color w:val="auto"/>
              </w:rPr>
              <w:t>55</w:t>
            </w: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91"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2025 compared to Year ended December 31, 2024</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Net cash provided by operating activities was $528.3 million for the year ended December 31, 2025 reflecting mainly net income of $416.3 million, adjusted for depreciation and amortization of $122.0 million, amortization of derivative assets premium of $3.6 million, amortization of deferred financing costs of $3.7 million, prepayment fees on debt repayment of $0.2 million, amortization of intangible liabilities of $13.5 million, stock-based compensation of $14.0 million, fair value adjustment on derivative asset of $5.0 million, gain on sale of vessels of $46.3 million plus movements in working capital, including deferred revenue, of $23.3 million.</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Net cash provided by operating activities was $430.1 million for the year ended December 31, 2024, reflecting mainly net income of $353.6 million, adjusted for depreciation and amortization of $100.0 million, amounts reclassified to other comprehensive income of $0.9 million, amortization of derivative assets premium of $4.6 million, amortization of deferred financing costs of $6.8 million, prepayment fees on debt repayment of $0.9 million, amortization of intangible liabilities of $5.5 million, stock-based compensation of $8.7 million, fair value adjustment on derivative asset of $5.2 million, amortization of derivative assets’ premium of $4.6 million, plus movements in working capital, including deferred revenue, of $45.1 million.</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Net cash provided by investing activities for the year ended December 31, 2025 was $351.9 million, including $121.5 million for acquisition of vessels and intangibles, $47.5 million vessel additions and other advances, $271.5 million cash and cash equivalents, time deposits and other instruments acquired offset by $88.6 million net proceeds from sale of vessels.</w:t>
      </w:r>
    </w:p>
    <w:p>
      <w:pPr>
        <w:spacing w:after="0" w:line="9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Net cash used in investing activities for the year ended December 31, 2024 was $254.6 million, including $205.5 million for acquisition of vessels and intangibles, $36.9 million vessel additions and other advances and $12.2 million cash in time deposits acquired.</w:t>
      </w:r>
    </w:p>
    <w:p>
      <w:pPr>
        <w:spacing w:after="0" w:line="110"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2025 was $84.7 million, including $2.2 million deferred financing costs paid, $70.4 million repayment of refinanced debt including prepayment fees, $144.7 million repayment of credit facilities and sale and leaseback, $76.1 million dividends paid on our Class A common shares, $9.5 million dividends paid on our Series B Preferred Shares, $0.3 million net proceeds from offering of Class A common shares, net of offering cost, offset by $218.5 million drawdowns of a new credit facility and three new sale and leaseback agreements.</w:t>
      </w:r>
    </w:p>
    <w:p>
      <w:pPr>
        <w:spacing w:after="0" w:line="11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Net cash used in financing activities for the year ended December 31, 2024 was $208.6 million, including $3.1 million deferred financing costs paid, $292.0 million repayment of refinanced debt including prepayment fees, $185.4 million repayment of credit facilities and sale and leaseback, $5.0 million purchase and retirement of 251,772 Class A common shares, $58.4 million dividends paid on our Class A common shares, $9.5 million dividends paid on our Series B Preferred Shares offset by $344.5 million drawdowns of a new credit facility and a new sale and leaseback agreement and $0.3 million net proceeds from offering of Class A common shares, net of offering costs.</w:t>
      </w:r>
    </w:p>
    <w:p>
      <w:pPr>
        <w:spacing w:after="0" w:line="111"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Overall, there was a net increase in cash and cash equivalents and restricted cash of $91.7 million in the year ended December 31, 2025, resulting in closing cash and cash equivalents and restricted cash of $339.3 million compared to closing cash and cash equivalents and restricted cash of $247.6 million as at December 31, 2024.</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Year ended December 31, 2024 compared to Year ended December 31, 2023</w:t>
      </w:r>
    </w:p>
    <w:p>
      <w:pPr>
        <w:spacing w:after="0" w:line="12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For a discussion of our cash flows for the year ended December 31, 2024 compared to the year ended December 31, 2023, please see “Item 5. Operating and Financial Review and Prospects—B. Liquidity and Capital Resources— Year Ended December 31, 2024 Compared to Year Ended December 31, 2023” contained in our Annual Report on Form 20-F for the year ended December 31, 2024, filed with the SEC on March 18, 2025.</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Borrowing Activities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During 2023, we amended and restated the interest rate terms in all of our loan agreements and finance leases for the transition to the SOFR and the relevant provisions on a replacement rate as a result of the discontinuation of LIBOR that occurred on June 30, 2023.</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38"/>
        </w:trPr>
        <w:tc>
          <w:tcPr>
            <w:tcW w:w="416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9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1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As of December 31, 2025, our indebtedness comprised:</w:t>
            </w:r>
          </w:p>
        </w:tc>
        <w:tc>
          <w:tcPr>
            <w:tcW w:w="9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Final maturity</w:t>
            </w:r>
          </w:p>
        </w:tc>
        <w:tc>
          <w:tcPr>
            <w:tcW w:w="0" w:type="dxa"/>
            <w:vAlign w:val="bottom"/>
          </w:tcPr>
          <w:p>
            <w:pPr>
              <w:spacing w:after="0"/>
              <w:rPr>
                <w:sz w:val="1"/>
                <w:szCs w:val="1"/>
                <w:color w:val="auto"/>
              </w:rPr>
            </w:pPr>
          </w:p>
        </w:tc>
      </w:tr>
      <w:tr>
        <w:trPr>
          <w:trHeight w:val="129"/>
        </w:trPr>
        <w:tc>
          <w:tcPr>
            <w:tcW w:w="840" w:type="dxa"/>
            <w:vAlign w:val="bottom"/>
          </w:tcPr>
          <w:p>
            <w:pPr>
              <w:spacing w:after="0"/>
              <w:rPr>
                <w:sz w:val="11"/>
                <w:szCs w:val="11"/>
                <w:color w:val="auto"/>
              </w:rPr>
            </w:pPr>
          </w:p>
        </w:tc>
        <w:tc>
          <w:tcPr>
            <w:tcW w:w="3320" w:type="dxa"/>
            <w:vAlign w:val="bottom"/>
            <w:vMerge w:val="restart"/>
          </w:tcPr>
          <w:p>
            <w:pPr>
              <w:ind w:left="1060"/>
              <w:spacing w:after="0"/>
              <w:rPr>
                <w:sz w:val="20"/>
                <w:szCs w:val="20"/>
                <w:color w:val="auto"/>
              </w:rPr>
            </w:pPr>
            <w:r>
              <w:rPr>
                <w:rFonts w:ascii="Times New Roman" w:cs="Times New Roman" w:eastAsia="Times New Roman" w:hAnsi="Times New Roman"/>
                <w:sz w:val="12"/>
                <w:szCs w:val="12"/>
                <w:b w:val="1"/>
                <w:bCs w:val="1"/>
                <w:color w:val="auto"/>
              </w:rPr>
              <w:t>Lender</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 USD)</w:t>
            </w:r>
          </w:p>
        </w:tc>
        <w:tc>
          <w:tcPr>
            <w:tcW w:w="1620" w:type="dxa"/>
            <w:vAlign w:val="bottom"/>
            <w:gridSpan w:val="2"/>
            <w:vMerge w:val="restart"/>
          </w:tcPr>
          <w:p>
            <w:pPr>
              <w:ind w:left="360"/>
              <w:spacing w:after="0"/>
              <w:rPr>
                <w:sz w:val="20"/>
                <w:szCs w:val="20"/>
                <w:color w:val="auto"/>
              </w:rPr>
            </w:pPr>
            <w:r>
              <w:rPr>
                <w:rFonts w:ascii="Times New Roman" w:cs="Times New Roman" w:eastAsia="Times New Roman" w:hAnsi="Times New Roman"/>
                <w:sz w:val="12"/>
                <w:szCs w:val="12"/>
                <w:b w:val="1"/>
                <w:bCs w:val="1"/>
                <w:color w:val="auto"/>
              </w:rPr>
              <w:t>Collateral vessels</w:t>
            </w:r>
          </w:p>
        </w:tc>
        <w:tc>
          <w:tcPr>
            <w:tcW w:w="36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rPr>
              <w:t>Interest Rate</w:t>
            </w:r>
          </w:p>
        </w:tc>
        <w:tc>
          <w:tcPr>
            <w:tcW w:w="9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840" w:type="dxa"/>
            <w:vAlign w:val="bottom"/>
          </w:tcPr>
          <w:p>
            <w:pPr>
              <w:spacing w:after="0"/>
              <w:rPr>
                <w:sz w:val="7"/>
                <w:szCs w:val="7"/>
                <w:color w:val="auto"/>
              </w:rPr>
            </w:pPr>
          </w:p>
        </w:tc>
        <w:tc>
          <w:tcPr>
            <w:tcW w:w="33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3620" w:type="dxa"/>
            <w:vAlign w:val="bottom"/>
            <w:gridSpan w:val="2"/>
            <w:vMerge w:val="continue"/>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w:t>
            </w:r>
          </w:p>
        </w:tc>
        <w:tc>
          <w:tcPr>
            <w:tcW w:w="0" w:type="dxa"/>
            <w:vAlign w:val="bottom"/>
          </w:tcPr>
          <w:p>
            <w:pPr>
              <w:spacing w:after="0"/>
              <w:rPr>
                <w:sz w:val="1"/>
                <w:szCs w:val="1"/>
                <w:color w:val="auto"/>
              </w:rPr>
            </w:pPr>
          </w:p>
        </w:tc>
      </w:tr>
      <w:tr>
        <w:trPr>
          <w:trHeight w:val="72"/>
        </w:trPr>
        <w:tc>
          <w:tcPr>
            <w:tcW w:w="840" w:type="dxa"/>
            <w:vAlign w:val="bottom"/>
            <w:tcBorders>
              <w:bottom w:val="single" w:sz="8" w:color="CCEEFF"/>
            </w:tcBorders>
          </w:tcPr>
          <w:p>
            <w:pPr>
              <w:spacing w:after="0"/>
              <w:rPr>
                <w:sz w:val="6"/>
                <w:szCs w:val="6"/>
                <w:color w:val="auto"/>
              </w:rPr>
            </w:pPr>
          </w:p>
        </w:tc>
        <w:tc>
          <w:tcPr>
            <w:tcW w:w="332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3460" w:type="dxa"/>
            <w:vAlign w:val="bottom"/>
            <w:tcBorders>
              <w:bottom w:val="single" w:sz="8" w:color="auto"/>
            </w:tcBorders>
          </w:tcPr>
          <w:p>
            <w:pPr>
              <w:spacing w:after="0"/>
              <w:rPr>
                <w:sz w:val="6"/>
                <w:szCs w:val="6"/>
                <w:color w:val="auto"/>
              </w:rPr>
            </w:pPr>
          </w:p>
        </w:tc>
        <w:tc>
          <w:tcPr>
            <w:tcW w:w="160" w:type="dxa"/>
            <w:vAlign w:val="bottom"/>
            <w:tcBorders>
              <w:bottom w:val="single" w:sz="8" w:color="CCEEFF"/>
            </w:tcBorders>
          </w:tcPr>
          <w:p>
            <w:pPr>
              <w:spacing w:after="0"/>
              <w:rPr>
                <w:sz w:val="6"/>
                <w:szCs w:val="6"/>
                <w:color w:val="auto"/>
              </w:rPr>
            </w:pPr>
          </w:p>
        </w:tc>
        <w:tc>
          <w:tcPr>
            <w:tcW w:w="9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4160" w:type="dxa"/>
            <w:vAlign w:val="bottom"/>
            <w:gridSpan w:val="2"/>
            <w:shd w:val="clear" w:color="auto" w:fill="CCEEFF"/>
          </w:tcPr>
          <w:p>
            <w:pPr>
              <w:ind w:left="60"/>
              <w:spacing w:after="0" w:line="122" w:lineRule="exact"/>
              <w:rPr>
                <w:sz w:val="20"/>
                <w:szCs w:val="20"/>
                <w:color w:val="auto"/>
              </w:rPr>
            </w:pPr>
            <w:r>
              <w:rPr>
                <w:rFonts w:ascii="Times New Roman" w:cs="Times New Roman" w:eastAsia="Times New Roman" w:hAnsi="Times New Roman"/>
                <w:sz w:val="12"/>
                <w:szCs w:val="12"/>
                <w:color w:val="auto"/>
              </w:rPr>
              <w:t>UBS Credit Facility</w:t>
            </w:r>
          </w:p>
        </w:tc>
        <w:tc>
          <w:tcPr>
            <w:tcW w:w="980" w:type="dxa"/>
            <w:vAlign w:val="bottom"/>
            <w:shd w:val="clear" w:color="auto" w:fill="CCEEFF"/>
          </w:tcPr>
          <w:p>
            <w:pPr>
              <w:jc w:val="right"/>
              <w:spacing w:after="0" w:line="122" w:lineRule="exact"/>
              <w:rPr>
                <w:sz w:val="20"/>
                <w:szCs w:val="20"/>
                <w:color w:val="auto"/>
              </w:rPr>
            </w:pPr>
            <w:r>
              <w:rPr>
                <w:rFonts w:ascii="Times New Roman" w:cs="Times New Roman" w:eastAsia="Times New Roman" w:hAnsi="Times New Roman"/>
                <w:sz w:val="12"/>
                <w:szCs w:val="12"/>
                <w:color w:val="auto"/>
              </w:rPr>
              <w:t>71.0</w:t>
            </w:r>
          </w:p>
        </w:tc>
        <w:tc>
          <w:tcPr>
            <w:tcW w:w="1440" w:type="dxa"/>
            <w:vAlign w:val="bottom"/>
            <w:shd w:val="clear" w:color="auto" w:fill="CCEEFF"/>
          </w:tcPr>
          <w:p>
            <w:pPr>
              <w:ind w:left="220"/>
              <w:spacing w:after="0" w:line="122" w:lineRule="exact"/>
              <w:rPr>
                <w:sz w:val="20"/>
                <w:szCs w:val="20"/>
                <w:color w:val="auto"/>
              </w:rPr>
            </w:pPr>
            <w:r>
              <w:rPr>
                <w:rFonts w:ascii="Times New Roman" w:cs="Times New Roman" w:eastAsia="Times New Roman" w:hAnsi="Times New Roman"/>
                <w:sz w:val="12"/>
                <w:szCs w:val="12"/>
                <w:color w:val="auto"/>
              </w:rPr>
              <w:t>Dolphin II, Athena,</w:t>
            </w:r>
          </w:p>
        </w:tc>
        <w:tc>
          <w:tcPr>
            <w:tcW w:w="180" w:type="dxa"/>
            <w:vAlign w:val="bottom"/>
            <w:shd w:val="clear" w:color="auto" w:fill="CCEEFF"/>
          </w:tcPr>
          <w:p>
            <w:pPr>
              <w:spacing w:after="0"/>
              <w:rPr>
                <w:sz w:val="10"/>
                <w:szCs w:val="10"/>
                <w:color w:val="auto"/>
              </w:rPr>
            </w:pPr>
          </w:p>
        </w:tc>
        <w:tc>
          <w:tcPr>
            <w:tcW w:w="346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rPr>
              <w:t>SOFR plus a margin of 2.15% per annum</w:t>
            </w: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April 2028</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Orca I, GSL Mamitsa,</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GSL Elizabeth,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Lalo, GSL Susan,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Rossi, GSL Alice,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Melina,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Eleftheria,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Mercer, GSL Chloe,</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GSL Maren,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Sofia, GSL Effie,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Alexandra, GSL Lydia</w:t>
            </w:r>
          </w:p>
        </w:tc>
        <w:tc>
          <w:tcPr>
            <w:tcW w:w="3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2027 Secured Notes</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179.4</w:t>
            </w:r>
          </w:p>
        </w:tc>
        <w:tc>
          <w:tcPr>
            <w:tcW w:w="162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MSC Tianjin, MSC</w:t>
            </w:r>
          </w:p>
        </w:tc>
        <w:tc>
          <w:tcPr>
            <w:tcW w:w="362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w w:val="99"/>
              </w:rPr>
              <w:t>Interpolated interest rate of 2.84% plus a margin of 2.85% per annum</w:t>
            </w: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July 2027</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Qingdao, Kumasi, Ian</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H, GSL Ningbo, GSL</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Nicoletta, Manet, Julie,</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GSL Christen, GSL</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Chateau d’if, CMA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CGM Thalassa, CMA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CGM Sambhar, CMA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CGM Jamaica, CMA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CGM Berlioz, CMA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CGM America, CMA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CGM Alcazar</w:t>
            </w: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CMBFL Sale and Leaseback Agreements</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37.5</w:t>
            </w:r>
          </w:p>
        </w:tc>
        <w:tc>
          <w:tcPr>
            <w:tcW w:w="1620" w:type="dxa"/>
            <w:vAlign w:val="bottom"/>
            <w:gridSpan w:val="2"/>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GSL Tripoli, GSL</w:t>
            </w:r>
          </w:p>
        </w:tc>
        <w:tc>
          <w:tcPr>
            <w:tcW w:w="3620" w:type="dxa"/>
            <w:vAlign w:val="bottom"/>
            <w:gridSpan w:val="2"/>
            <w:shd w:val="clear" w:color="auto" w:fill="CCEEFF"/>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rPr>
              <w:t>SOFR plus a margin of 2.75% per annum</w:t>
            </w:r>
          </w:p>
        </w:tc>
        <w:tc>
          <w:tcPr>
            <w:tcW w:w="9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September 2027</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Syros, GSL Tinos, GSL</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Kithira</w:t>
            </w:r>
          </w:p>
        </w:tc>
        <w:tc>
          <w:tcPr>
            <w:tcW w:w="3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auto"/>
              </w:rPr>
              <w:t>2024 Senior Secured Term Loan Facility</w:t>
            </w:r>
          </w:p>
        </w:tc>
        <w:tc>
          <w:tcPr>
            <w:tcW w:w="9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240.0</w:t>
            </w:r>
          </w:p>
        </w:tc>
        <w:tc>
          <w:tcPr>
            <w:tcW w:w="1620" w:type="dxa"/>
            <w:vAlign w:val="bottom"/>
            <w:gridSpan w:val="2"/>
          </w:tcPr>
          <w:p>
            <w:pPr>
              <w:ind w:left="220"/>
              <w:spacing w:after="0" w:line="133" w:lineRule="exact"/>
              <w:rPr>
                <w:sz w:val="20"/>
                <w:szCs w:val="20"/>
                <w:color w:val="auto"/>
              </w:rPr>
            </w:pPr>
            <w:r>
              <w:rPr>
                <w:rFonts w:ascii="Times New Roman" w:cs="Times New Roman" w:eastAsia="Times New Roman" w:hAnsi="Times New Roman"/>
                <w:sz w:val="12"/>
                <w:szCs w:val="12"/>
                <w:color w:val="auto"/>
              </w:rPr>
              <w:t>Costa Rica Express,</w:t>
            </w:r>
          </w:p>
        </w:tc>
        <w:tc>
          <w:tcPr>
            <w:tcW w:w="3620" w:type="dxa"/>
            <w:vAlign w:val="bottom"/>
            <w:gridSpan w:val="2"/>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rPr>
              <w:t>SOFR plus a margin of 1.85% per annum</w:t>
            </w:r>
          </w:p>
        </w:tc>
        <w:tc>
          <w:tcPr>
            <w:tcW w:w="92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color w:val="auto"/>
              </w:rPr>
              <w:t>August 2030</w:t>
            </w: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Panama Express, Agios</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Dimitrios, Nicaragua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Mexico</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Jamaica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Colombia</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Express, ZIM Xiamen,</w:t>
            </w: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ZIM Norfolk, Anthea Y</w:t>
            </w:r>
          </w:p>
        </w:tc>
        <w:tc>
          <w:tcPr>
            <w:tcW w:w="3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6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Minsheng Sale and Leaseback Agreements</w:t>
            </w:r>
          </w:p>
        </w:tc>
        <w:tc>
          <w:tcPr>
            <w:tcW w:w="9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166.8</w:t>
            </w:r>
          </w:p>
        </w:tc>
        <w:tc>
          <w:tcPr>
            <w:tcW w:w="1620" w:type="dxa"/>
            <w:vAlign w:val="bottom"/>
            <w:gridSpan w:val="2"/>
            <w:shd w:val="clear" w:color="auto" w:fill="CCEEFF"/>
          </w:tcPr>
          <w:p>
            <w:pPr>
              <w:ind w:left="220"/>
              <w:spacing w:after="0" w:line="133" w:lineRule="exact"/>
              <w:rPr>
                <w:sz w:val="20"/>
                <w:szCs w:val="20"/>
                <w:color w:val="auto"/>
              </w:rPr>
            </w:pPr>
            <w:r>
              <w:rPr>
                <w:rFonts w:ascii="Times New Roman" w:cs="Times New Roman" w:eastAsia="Times New Roman" w:hAnsi="Times New Roman"/>
                <w:sz w:val="12"/>
                <w:szCs w:val="12"/>
                <w:color w:val="auto"/>
              </w:rPr>
              <w:t>Bremerhaven Express,</w:t>
            </w:r>
          </w:p>
        </w:tc>
        <w:tc>
          <w:tcPr>
            <w:tcW w:w="3620" w:type="dxa"/>
            <w:vAlign w:val="bottom"/>
            <w:gridSpan w:val="2"/>
            <w:shd w:val="clear" w:color="auto" w:fill="CCEEFF"/>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rPr>
              <w:t>SOFR plus a margin of 2.50% per annum</w:t>
            </w:r>
          </w:p>
        </w:tc>
        <w:tc>
          <w:tcPr>
            <w:tcW w:w="92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January 2035</w:t>
            </w:r>
          </w:p>
        </w:tc>
        <w:tc>
          <w:tcPr>
            <w:tcW w:w="0" w:type="dxa"/>
            <w:vAlign w:val="bottom"/>
          </w:tcPr>
          <w:p>
            <w:pPr>
              <w:spacing w:after="0"/>
              <w:rPr>
                <w:sz w:val="1"/>
                <w:szCs w:val="1"/>
                <w:color w:val="auto"/>
              </w:rPr>
            </w:pPr>
          </w:p>
        </w:tc>
      </w:tr>
      <w:tr>
        <w:trPr>
          <w:trHeight w:val="144"/>
        </w:trPr>
        <w:tc>
          <w:tcPr>
            <w:tcW w:w="84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Sydney Express,</w:t>
            </w:r>
          </w:p>
        </w:tc>
        <w:tc>
          <w:tcPr>
            <w:tcW w:w="3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16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Istanbul Express, Czech</w:t>
            </w:r>
          </w:p>
        </w:tc>
        <w:tc>
          <w:tcPr>
            <w:tcW w:w="34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8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694.7</w:t>
            </w:r>
          </w:p>
        </w:tc>
        <w:tc>
          <w:tcPr>
            <w:tcW w:w="1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 and Senior Secured Notes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$85.0 Million UBS Credit Facility</w:t>
      </w:r>
    </w:p>
    <w:p>
      <w:pPr>
        <w:spacing w:after="0" w:line="13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March 26, 2025, we, through certain of our vessel-owning subsidiaries, entered into a $85.0 million credit facility with UBS AG (“the UBS Credit Facility”) to prepay in full certain of our outstanding debt facilities. The total amount was drawn on April 2, 2025, and the credit facility has a maturity in the second quarter of 2028.</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UBS Credit Facility is repayable in 12 equal consecutive quarterly instalments of $7.0 million, together with a final balloon payment of $1.0 million payable together with the last repayment instalment.</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bears interest at SOFR plus a margin of 2.15% per annum payable quarterly in arrears.</w:t>
      </w:r>
    </w:p>
    <w:p>
      <w:pPr>
        <w:spacing w:after="0" w:line="13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used the net proceeds from the UBS Credit Facility to prepay in full, the following existing debt facilities (i) Macquarie Credit Facility (fully prepaid on April 3, 2025 the amount of $17.5 million), (ii) E.SUN Credit Facility, and (iii) HCOB-CACIB Credit Facility (fully prepaid on April 3, 2025 the amount of $46.8 million). On March 28, 2025, we fully prepaid with cash on hand, the amount $5.9 million of the E.SUN Credit Facility, as no drawdown of the UBS Credit Facility had taken place during the first quarter of 2025.</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the full amount under the UBS Credit Facility had been drawn and the outstanding balance was $71.0 million.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$300.0 Million Senior Secured Term Loan Facility CACIB, ABN, Bank of America, First Citizens Bank, CTBC</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On August 7, 2024, we, through certain of our vessel-owning subsidiaries, entered into a $300.0 million senior secured term loan facility (the “2024 Senior Secured Term Loan Facility”). As of December 31, 2024, the banks in this facility were: Credit Agricole Corporate and Investment Bank (“CACIB”), ABN AMRO Bank N.V. (“ABN”), Bank of America N.A., First Citizens Bank &amp; Trust Company, and CTBC Bank Co. Ltd. (“CTBC”) to refinance, or prepay, in full or in part, certain of our outstanding debt facilities.</w:t>
      </w:r>
    </w:p>
    <w:p>
      <w:pPr>
        <w:spacing w:after="0" w:line="12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three tranches were drawn down in the third quarter of 2024 and the term loan facility has a maturity in the third quarter of 2030.</w:t>
      </w:r>
    </w:p>
    <w:p>
      <w:pPr>
        <w:spacing w:after="0" w:line="141"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2024 Senior Secured Term Loan Facility is repayable in 12 equal consecutive quarterly instalments of $12.0 million, four equal consecutive quarterly instalments of $10.0 million, four equal consecutive quarterly instalments of $8.0 million and four equal consecutive quarterly instalments of $6.0 million together with a final balloon payment of $60.0 million on the term loan facility termination date.</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facility’s interest rate is SOFR plus a margin of 1.85% per annum payable quarterly in arrears.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used the net proceeds from the 2024 Senior Secured Term Loan Facility to refinance or prepay, in full or in part, certain of the Company’s then-outstanding indebtedness.</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the aggregate principal amount outstanding under the 2024 Senior Secured Term Loan Facility was $240.0 million.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5.69% Senior Secured Notes due 2027</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June 16, 2022, Knausen Holding LLC (the “Issuer”), an indirect wholly-owned subsidiary of ours, closed on the private placement of $350.0 million of publicly rated/investment grade 5.69% Senior Secured Notes due 2027 (the “2027 Secured Notes”) to a limited number of accredited investors. The fixed interest rate was determined on June 1, 2022, based on the interpolated interest rate of 2.84% plus a margin of 2.85% per annum.</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used the net proceeds from the private placement for the repayment of certain of our then-outstanding indebtedness and for general corporate purposes.</w:t>
      </w:r>
    </w:p>
    <w:p>
      <w:pPr>
        <w:spacing w:after="0" w:line="13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0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2027 Secured Notes are senior obligations of the Issuer, were initially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us.</w:t>
      </w:r>
    </w:p>
    <w:p>
      <w:pPr>
        <w:spacing w:after="0" w:line="92"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During the first quarter of 2025, Tasman, Keta, and Akiteta were sold. All three vessels were released as collateral under our $350.0 million 5.69% Senior Secured Notes due 2027. Further Dimitris Y was contracted to be sold in May 2025, was released as collateral on July 28, 2025, and delivered to the new owners on October 13, 2025.</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the aggregate principal amount outstanding under the 2027 Secured Notes was $179.4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Facilities repaid in 2025</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Macquarie Credit Facility</w:t>
      </w:r>
    </w:p>
    <w:p>
      <w:pPr>
        <w:spacing w:after="0" w:line="14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May 18, 2023, we, through certain of our vessel-owning subsidiaries, entered into a $76.0 million credit facility with Macquarie Bank Limited (the “Macquarie Credit Facility”) to finance part of the acquisition cost of four containerships, each with a carrying capacity of 8,544 TEU, for an aggregate purchase price of $123.3 million. The vessels were delivered during the second quarter of 2023.</w:t>
      </w:r>
    </w:p>
    <w:p>
      <w:pPr>
        <w:spacing w:after="0" w:line="111"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All four tranches were drawdown in the second quarter of 2023 and the credit facility had maturity in May 2026. The facility was repayable in two equal consecutive quarterly instalments of $5.0 million, six equal consecutive quarterly instalments of $6.0 million, and one quarterly instalments of $3.0 million and two equal consecutive quarterly instalments of $1.0 million with a final balloon payment of $25.0 million payable three years after the first utilization date. This facility’s interest rate was SOFR plus a margin of 3.50% per annum payable quarterly in arrears.</w:t>
      </w:r>
    </w:p>
    <w:p>
      <w:pPr>
        <w:spacing w:after="0" w:line="11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On September 10, 2024, we used a portion of the net proceeds from the 2024 Senior Secured Term Loan Facility entered on August 7, 2024, to partially prepay the amount of $18.5 million under this facility (prepayment was deducted from the final balloon payment).</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April of 2025, we fully repaid the outstanding balance of the Macquarie Credit Facility amounting to $17.5 million. As of December 31, 2025, the outstanding balance of this facility was $nil.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$60.0 Million E.SUN, Cathay, MICB, Taishin Credit Facility</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December 30, 2021, we, through certain of our vessel-owning subsidiaries, entered into a syndicated senior secured debt facility with E.SUN Commercial Bank Ltd, Cathay United Bank, MICB and Taishin International Bank (“Taishin”) (the “E.SUN Credit Facility”). We used a portion of the net proceeds from this credit facility to fully prepay certain of the Company’s then-outstanding indebtedness. All three tranches were drawn down in January 2022.</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facility was repayable in eight equal consecutive quarterly instalments of $4.5 million and ten equal consecutive quarterly instalments of $2.4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facility’s interest was SOFR plus a margin of 2.75% per annum plus a credit adjustment spread (“CAS”) payable quarterly in arrears.</w:t>
      </w:r>
    </w:p>
    <w:p>
      <w:pPr>
        <w:spacing w:after="0" w:line="114"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On September 11, 2024, we used a portion of the net proceeds from the 2024 Senior Secured Term Loan Facility entered on August 7, 2024 to partially prepay the amount of $8.5 million under this facility. Following the prepayment, the outstanding balance of the facility was repayable in four equal consecutive quarterly instalments of $2.4 million and one quarterly instalment of $1.1 million and the new maturity would have been in October 2025 from July 2026.</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March 28, 2025, we fully prepaid the amount of $5.9 million under this facility with our own cash, as no drawdown of the UBS Credit Facility had taken place during the first quarter of 2025.</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$140.0 Million HCOB, CACIB, E.SUN, CTBC, Taishin Credit Facility</w:t>
      </w:r>
    </w:p>
    <w:p>
      <w:pPr>
        <w:spacing w:after="0" w:line="127"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On July 6, 2021, we, through certain of our vessel-owning subsidiaries, entered into a facility with HCOB, CACIB, E.SUN, CTBC and Taishin (the “HCOB-CACIB Credit Facility”) for a total of $140.0 million to finance the acquisition of 12 containerships from Borealis Finance LLC. The full amount was drawdown in July 2021 and the credit facility had a maturity in July 2026.</w:t>
      </w:r>
    </w:p>
    <w:p>
      <w:pPr>
        <w:spacing w:after="0" w:line="120"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facility was repayable in six equal consecutive quarterly instalments of $8.0 million, eight equal consecutive quarterly instalments of $5.4 million and six equal consecutive quarterly instalments of $2.2 million with a final balloon payment of $35.6 million payable together with the final instalment. On March 23, 2023, due to the sale of the GSL Amstel, we repaid $2.8 million on this facility, of which $1.0 million was deducted from the final balloon payment, and the vessel was released as collateral.</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This facility’s interest rate was SOFR plus a margin of 3.25% per annum plus a CAS payable quarterly in arrears.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used the net proceeds from the UBS Credit Facility to prepay in full, the following existing debt facilities (i) Macquarie Credit Facility, (ii) E.SUN Credit Facility, and (iii) HCOB-CACIB Credit Facility.</w:t>
      </w:r>
    </w:p>
    <w:p>
      <w:pPr>
        <w:spacing w:after="0" w:line="14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During April of 2025, we fully repaid the outstanding balance of the HCOB-CACIB Credit Facility amounting to $46.8 million. As of December 31, 2025, the outstanding balance of this facility was $nil.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$178.0 Million Sale and Leaseback Agreements – Minsheng Financial Leasing</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On December 23, 2024, we, through certain of our vessel-owning subsidiaries, entered into two sale and leaseback agreements with Minsheng Financial Leasing (“Minsheng Sale and Leaseback Agreements”) for $44.5 million, each, to finance the acquisition of two of the newly acquired high-reefer ECO 9,019 TEU vessels, Bremerhaven Express, having closed in December 2024 and the other, Czech, in January 2025. As of December 31, 2024, we had drawdown a total of $44.5 million to finance the acquisition of Bremerhaven Express. During the first quarter of 2025, we entered into two additional sale and leaseback agreements, $44.5 million each, to finance the acquisition of the two high-reefer ECO 9,019 TEU Vessels which were delivered in December 2024, Istanbul Express and Sydney Express, both at that moment fully paid in cash. As at March 31, 2025, we had drawdown a total of $178.0 million. We have a purchase obligation to acquire the vessels at the end of their lease term and under ASC 842-40, the transaction has been accounted for as a failed sale. In accordance with ASC 842-40, we did not derecognize the respective vessels from our balance sheet and accounted for the amounts received under the sale and leaseback agreements as financial liability.</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agreements are repayable in 40 equal consecutive quarterly instalments of $0.86 million with a repurchase obligation of $10.0 million on the final repayment date.</w:t>
      </w:r>
    </w:p>
    <w:p>
      <w:pPr>
        <w:spacing w:after="0" w:line="13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The sale and leaseback agreement for Bremerhaven Express matures in December 2034, Istanbul Express, Sydney Express and Czech mature in January 2035, and bear interest at SOFR plus a margin of 2.5% per annum payable quarterly in arrears.</w:t>
      </w:r>
    </w:p>
    <w:p>
      <w:pPr>
        <w:spacing w:after="0" w:line="1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the outstanding balance of these sale and leaseback agreements was $166.8 million.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$120.0 million Sale and Leaseback Agreements-CMBFL Four Vessels</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August 26, 2021, we, through certain of our vessel-owning subsidiaries, entered into four $30.0 million sale and leaseback agreements with CMBFL to finance the acquisition of the Four Vessels (the “CMBFL Sale and Leaseback Agreements”). As at September 30, 2021, we had drawdown a total of $90.0 million. The drawdown for the fourth vessel, amounting to $30.0 million, took place on October 13, 2021 together with the delivery of this vessel. We have a purchase obligation to acquire the Four Vessels at the end of their lease terms and under ASC 842-40, the transaction has been accounted for as a failed sale. In accordance with ASC 842-40, we did not derecognize the respective vessels from our balance sheet and accounted for the amounts received under the sale and leaseback agreements as financial liabilities.</w:t>
      </w:r>
    </w:p>
    <w:p>
      <w:pPr>
        <w:spacing w:after="0" w:line="10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Each sale and leaseback agreement is repayable in 12 equal consecutive quarterly instalments of $1.6 million and 12 equal consecutive quarterly instalments of $0.3 million with a repurchase obligation of $7.0 million on the final repayment date.</w:t>
      </w:r>
    </w:p>
    <w:p>
      <w:pPr>
        <w:spacing w:after="0" w:line="8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sale and leaseback agreements for the three vessels mature in September 2027 and for the fourth vessel in October 2027 and bears interest at SOFR plus a margin of 3.25% per annum plus a CAS payable quarterly in arrears.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From November 20, 2024, as per supplemental agreement, the sale and leaseback agreements bear interest at SOFR plus a margin of 2.75% per annum.</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the outstanding balance of these sale and leaseback agreements was $37.5 million.</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Covenants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Financial Covenants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agreements governing our indebtedness contain certain financial covenants, which require us to maintain, among other things:</w:t>
      </w:r>
    </w:p>
    <w:p>
      <w:pPr>
        <w:spacing w:after="0" w:line="132" w:lineRule="exact"/>
        <w:rPr>
          <w:sz w:val="20"/>
          <w:szCs w:val="20"/>
          <w:color w:val="auto"/>
        </w:rPr>
      </w:pPr>
    </w:p>
    <w:p>
      <w:pPr>
        <w:ind w:left="540" w:hanging="188"/>
        <w:spacing w:after="0"/>
        <w:tabs>
          <w:tab w:leader="none" w:pos="5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liquidity at the borrower (vessel-owner or finance lessor) level and minimum consolidated liquidity of at least $20.0 million at the group level; and</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minimum market value of collateral for each debt obligation, such that the aggregate market value of the vessels collateralizing the particular debt obligation is between 125% and 135%, depending on the particular debt obligation, of the aggregate principal amount outstanding under such debt obligation, or, if we do not meet such threshold, to provide additional security to eliminate the shortfall.</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Restrictive Covenants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agreements governing our indebtedness also contain undertakings limiting or restricting us from, among other things:</w:t>
      </w:r>
    </w:p>
    <w:p>
      <w:pPr>
        <w:spacing w:after="0" w:line="141" w:lineRule="exact"/>
        <w:rPr>
          <w:sz w:val="20"/>
          <w:szCs w:val="20"/>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incurring additional indebtedness;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any substantial change to the nature of our business;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dividends;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redeeming or repurchasing capital stock;</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selling the collateral vessel, if applicable;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entering into certain transactions other than arm’s length transactions;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a company, shares or securities or a business or undertaking;</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a change of control of us, entering into any amalgamation, demerger, merger, consolidation or corporate reconstruction, or selling all or substantially all of our assets;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changing the flag, class or technical or commercial management of the applicable collateral vessel, or terminating or materially amending the management agreements relating to such vessel;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experiencing any change in the position and ownership of our Executive Chairman.</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Security</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secured credit facilities and 2027 Secured Notes are generally secured by, among other things:</w:t>
      </w:r>
    </w:p>
    <w:p>
      <w:pPr>
        <w:spacing w:after="0" w:line="132" w:lineRule="exact"/>
        <w:rPr>
          <w:sz w:val="20"/>
          <w:szCs w:val="20"/>
          <w:color w:val="auto"/>
        </w:rPr>
      </w:pPr>
    </w:p>
    <w:p>
      <w:pPr>
        <w:ind w:left="540" w:hanging="188"/>
        <w:spacing w:after="0"/>
        <w:tabs>
          <w:tab w:leader="none" w:pos="5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first priority mortgage over the relevant collateralized vessels;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first priority assignment of earnings and insurances from the mortgaged vessels;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pledge of the earnings account of the mortgaged vessel;</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pledge of the equity interest of each of the vessel-owning subsidiaries;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guarantees.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Leverage</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As of December 31, 2025, we had $694.7 million of debt outstanding of which $179.4 million was for our 2027 Secured Notes which carry interest at the fixed rate 5.69% and $515.3 million was floating rate debt across a number of facilities and sale and leaseback arrangements and bearing interest at SOFR based on interest rate cap agreements mentioned below plus an average margin of approximately 2.37% per annum. In December 2021, we entered into a USD one-month LIBOR interest rate cap of 0.75% through fourth quarter of 2026, on $484.1 million of our floating rate debt, which reduces over time and represented approximately half of our outstanding floating rate debt as of that date. In February 2022, we entered into USD one-month LIBOR interest rate caps of 0.75% through fourth quarter of 2026, on $507.9 million of our floating rate debt, which reduces over time and represented approximately half of our outstanding floating rate debt as of that date. As a result of the discontinuation of LIBOR, on July 1, 2023, our interest rate caps automatically transitioned to one-month Compounded SOFR at a net level of 0.64%. As of December 31, 2025, our interest rate caps cover 75% of our outstanding floating rate debt.</w:t>
      </w:r>
    </w:p>
    <w:p>
      <w:pPr>
        <w:spacing w:after="0" w:line="127"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believe that funds generated by the business and retained will be sufficient to meet our operating needs for the next 12 months following the issuance of this Annual Report, including working capital requirements, drydocking costs, interest, and debt repayment obligations.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As market conditions warrant, we may from time to time, depending upon market conditions and the provisions on our facilities/notes, seek to repay loans or repurchase debt securities, in privately-negotiated or open market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Working capital and dividends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net cash flows from operating activities depend on the number of vessels under charter, days on-hire, vessel charter rates, operating expenses, drydock and vessel upgrade costs, interest, and other financing costs including amortization and general and administrative expenses. Pursuant to our ship management agreements, we have agreed to pay our ship managers an annual management fee per vessel and to reimburse them for operating costs they incur on our behalf. Charter hire is payable by our charterers 15 days or monthly in advance and estimated ship management costs are payable monthly in advance. Although we can provide no assurances (see “Item 3. Key Information—D. Risk Factors—Risks Relating to our Business—</w:t>
      </w:r>
      <w:r>
        <w:rPr>
          <w:rFonts w:ascii="Times New Roman" w:cs="Times New Roman" w:eastAsia="Times New Roman" w:hAnsi="Times New Roman"/>
          <w:sz w:val="12"/>
          <w:szCs w:val="12"/>
          <w:color w:val="212529"/>
        </w:rPr>
        <w:t>We are dependent on our charterers and other counterparties fulfilling their obligations under agreements with us, and their inability or unwillingness to honor these obligations could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212529"/>
        </w:rPr>
        <w:t>significantly reduce our revenues and cash flow.</w:t>
      </w:r>
      <w:r>
        <w:rPr>
          <w:rFonts w:ascii="Times New Roman" w:cs="Times New Roman" w:eastAsia="Times New Roman" w:hAnsi="Times New Roman"/>
          <w:sz w:val="12"/>
          <w:szCs w:val="12"/>
          <w:color w:val="000000"/>
        </w:rPr>
        <w:t>”), we expect that our cash flow from our chartering arrangements will be sufficient to cover our ship management costs and fees, interest payments under our borrowings, amortization,</w:t>
      </w:r>
      <w:r>
        <w:rPr>
          <w:rFonts w:ascii="Times New Roman" w:cs="Times New Roman" w:eastAsia="Times New Roman" w:hAnsi="Times New Roman"/>
          <w:sz w:val="12"/>
          <w:szCs w:val="12"/>
          <w:color w:val="212529"/>
        </w:rPr>
        <w:t xml:space="preserve"> </w:t>
      </w:r>
      <w:r>
        <w:rPr>
          <w:rFonts w:ascii="Times New Roman" w:cs="Times New Roman" w:eastAsia="Times New Roman" w:hAnsi="Times New Roman"/>
          <w:sz w:val="12"/>
          <w:szCs w:val="12"/>
          <w:color w:val="000000"/>
        </w:rPr>
        <w:t>insurance premiums, vessel taxes, general and administrative expenses, dividends on our Series B Preferred Shares, and other costs and any other working capital requirements for the short- and medium-term and planned drydocking expenses.</w:t>
      </w:r>
    </w:p>
    <w:p>
      <w:pPr>
        <w:spacing w:after="0" w:line="107" w:lineRule="exact"/>
        <w:rPr>
          <w:sz w:val="20"/>
          <w:szCs w:val="20"/>
          <w:color w:val="auto"/>
        </w:rPr>
      </w:pPr>
    </w:p>
    <w:p>
      <w:pPr>
        <w:jc w:val="both"/>
        <w:ind w:firstLine="240"/>
        <w:spacing w:after="0" w:line="292" w:lineRule="auto"/>
        <w:rPr>
          <w:sz w:val="20"/>
          <w:szCs w:val="20"/>
          <w:color w:val="auto"/>
        </w:rPr>
      </w:pPr>
      <w:r>
        <w:rPr>
          <w:rFonts w:ascii="Times New Roman" w:cs="Times New Roman" w:eastAsia="Times New Roman" w:hAnsi="Times New Roman"/>
          <w:sz w:val="11"/>
          <w:szCs w:val="11"/>
          <w:color w:val="auto"/>
        </w:rPr>
        <w:t>We estimate that the average cost of each of the 25 drydockings completed on vessels in the fleet between January 2024 and December 2025 was $3.4 million, with an average loss of revenue of $1.7 million from off-hire. We have included a schedule of the next anticipated drydocking date for each of our vessels in the section of this Annual Report entitled “Item 4. Information on the Company—B. Business Overview—Inspection by Classification Societies.”</w:t>
      </w:r>
    </w:p>
    <w:p>
      <w:pPr>
        <w:spacing w:after="0" w:line="79"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Our other liquidity requirements include a requirement to pay a minimum of $147.6 million of amortization in 2026 on our secured term loans and minimum amortization of $247.0 million in 2027. Interest requirements are $21.8 million and $13.7 million, respectively. The dividend on the $109.0 million Series B Preferred Shares outstanding as at December 31, 2025 amounts to $9.5 million each year. Based on the number of Class A common shares outstanding as of the date of this Annual Report, this dividend, which is subject to approval by the Board of Directors, would amount to $22.4 million per quarter, following the increase in dividend payable in December 2025. In addition to funds generated by the business, we may require new borrowings, issuances of equity or other securities, or a combination of the former and the latter to purchase additional vessels and will likely require such further funding to meet all of our repayment obligations under the 2027 Secured Notes and other borrowings.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Research and Development</w:t>
      </w:r>
    </w:p>
    <w:p>
      <w:pPr>
        <w:spacing w:after="0" w:line="1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Trend Information</w:t>
      </w:r>
    </w:p>
    <w:p>
      <w:pPr>
        <w:spacing w:after="0" w:line="145"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All of the information and data presented in this section, including the analysis of the container shipping industry, has been provided by MSI. MSI has advised that (i) some information in MSI’s database is derived from estimates derived from industry sources or subjective judgments, (ii) the information in the databases of other maritime data collection agencies may differ from the information in MSI’s database, (iii) while MSI has taken reasonable care in the compilation of the statistical and graphical information and believes it to be accurate and correct, data compilation is subject to limited audit and validation procedures and may accordingly contain errors, (iv) MSI, its agents, officers, and employees cannot accept liability for any loss suffered in consequence of reliance on such information or in any other manner, and (v) the provision of such information does not obviate any need to make appropriate further inquiries.</w:t>
      </w:r>
    </w:p>
    <w:p>
      <w:pPr>
        <w:spacing w:after="0" w:line="99" w:lineRule="exact"/>
        <w:rPr>
          <w:sz w:val="20"/>
          <w:szCs w:val="20"/>
          <w:color w:val="auto"/>
        </w:rPr>
      </w:pPr>
    </w:p>
    <w:p>
      <w:pPr>
        <w:jc w:val="both"/>
        <w:ind w:firstLine="240"/>
        <w:spacing w:after="0" w:line="236" w:lineRule="auto"/>
        <w:rPr>
          <w:sz w:val="20"/>
          <w:szCs w:val="20"/>
          <w:color w:val="auto"/>
        </w:rPr>
      </w:pPr>
      <w:r>
        <w:rPr>
          <w:rFonts w:ascii="Times New Roman" w:cs="Times New Roman" w:eastAsia="Times New Roman" w:hAnsi="Times New Roman"/>
          <w:sz w:val="12"/>
          <w:szCs w:val="12"/>
          <w:color w:val="auto"/>
        </w:rPr>
        <w:t>Container shipping is the most convenient low-carbon and cost-effective way to transport a wide range of cargoes, predominantly a diverse selection of consumer, manufactured, semi-manufactured, and perishable goods. It is estimated that around 90% of non-bulk cargoes traded by sea are carried by containership. Approximately 237 million TEU, equating to around 2.1 billion tonnes, of containerized cargo are estimated to have been carried in 2025. Global containerized cargo volumes have grown every year since the industry’s inception in 1956, with four exceptions: 2009, during the Global Financial Crisis; 2020, due to the initial impact of COVID-19; 2022, due to the geopolitical tensions and macro-economic headwinds caused in part by the continuing war between Russia and Ukraine; and 2023, due to the normalization of spending patterns post-pandemic. The negative growth of 1.9% in 2020 was followed by a strong rebound in 2021, with positive growth of 5.8%. Similarly, negative growth of 1.9% in 2022 and flat-to-marginally-negative growth in 2023 was followed by growth of 6.6% in 2024 and estimated growth of 5.0% in 2025. Containerized trade in 2026 may be negatively affected if increased barriers to trade, protectionism, and tariffs weigh on economic growth and consumer demand. Trade tensions, particularly those between the U.S. and China, and the ongoing imposition (or threat) of substantial tariffs by the U.S. on imports from other countries, which could lead to corresponding punitive actions by the countries with which the U.S. trades may also have a negative impact on containerized trade volumes. Continuing armed conflicts between Russia and Ukraine, ongoing and escalating armed conflicts in the Middle East, including the recent military conflict in Iran, and ongoing disputes between China and Taiwan, also present sources of geopolitical and economic risk that could come to impact containerized trade. Historically, however, shipping has tended to prosper from geo-political disruption, especially if such disruption adds complexity and inefficiency to the supply chain (requiring more ships and capacity to carry the same volumes of cargo) without undermining global economic growth.</w:t>
      </w:r>
    </w:p>
    <w:p>
      <w:pPr>
        <w:spacing w:after="0" w:line="1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the supply side: as at December 31, 2025, idle capacity of the global containership fleet was 0.8%, and the overall orderbook-to-fleet ratio stood at 34.5% compared to 0.6% and 27.6%, respectively, at the end of 2024.</w:t>
      </w:r>
    </w:p>
    <w:p>
      <w:pPr>
        <w:spacing w:after="0" w:line="114"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containerized supply chain extends throughout the world. Mainlane trades are those linking the major manufacturing economies in Asia with the major consumer economies in North America (the Transpacific trades) and Europe (the Asia-Europe trades), and those linking Europe with the Americas (the Transatlantic trades). These trades have tended to be served by the largest containerships on the water. In 2025, an estimated 25.4% of global containerized volumes were carried on Mainlane trades, while 74.6% moved on the non-Mainlane trades, with intra-regional trades—of which the largest is Intra-Asia—representing 41.3%. These non-Mainlane and intra-regional trades are predominantly served by mid-sized and smaller containerships (10,000 TEU, or smaller).</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Growth in containerized trade is linked to consumer-led demand for goods and thereby to regional economic growth. Historically, underlying growth was boosted by both the containerization of breakbulk goods, including refrigerated cargoes, and the relocation of manufacturing from developed economies, such as those in Europe and North America, to lower cost regions, most notably in Asia. Of these, the continued containerization of refrigerated (or ‘reefer’) cargoes is expected to continue to outpace overall container trade growth.</w:t>
      </w:r>
    </w:p>
    <w:p>
      <w:pPr>
        <w:spacing w:after="0" w:line="9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From 2000 through 2008, a period of super-cyclical growth largely catalyzed by China, the Compound Annual Growth Rate (“CAGR”) of global containerized trade was 9.9%. Having contracted by 8.0% in 2009, during the Global Financial Crisis, growth rebounded to 15.3% the following year. From 2010 through 2024, incorporating the impact of negative growth in 2020 due to the impact of the COVID-19 pandemic, the rebound in 2021, further negative growth in 2022 and 2023 resulting from geopolitical tensions driving inflationary macro-economic headwinds, and a rebound in 2024, CAGR was 3.0%; volumes are estimated to have grown in 2025 by approximately 5.0%. While economic growth is expected to remain the primary driver of containerized trade, geopolitical tensions and tariffs are emerging as potential disruptors of established trade patterns and supply chains, which may either undermine demand (if there is a negative impact on economic growth) or compound demand (if more ships are required to service greater supply chain complexity) for shipping capacity.</w:t>
      </w:r>
    </w:p>
    <w:p>
      <w:pPr>
        <w:spacing w:after="0" w:line="108"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Expansion in containerized trade has also led to expansion in the global containership fleet, of which the vast majority of vessels are fully cellular containerships which are ships specialized for the transport of containers and fitted with cell guides throughout the ship to optimize container stowage and significantly enhance the efficiency of load and discharge operations. At the same time, liner shipping companies have sought to reduce slot costs (unit costs) through economies of scale achievable with ever larger ships.</w:t>
      </w:r>
    </w:p>
    <w:p>
      <w:pPr>
        <w:spacing w:after="0" w:line="11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Between 1995 and 2008, CAGR of nominal carrying capacity of the industry-wide fully cellular container fleet was 11.4%. From 2009 through 2020, as the industry digested the legacy, pre-financial crisis orderbook, CAGR was 5.7%. CAGR from 2021 through 2025, is estimated at 7.4% and, as of December 31, 2025, the containership fleet was estimated to be 6,611 ships, with an aggregate capacity estimated at 33.0 million TEU.</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In December 2008, the orderbook was estimated to represent over 60% of existing global capacity. Since then, however, the industry has been adjusting to lower demand growth, capital constraints, and consolidation. By the end of 2025, the overall orderbook-to-fleet ratio stood at 34.5%, with scheduled deliveries spread from 2026 through 2030. For ships smaller than 10,000 TEU the orderbook-to-fleet ratio was 16.9%.</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Vessel newbuilding prices, secondhand values, and charter rates have tended to be closely correlated and are all strongly influenced by the dynamics of supply and demand, combined with sentiment. From 2000 through 2025, the average newbuilding price for a theoretical 3,500 – 3,600 TEU containership was around $45.2 million, with prices ranging between $31.5 million (2002) and $65.7 million (2008). During the same period, secondhand values for a 10-year-old ship of similar size averaged around $24.9 million and ranged between $5.0 million (2016) and $64.0 million (2022). Meanwhile, charter market rates for short term charters (under 12 months) for such tonnage averaged about $21,637 per day and ranged between $5,300 per day (2016) and $102,600 per day (2022). In January 2026, rates prevailing in the market were around $45,700 per day, with newbuilding prices at approximately $57.5 million and secondhand values for a 10-year-old ship at about $37.3 million.</w:t>
      </w:r>
    </w:p>
    <w:p>
      <w:pPr>
        <w:spacing w:after="0" w:line="9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Containerization is a low-carbon form of transportation, with GHG emissions per ton-mile of cargo carried significantly lower than that for other common modes of freight transport such as air, road, and rail. As a key component of global supply chains, container shipping is also a contributor to the UN’s Sustainable Development Goals—particularly those associated with poverty alleviation, economic growth, and infrastructure.</w:t>
      </w:r>
    </w:p>
    <w:p>
      <w:pPr>
        <w:spacing w:after="0" w:line="11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The industry’s principal regulator, the IMO, has set targets for the reduction of GHG emissions from shipping. The key agreed target is to reduce annual GHG emissions in absolute terms by at least 50% by 2050, compared to benchmark 2008 levels. Further targets have also been set on carbon intensity: specifically, a reduction in CO2 emissions “per transport work” by at least 40% by 2030, with efforts towards 70% by 2050. Emissions-reducing regulations introduced from January 1, 2023 include EEXI (Energy Efficiency Existing Ship Index), Enhanced SEEMP (Ship Energy Efficiency Management Plan), and CII (Carbon Intensity Indicator). Among other things, these measures are intended to reduce emissions by limiting the power output from vessels’ main engines, which may have the effect of reducing the operating speed of the global fleet, tightening effective supply. Other national and pan-national regulators are also implementing regulations, with notable examples being the inclusion of shipping within the EU ETS from January 1, 2024, and the introduction of FEUM from January 1, 2025, for vessels trading in waters within the jurisdiction of the European Union. Regulation focused upon decarbonization and broader emissions reduction is expected to continue to evolve and tighten over time. Implementation of the IMO’s proposed Net Zero Framework was put on hold in October 2025, for review in October 2026.</w:t>
      </w:r>
    </w:p>
    <w:p>
      <w:pPr>
        <w:spacing w:after="0" w:line="10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It is not yet clear which (net) zero emission fuels will become the standard fuels of the future, with potential candidates including, among others, ammonia, green methanol, hydrogen, and nuclear. Transition fuels are increasingly perceived to include Liquified Natural Gas (LNG), and bio-fuel blends. The current consensus view is that 2030 will be the earliest inflection point at which next-generation green fuels (with the considerable infrastructure required to support them) will become commercially available, allowing industry adoption to begin to accelerate. In the interim, it is expected that the industry will continue to rely predominantly on existing, conventionally-fueled containerships that are optimized for lower emissions and, in some instances, are equipped to use both conventional and alternate fuels (Dual-Fuel). Although not without its own challenges, Carbon Capture and Storage (CCS) is receiving increasing attention as a potentially powerful tool to mitigate emissions and to support the synthesis and circularity of net zero fuels such as Green Methanol.</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For conventionally-fueled containerships, there is considerable variation in vessel emissions per tonne of cargo carried, with the economies of scale yielded by larger vessels typically resulting in lower emissions per container carried. Other factors, such as vessel age and design, fuel saving and energy efficiency retrofits, sailing speed, time in port, weather routing, and other operational differences, can also have a significant impact on the relative fuel efficiency of different classes of containership. Logically, there is a strong correlation between ships with low fuel costs per TEU slot and ships with low emissions per slot. There is a significant increase in efficiency in the transition from small feeder containerships (sub-3,000 TEU) to intermediate-sized vessels (4,000 – 10,000 TEU).</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While even larger vessels offer further efficiencies relative to intermediate vessels, the incremental improvement curve tends to flatten as vessel sizes increase beyond approximately 12,000 TEU.</w:t>
      </w:r>
    </w:p>
    <w:p>
      <w:pPr>
        <w:spacing w:after="0" w:line="132"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While the emissions profile of a ship during its operating lifetime is comparatively well understood, insufficient work has been done on a full life-cycle basis: quantifying the material carbon footprints associated with building a new ship, and subsequently de-commissioning and re-cycling it at the end of its economic life.</w:t>
      </w:r>
    </w:p>
    <w:p>
      <w:pPr>
        <w:spacing w:after="0" w:line="120"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Geopolitical events can have a meaningful impact on shipping. In November 2023, Houthi militias based in Yemen began to attack ships transiting the Gulf of Aden and the Red Sea, impacting vessels due to transit the Suez Canal. As the situation escalated, shipping lines and ship owners began to divert ships around the southern tip of Africa, the Cape of Good Hope (“COGH”). Under normal circumstances, approximately 20% of global containerized trade volumes transit the Suez Canal, primarily on long-haul trades served by around 34% of global containerized fleet capacity. Illustratively, for a voyage between Singapore and Rotterdam, diverting around COGH increases the sailing distance by around 40%, and for a voyage between Singapore and Genova, a COGH diversion increases the sailing distance by over 75%. All else equal, on a full-year basis diverting all Suez-related containerized trade around COGH absorbs up to 10% of effective supply for the global containerized fleet. Over the course of 2024, the resulting reductions in effective supply of containerized capacity, in combination with a rebound in global containerized trade, reversed previous downward pressure on freight rates, charter market rates, and asset values. In 2025, a ceasefire agreement reached between Israel and Hamas, combined with declarations apparently made by Houthi militias, raised expectations that Red Sea transits would resume. While some container shipping lines have deployed ships through the Red Sea on a limited basis, the situation remains unstable and unpredictable and the majority of containership operators are currently expected to adopt a cautious approach to returning to Red Sea transits at scale. Risks and uncertainties were further compounded in March 2026 by escalating conflict focused on (but not constrained to) Iran and the Strait of Hormuz.</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3175</wp:posOffset>
            </wp:positionV>
            <wp:extent cx="7178040"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Critical Accounting Estimates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consolidated financial statements have been prepared in accordance with U.S. GAAP, which requires us to make estimates and judgments that affect the reported amounts of assets and liabilities, revenues and expenses and related disclosure at the date of our financial statements. Actual results may differ from these estimates under different assumptions and conditions. Critical accounting policies are those that reflect significant judgments of uncertainties and potentially result in materially different results under different assumptions and conditions. We describe below what we believe are our most critical accounting policies, because they generally involve a comparatively higher degree of judgment in their application.</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 further description of our material accounting policies, please see note 2 to the consolidated financial statements included at “Item 18. Financial Statements.”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Revenue Recognition</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revenue is generated from time charters for each vessel. The charters are regarded as operating leases and provide for a per vessel fixed daily charter rate. Revenue is recorded on a straight-line basis. Our charter revenues are fixed for the period of the current charters, subject to any off-hire, and, accordingly, little judgment is required to be applied to the amount of revenue recognition. Operating revenue is stated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w:t>
      </w:r>
    </w:p>
    <w:p>
      <w:pPr>
        <w:spacing w:after="0" w:line="10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a time charter contains one or more consecutive option periods, then subject to the options being exercisable solely by us,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adjusted for any prepaid or accrued balance from the original lease, generally on a straight-line basis over the new lease term (the remaining balance from the original lease, adjusted for the additional or terminated periods). During the years ended December 31, 2025, 2024, and 2023 amounts of $4.0 million loss, $8.8 million loss, and $4.0 million loss, respectively, were recorded in time charter-revenues for such modifications and revenues recognized on a straight-line basis. Any difference between the charter rate invoiced and the time charter revenue recognized is classified as, or released from, deferred revenue.</w:t>
      </w:r>
    </w:p>
    <w:p>
      <w:pPr>
        <w:spacing w:after="0" w:line="99"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We elected the practical expedient which allows us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Vessels in Operation</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14"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92"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Management estimates the residual values of our container vessels based on a scrap price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9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Intangible assets and liabilities-charter agreements</w:t>
      </w:r>
    </w:p>
    <w:p>
      <w:pPr>
        <w:spacing w:after="0" w:line="145"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Our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us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our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Impairment of Long-lived Assets</w:t>
      </w:r>
    </w:p>
    <w:p>
      <w:pPr>
        <w:spacing w:after="0" w:line="127"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Tangible fixed assets, such as vessels, that are held and used or to be disposed of by us are reviewed for impairment when events or changes in circumstances indicate that their carrying amounts may not be recoverable. In these circumstances, we perform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10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use a number of assumptions in projecting our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our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10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our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Sensitivity analysis as at December 31, 2025 suggests that a reduction of 10.0% in the charter rates assumed after expiry of the existing charter contracts under the current methodology would not trigger a theoretical impairment charge. A reduction of 5.0% in the assumed charter rates would not trigger a theoretical impairment charge.</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Although we currently intend to continue to hold and operate all of our vessels, the following table presents information with respect to the carrying value of our vessels, which are after the impairment charges noted above. The estimated market values, based on charter attached valuations as at December 31, 2025 with the assistance of an independent ship broking firm totaled $3.5 billion. The carrying value of each of the vessels does not necessarily represent its fair market value or the amount that could be obtained if the vessels were sold.</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amount, if any, and timing of any impairment charges we may recognize in the future will depend upon then current and expected future charter rates and vessel values, which may differ materially from those fair market values as at December 31, 2025. In addition, vessel values are highly volatile; as such, the estimated market values may not be indicative of the current or future market value of our vessels or prices that we could achieve if we were to sell them, with or without charters attached.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38"/>
        </w:trPr>
        <w:tc>
          <w:tcPr>
            <w:tcW w:w="2540" w:type="dxa"/>
            <w:vAlign w:val="bottom"/>
            <w:gridSpan w:val="2"/>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5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6660" w:type="dxa"/>
            <w:vAlign w:val="bottom"/>
            <w:gridSpan w:val="4"/>
          </w:tcPr>
          <w:p>
            <w:pPr>
              <w:ind w:left="240"/>
              <w:spacing w:after="0"/>
              <w:rPr>
                <w:sz w:val="20"/>
                <w:szCs w:val="20"/>
                <w:color w:val="auto"/>
              </w:rPr>
            </w:pPr>
            <w:r>
              <w:rPr>
                <w:rFonts w:ascii="Times New Roman" w:cs="Times New Roman" w:eastAsia="Times New Roman" w:hAnsi="Times New Roman"/>
                <w:sz w:val="12"/>
                <w:szCs w:val="12"/>
                <w:color w:val="auto"/>
              </w:rPr>
              <w:t>The table below sets out the carrying value of each of the vessel group we owned as of December 31, 2024 and 2025:</w:t>
            </w:r>
          </w:p>
        </w:tc>
        <w:tc>
          <w:tcPr>
            <w:tcW w:w="22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540" w:type="dxa"/>
            <w:vAlign w:val="bottom"/>
            <w:gridSpan w:val="2"/>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Vessel Name</w:t>
            </w:r>
          </w:p>
        </w:tc>
        <w:tc>
          <w:tcPr>
            <w:tcW w:w="2560" w:type="dxa"/>
            <w:vAlign w:val="bottom"/>
            <w:vMerge w:val="restart"/>
          </w:tcPr>
          <w:p>
            <w:pPr>
              <w:ind w:left="1240"/>
              <w:spacing w:after="0"/>
              <w:rPr>
                <w:sz w:val="20"/>
                <w:szCs w:val="20"/>
                <w:color w:val="auto"/>
              </w:rPr>
            </w:pPr>
            <w:r>
              <w:rPr>
                <w:rFonts w:ascii="Times New Roman" w:cs="Times New Roman" w:eastAsia="Times New Roman" w:hAnsi="Times New Roman"/>
                <w:sz w:val="12"/>
                <w:szCs w:val="12"/>
                <w:b w:val="1"/>
                <w:bCs w:val="1"/>
                <w:color w:val="auto"/>
              </w:rPr>
              <w:t>Capacity in TEUs</w:t>
            </w:r>
          </w:p>
        </w:tc>
        <w:tc>
          <w:tcPr>
            <w:tcW w:w="1560" w:type="dxa"/>
            <w:vAlign w:val="bottom"/>
            <w:vMerge w:val="restart"/>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Carrying Value as at December 31, 2024</w:t>
            </w:r>
            <w:r>
              <w:rPr>
                <w:rFonts w:ascii="Times New Roman" w:cs="Times New Roman" w:eastAsia="Times New Roman" w:hAnsi="Times New Roman"/>
                <w:sz w:val="19"/>
                <w:szCs w:val="19"/>
                <w:b w:val="1"/>
                <w:bCs w:val="1"/>
                <w:color w:val="auto"/>
                <w:w w:val="97"/>
                <w:vertAlign w:val="superscript"/>
              </w:rPr>
              <w:t>(1)</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xml:space="preserve">Carrying Value as at December 31, 2025 </w:t>
            </w:r>
            <w:r>
              <w:rPr>
                <w:rFonts w:ascii="Times New Roman" w:cs="Times New Roman" w:eastAsia="Times New Roman" w:hAnsi="Times New Roman"/>
                <w:sz w:val="19"/>
                <w:szCs w:val="19"/>
                <w:b w:val="1"/>
                <w:bCs w:val="1"/>
                <w:color w:val="auto"/>
                <w:w w:val="97"/>
                <w:vertAlign w:val="superscript"/>
              </w:rPr>
              <w:t>(1)</w:t>
            </w:r>
          </w:p>
        </w:tc>
        <w:tc>
          <w:tcPr>
            <w:tcW w:w="0" w:type="dxa"/>
            <w:vAlign w:val="bottom"/>
          </w:tcPr>
          <w:p>
            <w:pPr>
              <w:spacing w:after="0"/>
              <w:rPr>
                <w:sz w:val="1"/>
                <w:szCs w:val="1"/>
                <w:color w:val="auto"/>
              </w:rPr>
            </w:pPr>
          </w:p>
        </w:tc>
      </w:tr>
      <w:tr>
        <w:trPr>
          <w:trHeight w:val="69"/>
        </w:trPr>
        <w:tc>
          <w:tcPr>
            <w:tcW w:w="2540" w:type="dxa"/>
            <w:vAlign w:val="bottom"/>
            <w:gridSpan w:val="2"/>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(in millions of U.S. dollars)</w:t>
            </w:r>
          </w:p>
        </w:tc>
        <w:tc>
          <w:tcPr>
            <w:tcW w:w="236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(in millions of U.S. dollars)</w:t>
            </w:r>
          </w:p>
        </w:tc>
        <w:tc>
          <w:tcPr>
            <w:tcW w:w="0" w:type="dxa"/>
            <w:vAlign w:val="bottom"/>
          </w:tcPr>
          <w:p>
            <w:pPr>
              <w:spacing w:after="0"/>
              <w:rPr>
                <w:sz w:val="1"/>
                <w:szCs w:val="1"/>
                <w:color w:val="auto"/>
              </w:rPr>
            </w:pPr>
          </w:p>
        </w:tc>
      </w:tr>
      <w:tr>
        <w:trPr>
          <w:trHeight w:val="90"/>
        </w:trPr>
        <w:tc>
          <w:tcPr>
            <w:tcW w:w="840" w:type="dxa"/>
            <w:vAlign w:val="bottom"/>
            <w:tcBorders>
              <w:bottom w:val="single" w:sz="8" w:color="auto"/>
            </w:tcBorders>
          </w:tcPr>
          <w:p>
            <w:pPr>
              <w:spacing w:after="0"/>
              <w:rPr>
                <w:sz w:val="7"/>
                <w:szCs w:val="7"/>
                <w:color w:val="auto"/>
              </w:rPr>
            </w:pPr>
          </w:p>
        </w:tc>
        <w:tc>
          <w:tcPr>
            <w:tcW w:w="1700" w:type="dxa"/>
            <w:vAlign w:val="bottom"/>
            <w:tcBorders>
              <w:bottom w:val="single" w:sz="8" w:color="auto"/>
            </w:tcBorders>
          </w:tcPr>
          <w:p>
            <w:pPr>
              <w:spacing w:after="0"/>
              <w:rPr>
                <w:sz w:val="7"/>
                <w:szCs w:val="7"/>
                <w:color w:val="auto"/>
              </w:rPr>
            </w:pPr>
          </w:p>
        </w:tc>
        <w:tc>
          <w:tcPr>
            <w:tcW w:w="256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2280" w:type="dxa"/>
            <w:vAlign w:val="bottom"/>
            <w:tcBorders>
              <w:bottom w:val="single" w:sz="8" w:color="auto"/>
            </w:tcBorders>
            <w:vMerge w:val="continue"/>
          </w:tcPr>
          <w:p>
            <w:pPr>
              <w:spacing w:after="0"/>
              <w:rPr>
                <w:sz w:val="7"/>
                <w:szCs w:val="7"/>
                <w:color w:val="auto"/>
              </w:rPr>
            </w:pPr>
          </w:p>
        </w:tc>
        <w:tc>
          <w:tcPr>
            <w:tcW w:w="23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2540" w:type="dxa"/>
            <w:vAlign w:val="bottom"/>
            <w:gridSpan w:val="2"/>
            <w:shd w:val="clear" w:color="auto" w:fill="CCEEFF"/>
          </w:tcPr>
          <w:p>
            <w:pPr>
              <w:ind w:left="180"/>
              <w:spacing w:after="0" w:line="133" w:lineRule="exact"/>
              <w:rPr>
                <w:sz w:val="20"/>
                <w:szCs w:val="20"/>
                <w:color w:val="auto"/>
              </w:rPr>
            </w:pPr>
            <w:r>
              <w:rPr>
                <w:rFonts w:ascii="Times New Roman" w:cs="Times New Roman" w:eastAsia="Times New Roman" w:hAnsi="Times New Roman"/>
                <w:sz w:val="12"/>
                <w:szCs w:val="12"/>
                <w:color w:val="auto"/>
              </w:rPr>
              <w:t>CMA CGM Thalassa</w:t>
            </w:r>
          </w:p>
        </w:tc>
        <w:tc>
          <w:tcPr>
            <w:tcW w:w="2560" w:type="dxa"/>
            <w:vAlign w:val="bottom"/>
            <w:shd w:val="clear" w:color="auto" w:fill="CCEEFF"/>
          </w:tcPr>
          <w:p>
            <w:pPr>
              <w:jc w:val="center"/>
              <w:ind w:left="780"/>
              <w:spacing w:after="0" w:line="133" w:lineRule="exact"/>
              <w:rPr>
                <w:sz w:val="20"/>
                <w:szCs w:val="20"/>
                <w:color w:val="auto"/>
              </w:rPr>
            </w:pPr>
            <w:r>
              <w:rPr>
                <w:rFonts w:ascii="Times New Roman" w:cs="Times New Roman" w:eastAsia="Times New Roman" w:hAnsi="Times New Roman"/>
                <w:sz w:val="12"/>
                <w:szCs w:val="12"/>
                <w:color w:val="auto"/>
                <w:w w:val="96"/>
              </w:rPr>
              <w:t>11,040</w:t>
            </w:r>
          </w:p>
        </w:tc>
        <w:tc>
          <w:tcPr>
            <w:tcW w:w="1560" w:type="dxa"/>
            <w:vAlign w:val="bottom"/>
            <w:shd w:val="clear" w:color="auto" w:fill="CCEEFF"/>
          </w:tcPr>
          <w:p>
            <w:pPr>
              <w:jc w:val="center"/>
              <w:ind w:right="180"/>
              <w:spacing w:after="0" w:line="133" w:lineRule="exact"/>
              <w:rPr>
                <w:sz w:val="20"/>
                <w:szCs w:val="20"/>
                <w:color w:val="auto"/>
              </w:rPr>
            </w:pPr>
            <w:r>
              <w:rPr>
                <w:rFonts w:ascii="Times New Roman" w:cs="Times New Roman" w:eastAsia="Times New Roman" w:hAnsi="Times New Roman"/>
                <w:sz w:val="12"/>
                <w:szCs w:val="12"/>
                <w:color w:val="auto"/>
                <w:w w:val="99"/>
              </w:rPr>
              <w:t>2008</w:t>
            </w:r>
          </w:p>
        </w:tc>
        <w:tc>
          <w:tcPr>
            <w:tcW w:w="22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rPr>
              <w:t>$81.7</w:t>
            </w:r>
          </w:p>
        </w:tc>
        <w:tc>
          <w:tcPr>
            <w:tcW w:w="23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$77.4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ZIM Norfolk</w:t>
            </w:r>
          </w:p>
        </w:tc>
        <w:tc>
          <w:tcPr>
            <w:tcW w:w="2560" w:type="dxa"/>
            <w:vAlign w:val="bottom"/>
          </w:tcPr>
          <w:p>
            <w:pPr>
              <w:jc w:val="center"/>
              <w:ind w:left="760"/>
              <w:spacing w:after="0"/>
              <w:rPr>
                <w:sz w:val="20"/>
                <w:szCs w:val="20"/>
                <w:color w:val="auto"/>
              </w:rPr>
            </w:pPr>
            <w:r>
              <w:rPr>
                <w:rFonts w:ascii="Times New Roman" w:cs="Times New Roman" w:eastAsia="Times New Roman" w:hAnsi="Times New Roman"/>
                <w:sz w:val="12"/>
                <w:szCs w:val="12"/>
                <w:color w:val="auto"/>
                <w:w w:val="96"/>
              </w:rPr>
              <w:t>9,115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58.0</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55.7</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Anthea Y</w:t>
            </w:r>
          </w:p>
        </w:tc>
        <w:tc>
          <w:tcPr>
            <w:tcW w:w="2560" w:type="dxa"/>
            <w:vAlign w:val="bottom"/>
            <w:shd w:val="clear" w:color="auto" w:fill="CCEEFF"/>
          </w:tcPr>
          <w:p>
            <w:pPr>
              <w:jc w:val="center"/>
              <w:ind w:left="760"/>
              <w:spacing w:after="0"/>
              <w:rPr>
                <w:sz w:val="20"/>
                <w:szCs w:val="20"/>
                <w:color w:val="auto"/>
              </w:rPr>
            </w:pPr>
            <w:r>
              <w:rPr>
                <w:rFonts w:ascii="Times New Roman" w:cs="Times New Roman" w:eastAsia="Times New Roman" w:hAnsi="Times New Roman"/>
                <w:sz w:val="12"/>
                <w:szCs w:val="12"/>
                <w:color w:val="auto"/>
                <w:w w:val="96"/>
              </w:rPr>
              <w:t>9,115</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58.3</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55.9</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ZIM Xiamen</w:t>
            </w:r>
          </w:p>
        </w:tc>
        <w:tc>
          <w:tcPr>
            <w:tcW w:w="2560" w:type="dxa"/>
            <w:vAlign w:val="bottom"/>
          </w:tcPr>
          <w:p>
            <w:pPr>
              <w:jc w:val="center"/>
              <w:ind w:left="760"/>
              <w:spacing w:after="0"/>
              <w:rPr>
                <w:sz w:val="20"/>
                <w:szCs w:val="20"/>
                <w:color w:val="auto"/>
              </w:rPr>
            </w:pPr>
            <w:r>
              <w:rPr>
                <w:rFonts w:ascii="Times New Roman" w:cs="Times New Roman" w:eastAsia="Times New Roman" w:hAnsi="Times New Roman"/>
                <w:sz w:val="12"/>
                <w:szCs w:val="12"/>
                <w:color w:val="auto"/>
                <w:w w:val="96"/>
              </w:rPr>
              <w:t>9,115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57.2</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55.3</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Sydney Express</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2016</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70.7</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71.9</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Istanbul Express</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2016</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70.6</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71.4</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Bremerhaven Express</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67.8</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69.0</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Czech</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9,019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68.9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MSC Tianjin</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8,603</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39.5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36.6</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MSC Qingdao</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8,603</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44.4</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Ningbo</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8,603</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38.0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35.2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Alexandra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8,599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32.0</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29.9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Sofia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8,599</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30.5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Effie</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8,599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30.8</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28.8</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Lydia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8,599</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30.0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Koi</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8,586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2011</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Lotus 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8,586</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30.5</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Eleni</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7,847</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18.2</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21.6</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Kalliopi</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7,847</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19.3</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Grania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7,847</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14.7</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Colombia Express</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43.5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42.9</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Panama Express</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45.1</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43.1</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Costa Rica Express</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45.2</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42.9</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Nicaragua Express</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7,072</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44.9</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CMA CGM Berlioz</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7,023</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24.7</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23.2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Mexico Express</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6,910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50.6</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48.3</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Jamaica Express</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6,910</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50.3</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48.2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Christen</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6,858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14.9</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Nicoletta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6,858</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14.8</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14.1</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Agios Dimitrios</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6,572</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2011</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29.0</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28.3</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Vinia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6,080</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12.1</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15.4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Christel Elisabeth</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6,080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12.4</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Arcadia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14.6</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14.7</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Violetta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14.7</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19.1</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Maria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16.0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14.9</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MYNY</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16.9</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19.5</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Melita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6,008</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16.7</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Tegea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5,994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16.7</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15.2</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Dorothea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5,994</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15.2</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14.0</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Tasman</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5,936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12.5</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Dimitris Y</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5,936</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12.8</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Ian H</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5,936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15.0</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14.2</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Tripoli *</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2009</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38.9</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36.4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Kithira *</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2009</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39.0</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36.5</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Tinos *</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39.9</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37.4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Syros *</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5,470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2010</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39.9</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37.6</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Dolphin II</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5,095</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12.5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11.8</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Orca I</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5,095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11.7</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11.1</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CMA CGM Alcazar</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5,089</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28.1</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Château d’If</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5,089</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26.2</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24.5</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Susan</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4,363</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2008</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30.5</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28.6</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CMA CGM Jamaica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4,298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23.5</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21.8</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CMA CGM Sambhar</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4,045</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22.2</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20.5</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CMA CGM America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4,045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22.5</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20.7</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Rossi</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3,421</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24.6</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23.6</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Alice (G)</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3,421</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27.6</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26.2</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Eleftheria (G)</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3,421</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25.7</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24.7</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Melina (G)</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3,404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2013</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25.9</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24.9</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Athena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2,980</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9.1</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8.8</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Valerie</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2005</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9.8</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12.4</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Mamitsa</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24.1</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Lalo</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12.3</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11.7</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Mercer</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2,824</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2007</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23.0</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21.4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Elizabeth</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2,741</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2006</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12.0</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11.4</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Newyorker (G)</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2,635</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6.2</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10.4</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Nikolas (G)</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2,635</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6.2</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10.3</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GSL Chloe (G)</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2,546</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24.1</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24.0</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GSL Maren (G)</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2,546</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2014</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25.5</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24.3</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Maira (G)</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2,506</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2000</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5.8</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11.0</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Manet</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2,288</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2001</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8.9</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8.1</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Kumasi</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2,220</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7.6</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6.8</w:t>
            </w:r>
          </w:p>
        </w:tc>
        <w:tc>
          <w:tcPr>
            <w:tcW w:w="0" w:type="dxa"/>
            <w:vAlign w:val="bottom"/>
          </w:tcPr>
          <w:p>
            <w:pPr>
              <w:spacing w:after="0"/>
              <w:rPr>
                <w:sz w:val="1"/>
                <w:szCs w:val="1"/>
                <w:color w:val="auto"/>
              </w:rPr>
            </w:pPr>
          </w:p>
        </w:tc>
      </w:tr>
      <w:tr>
        <w:trPr>
          <w:trHeight w:val="144"/>
        </w:trPr>
        <w:tc>
          <w:tcPr>
            <w:tcW w:w="254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Akiteta</w:t>
            </w:r>
          </w:p>
        </w:tc>
        <w:tc>
          <w:tcPr>
            <w:tcW w:w="2560" w:type="dxa"/>
            <w:vAlign w:val="bottom"/>
          </w:tcPr>
          <w:p>
            <w:pPr>
              <w:jc w:val="center"/>
              <w:ind w:left="780"/>
              <w:spacing w:after="0"/>
              <w:rPr>
                <w:sz w:val="20"/>
                <w:szCs w:val="20"/>
                <w:color w:val="auto"/>
              </w:rPr>
            </w:pPr>
            <w:r>
              <w:rPr>
                <w:rFonts w:ascii="Times New Roman" w:cs="Times New Roman" w:eastAsia="Times New Roman" w:hAnsi="Times New Roman"/>
                <w:sz w:val="12"/>
                <w:szCs w:val="12"/>
                <w:color w:val="auto"/>
              </w:rPr>
              <w:t>2,220</w:t>
            </w:r>
          </w:p>
        </w:tc>
        <w:tc>
          <w:tcPr>
            <w:tcW w:w="1560" w:type="dxa"/>
            <w:vAlign w:val="bottom"/>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7.5</w:t>
            </w:r>
          </w:p>
        </w:tc>
        <w:tc>
          <w:tcPr>
            <w:tcW w:w="2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44"/>
        </w:trPr>
        <w:tc>
          <w:tcPr>
            <w:tcW w:w="25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Keta (G)</w:t>
            </w:r>
          </w:p>
        </w:tc>
        <w:tc>
          <w:tcPr>
            <w:tcW w:w="2560" w:type="dxa"/>
            <w:vAlign w:val="bottom"/>
            <w:shd w:val="clear" w:color="auto" w:fill="CCEEFF"/>
          </w:tcPr>
          <w:p>
            <w:pPr>
              <w:jc w:val="center"/>
              <w:ind w:left="780"/>
              <w:spacing w:after="0"/>
              <w:rPr>
                <w:sz w:val="20"/>
                <w:szCs w:val="20"/>
                <w:color w:val="auto"/>
              </w:rPr>
            </w:pPr>
            <w:r>
              <w:rPr>
                <w:rFonts w:ascii="Times New Roman" w:cs="Times New Roman" w:eastAsia="Times New Roman" w:hAnsi="Times New Roman"/>
                <w:sz w:val="12"/>
                <w:szCs w:val="12"/>
                <w:color w:val="auto"/>
              </w:rPr>
              <w:t>2,207</w:t>
            </w:r>
          </w:p>
        </w:tc>
        <w:tc>
          <w:tcPr>
            <w:tcW w:w="1560" w:type="dxa"/>
            <w:vAlign w:val="bottom"/>
            <w:shd w:val="clear" w:color="auto" w:fill="CCEEFF"/>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2003</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4.9</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t>
            </w:r>
          </w:p>
        </w:tc>
        <w:tc>
          <w:tcPr>
            <w:tcW w:w="0" w:type="dxa"/>
            <w:vAlign w:val="bottom"/>
          </w:tcPr>
          <w:p>
            <w:pPr>
              <w:spacing w:after="0"/>
              <w:rPr>
                <w:sz w:val="1"/>
                <w:szCs w:val="1"/>
                <w:color w:val="auto"/>
              </w:rPr>
            </w:pPr>
          </w:p>
        </w:tc>
      </w:tr>
      <w:tr>
        <w:trPr>
          <w:trHeight w:val="144"/>
        </w:trPr>
        <w:tc>
          <w:tcPr>
            <w:tcW w:w="254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2"/>
                <w:szCs w:val="12"/>
                <w:color w:val="auto"/>
              </w:rPr>
              <w:t>Julie (G)</w:t>
            </w:r>
          </w:p>
        </w:tc>
        <w:tc>
          <w:tcPr>
            <w:tcW w:w="2560" w:type="dxa"/>
            <w:vAlign w:val="bottom"/>
            <w:tcBorders>
              <w:bottom w:val="single" w:sz="8" w:color="CCEEFF"/>
            </w:tcBorders>
          </w:tcPr>
          <w:p>
            <w:pPr>
              <w:jc w:val="center"/>
              <w:ind w:left="780"/>
              <w:spacing w:after="0"/>
              <w:rPr>
                <w:sz w:val="20"/>
                <w:szCs w:val="20"/>
                <w:color w:val="auto"/>
              </w:rPr>
            </w:pPr>
            <w:r>
              <w:rPr>
                <w:rFonts w:ascii="Times New Roman" w:cs="Times New Roman" w:eastAsia="Times New Roman" w:hAnsi="Times New Roman"/>
                <w:sz w:val="12"/>
                <w:szCs w:val="12"/>
                <w:color w:val="auto"/>
              </w:rPr>
              <w:t>2,207</w:t>
            </w:r>
          </w:p>
        </w:tc>
        <w:tc>
          <w:tcPr>
            <w:tcW w:w="1560" w:type="dxa"/>
            <w:vAlign w:val="bottom"/>
            <w:tcBorders>
              <w:bottom w:val="single" w:sz="8" w:color="CCEEFF"/>
            </w:tcBorders>
          </w:tcPr>
          <w:p>
            <w:pPr>
              <w:jc w:val="center"/>
              <w:ind w:right="180"/>
              <w:spacing w:after="0"/>
              <w:rPr>
                <w:sz w:val="20"/>
                <w:szCs w:val="20"/>
                <w:color w:val="auto"/>
              </w:rPr>
            </w:pPr>
            <w:r>
              <w:rPr>
                <w:rFonts w:ascii="Times New Roman" w:cs="Times New Roman" w:eastAsia="Times New Roman" w:hAnsi="Times New Roman"/>
                <w:sz w:val="12"/>
                <w:szCs w:val="12"/>
                <w:color w:val="auto"/>
                <w:w w:val="99"/>
              </w:rPr>
              <w:t>2002</w:t>
            </w: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7.0</w:t>
            </w: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3"/>
              </w:rPr>
              <w:t>6.4</w:t>
            </w:r>
          </w:p>
        </w:tc>
        <w:tc>
          <w:tcPr>
            <w:tcW w:w="0" w:type="dxa"/>
            <w:vAlign w:val="bottom"/>
          </w:tcPr>
          <w:p>
            <w:pPr>
              <w:spacing w:after="0"/>
              <w:rPr>
                <w:sz w:val="1"/>
                <w:szCs w:val="1"/>
                <w:color w:val="auto"/>
              </w:rPr>
            </w:pPr>
          </w:p>
        </w:tc>
      </w:tr>
      <w:tr>
        <w:trPr>
          <w:trHeight w:val="140"/>
        </w:trPr>
        <w:tc>
          <w:tcPr>
            <w:tcW w:w="840" w:type="dxa"/>
            <w:vAlign w:val="bottom"/>
            <w:tcBorders>
              <w:bottom w:val="single" w:sz="8" w:color="CCEEFF"/>
            </w:tcBorders>
            <w:shd w:val="clear" w:color="auto" w:fill="CCEEFF"/>
          </w:tcPr>
          <w:p>
            <w:pPr>
              <w:spacing w:after="0"/>
              <w:rPr>
                <w:sz w:val="12"/>
                <w:szCs w:val="12"/>
                <w:color w:val="auto"/>
              </w:rPr>
            </w:pPr>
          </w:p>
        </w:tc>
        <w:tc>
          <w:tcPr>
            <w:tcW w:w="1700" w:type="dxa"/>
            <w:vAlign w:val="bottom"/>
            <w:tcBorders>
              <w:bottom w:val="single" w:sz="8" w:color="CCEEFF"/>
            </w:tcBorders>
            <w:shd w:val="clear" w:color="auto" w:fill="CCEEFF"/>
          </w:tcPr>
          <w:p>
            <w:pPr>
              <w:spacing w:after="0"/>
              <w:rPr>
                <w:sz w:val="12"/>
                <w:szCs w:val="12"/>
                <w:color w:val="auto"/>
              </w:rPr>
            </w:pPr>
          </w:p>
        </w:tc>
        <w:tc>
          <w:tcPr>
            <w:tcW w:w="2560" w:type="dxa"/>
            <w:vAlign w:val="bottom"/>
            <w:tcBorders>
              <w:bottom w:val="single" w:sz="8" w:color="CCEEFF"/>
            </w:tcBorders>
            <w:shd w:val="clear" w:color="auto" w:fill="CCEEFF"/>
          </w:tcPr>
          <w:p>
            <w:pPr>
              <w:spacing w:after="0"/>
              <w:rPr>
                <w:sz w:val="12"/>
                <w:szCs w:val="12"/>
                <w:color w:val="auto"/>
              </w:rPr>
            </w:pPr>
          </w:p>
        </w:tc>
        <w:tc>
          <w:tcPr>
            <w:tcW w:w="1560" w:type="dxa"/>
            <w:vAlign w:val="bottom"/>
            <w:tcBorders>
              <w:bottom w:val="single" w:sz="8" w:color="CCEEFF"/>
            </w:tcBorders>
            <w:shd w:val="clear" w:color="auto" w:fill="CCEEFF"/>
          </w:tcPr>
          <w:p>
            <w:pPr>
              <w:spacing w:after="0"/>
              <w:rPr>
                <w:sz w:val="12"/>
                <w:szCs w:val="12"/>
                <w:color w:val="auto"/>
              </w:rPr>
            </w:pPr>
          </w:p>
        </w:tc>
        <w:tc>
          <w:tcPr>
            <w:tcW w:w="228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$1,927.1</w:t>
            </w:r>
          </w:p>
        </w:tc>
        <w:tc>
          <w:tcPr>
            <w:tcW w:w="236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$1,983.7</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300" w:hanging="272"/>
        <w:spacing w:after="0"/>
        <w:tabs>
          <w:tab w:leader="none" w:pos="30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Carrying value includes vessel cost, the unamortized portion of deferred drydocking related to the vessel and the related carrying value of the intangible asset or liability (if any) with respect to the time charter attached to the</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color w:val="auto"/>
        </w:rPr>
        <w:t>vessel at its purchase.</w:t>
      </w:r>
    </w:p>
    <w:p>
      <w:pPr>
        <w:spacing w:after="0" w:line="6"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2"/>
          <w:szCs w:val="12"/>
          <w:color w:val="auto"/>
        </w:rPr>
        <w:t>(G)</w:t>
        <w:tab/>
        <w:t>Indicates geared vessel.</w:t>
      </w:r>
    </w:p>
    <w:p>
      <w:pPr>
        <w:spacing w:after="0" w:line="6" w:lineRule="exact"/>
        <w:rPr>
          <w:sz w:val="20"/>
          <w:szCs w:val="20"/>
          <w:color w:val="auto"/>
        </w:rPr>
      </w:pPr>
    </w:p>
    <w:p>
      <w:pPr>
        <w:ind w:left="300" w:hanging="272"/>
        <w:spacing w:after="0" w:line="260" w:lineRule="auto"/>
        <w:tabs>
          <w:tab w:leader="none" w:pos="30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Indicates vessels for which the market value based on charter attached valuations was lower than the carrying value as at December 31, 2025. The aggregate carrying value of these vessels at December 31, 2025 exceeded their aggregate market value based on charter attached valuations as at December 31, 2025 by approximately $29.9 million.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Recent Accounting Pronouncements</w:t>
      </w:r>
    </w:p>
    <w:p>
      <w:pPr>
        <w:spacing w:after="0" w:line="145"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Taxes Disclosures,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We adopted this ASU prospectively for the period ending December 31, 2025, and it did not have an impact to its disclosures, financial condition, or results of operations as we are not subject to income taxes on our shipping income rather our vessels are liable for tax based on the tonnage of the vessel, under the regulations applicable to the country of incorporation of the vessel owning company, which is included within vessels’ operating expenses.</w:t>
      </w:r>
    </w:p>
    <w:p>
      <w:pPr>
        <w:spacing w:after="0" w:line="10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In November 2024, the FASB issued ASU 2024-03, Income Statement—Reporting Comprehensive Income—Expense Disaggregation Disclosures (Subtopic 220-40): Disaggregation of Income Statement Expenses. The standard is intended to enhance transparency of income statement disclosures primarily through additional disaggregation of relevant expense captions. The standard is effective for annual reporting periods beginning after December 15, 2026, and interim periods beginning after December 15, 2027, with prospective or retrospective application permitted. We are currently evaluating the potential impact of adopting this standard on our Consolidated Financial Statements and disclosures.</w:t>
      </w:r>
    </w:p>
    <w:p>
      <w:pPr>
        <w:spacing w:after="0" w:line="121" w:lineRule="exact"/>
        <w:rPr>
          <w:sz w:val="20"/>
          <w:szCs w:val="20"/>
          <w:color w:val="auto"/>
        </w:rPr>
      </w:pPr>
    </w:p>
    <w:p>
      <w:pPr>
        <w:ind w:left="14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6.</w:t>
      </w:r>
      <w:r>
        <w:rPr>
          <w:sz w:val="20"/>
          <w:szCs w:val="20"/>
          <w:color w:val="auto"/>
        </w:rPr>
        <w:tab/>
      </w:r>
      <w:r>
        <w:rPr>
          <w:rFonts w:ascii="Times New Roman" w:cs="Times New Roman" w:eastAsia="Times New Roman" w:hAnsi="Times New Roman"/>
          <w:sz w:val="11"/>
          <w:szCs w:val="11"/>
          <w:b w:val="1"/>
          <w:bCs w:val="1"/>
          <w:color w:val="auto"/>
        </w:rPr>
        <w:t>Directors, Senior Management and Employees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Directors and Senior Management</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directors and executive officers as of the date of this Annual Report and their ages as of December 31, 2025 are listed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2"/>
                <w:szCs w:val="12"/>
                <w:b w:val="1"/>
                <w:bCs w:val="1"/>
                <w:color w:val="auto"/>
              </w:rPr>
              <w:t>Age</w:t>
            </w: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Position</w:t>
            </w:r>
          </w:p>
        </w:tc>
      </w:tr>
      <w:tr>
        <w:trPr>
          <w:trHeight w:val="133"/>
        </w:trPr>
        <w:tc>
          <w:tcPr>
            <w:tcW w:w="164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George Giouroukos</w:t>
            </w:r>
          </w:p>
        </w:tc>
        <w:tc>
          <w:tcPr>
            <w:tcW w:w="120" w:type="dxa"/>
            <w:vAlign w:val="bottom"/>
            <w:tcBorders>
              <w:top w:val="single" w:sz="8" w:color="CCEEFF"/>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ind w:left="820"/>
              <w:spacing w:after="0" w:line="133" w:lineRule="exact"/>
              <w:rPr>
                <w:sz w:val="20"/>
                <w:szCs w:val="20"/>
                <w:color w:val="auto"/>
              </w:rPr>
            </w:pPr>
            <w:r>
              <w:rPr>
                <w:rFonts w:ascii="Times New Roman" w:cs="Times New Roman" w:eastAsia="Times New Roman" w:hAnsi="Times New Roman"/>
                <w:sz w:val="12"/>
                <w:szCs w:val="12"/>
                <w:color w:val="auto"/>
              </w:rPr>
              <w:t>60</w:t>
            </w:r>
          </w:p>
        </w:tc>
        <w:tc>
          <w:tcPr>
            <w:tcW w:w="100" w:type="dxa"/>
            <w:vAlign w:val="bottom"/>
            <w:tcBorders>
              <w:top w:val="single" w:sz="8" w:color="CCEEFF"/>
            </w:tcBorders>
            <w:shd w:val="clear" w:color="auto" w:fill="CCEEFF"/>
          </w:tcPr>
          <w:p>
            <w:pPr>
              <w:spacing w:after="0"/>
              <w:rPr>
                <w:sz w:val="11"/>
                <w:szCs w:val="11"/>
                <w:color w:val="auto"/>
              </w:rPr>
            </w:pPr>
          </w:p>
        </w:tc>
        <w:tc>
          <w:tcPr>
            <w:tcW w:w="8400" w:type="dxa"/>
            <w:vAlign w:val="bottom"/>
            <w:tcBorders>
              <w:top w:val="single" w:sz="8" w:color="auto"/>
            </w:tcBorders>
            <w:shd w:val="clear" w:color="auto" w:fill="CCEEFF"/>
          </w:tcPr>
          <w:p>
            <w:pPr>
              <w:ind w:left="100"/>
              <w:spacing w:after="0" w:line="133" w:lineRule="exact"/>
              <w:rPr>
                <w:sz w:val="20"/>
                <w:szCs w:val="20"/>
                <w:color w:val="auto"/>
              </w:rPr>
            </w:pPr>
            <w:r>
              <w:rPr>
                <w:rFonts w:ascii="Times New Roman" w:cs="Times New Roman" w:eastAsia="Times New Roman" w:hAnsi="Times New Roman"/>
                <w:sz w:val="12"/>
                <w:szCs w:val="12"/>
                <w:color w:val="auto"/>
              </w:rPr>
              <w:t>Executive Chairman</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Michael S. Gross</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Wils</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82</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Ulrike Helfer</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66</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Michael Chalkias</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Yoram (Rami) Neugeborn</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64</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Pitner</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Menno van Lacum</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Ian J. Webber</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Director</w:t>
            </w:r>
          </w:p>
        </w:tc>
      </w:tr>
      <w:tr>
        <w:trPr>
          <w:trHeight w:val="144"/>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Thomas A. Lister</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Pr>
          <w:p>
            <w:pPr>
              <w:spacing w:after="0"/>
              <w:rPr>
                <w:sz w:val="12"/>
                <w:szCs w:val="12"/>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3"/>
        </w:trPr>
        <w:tc>
          <w:tcPr>
            <w:tcW w:w="1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Anastasios Psaropoulos</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2"/>
                <w:szCs w:val="12"/>
                <w:color w:val="auto"/>
              </w:rPr>
              <w:t>47</w:t>
            </w:r>
          </w:p>
        </w:tc>
        <w:tc>
          <w:tcPr>
            <w:tcW w:w="100" w:type="dxa"/>
            <w:vAlign w:val="bottom"/>
            <w:shd w:val="clear" w:color="auto" w:fill="CCEEFF"/>
          </w:tcPr>
          <w:p>
            <w:pPr>
              <w:spacing w:after="0"/>
              <w:rPr>
                <w:sz w:val="13"/>
                <w:szCs w:val="13"/>
                <w:color w:val="auto"/>
              </w:rPr>
            </w:pPr>
          </w:p>
        </w:tc>
        <w:tc>
          <w:tcPr>
            <w:tcW w:w="8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17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George Giannopoulos</w:t>
            </w:r>
          </w:p>
        </w:tc>
        <w:tc>
          <w:tcPr>
            <w:tcW w:w="1040" w:type="dxa"/>
            <w:vAlign w:val="bottom"/>
          </w:tcPr>
          <w:p>
            <w:pPr>
              <w:ind w:left="820"/>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3"/>
                <w:szCs w:val="13"/>
                <w:color w:val="auto"/>
              </w:rPr>
            </w:pPr>
          </w:p>
        </w:tc>
        <w:tc>
          <w:tcPr>
            <w:tcW w:w="84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Chief Compliance Officer</w:t>
            </w:r>
          </w:p>
        </w:tc>
      </w:tr>
    </w:tbl>
    <w:p>
      <w:pPr>
        <w:spacing w:after="0" w:line="24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Biographical information concerning the directors and executive officers listed above is set forth below.</w:t>
      </w:r>
    </w:p>
    <w:p>
      <w:pPr>
        <w:spacing w:after="0" w:line="137" w:lineRule="exact"/>
        <w:rPr>
          <w:sz w:val="20"/>
          <w:szCs w:val="20"/>
          <w:color w:val="auto"/>
        </w:rPr>
      </w:pPr>
    </w:p>
    <w:p>
      <w:pPr>
        <w:jc w:val="both"/>
        <w:ind w:firstLine="240"/>
        <w:spacing w:after="0" w:line="267" w:lineRule="auto"/>
        <w:rPr>
          <w:sz w:val="20"/>
          <w:szCs w:val="20"/>
          <w:color w:val="auto"/>
        </w:rPr>
      </w:pPr>
      <w:r>
        <w:rPr>
          <w:rFonts w:ascii="Times New Roman" w:cs="Times New Roman" w:eastAsia="Times New Roman" w:hAnsi="Times New Roman"/>
          <w:sz w:val="11"/>
          <w:szCs w:val="11"/>
          <w:b w:val="1"/>
          <w:bCs w:val="1"/>
          <w:color w:val="auto"/>
        </w:rPr>
        <w:t xml:space="preserve">George Giouroukos: </w:t>
      </w:r>
      <w:r>
        <w:rPr>
          <w:rFonts w:ascii="Times New Roman" w:cs="Times New Roman" w:eastAsia="Times New Roman" w:hAnsi="Times New Roman"/>
          <w:sz w:val="11"/>
          <w:szCs w:val="11"/>
          <w:color w:val="auto"/>
        </w:rPr>
        <w:t>Mr. Giouroukos has been our Executive Chairman since 2018, and played a pivotal role in the 2018 strategic combination of Poseidon Containers, a containership owner he had built in collaboration with a</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large U.S. private equity firm, with Global Ship Lease. Mr. Giouroukos is a self-made shipowner, and also serves as Managing Director of Technomar, an internationally recognized ship management company with specialized expertise managing ships in both the containership and dry bulk sectors, which he founded in 1994. Mr. Giouroukos has negotiated and executed over 400 secondhand and newbuilding vessel transactions, including third-party workouts executed in close collaboration with leading shipping banks. Mr. Giouroukos has long-established relationships at the highest levels with our liner company customers; serves as Chairman of the Hellenic Advisory Committee of International classification society, RINA, and Deputy Secretary of the Union of Greek Shipowners; and holds a Bachelor in Mechanical Engineering from University College London and a Master in Engineering from Brunel University.</w:t>
      </w:r>
    </w:p>
    <w:p>
      <w:pPr>
        <w:spacing w:after="0" w:line="9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Michael S. Gross</w:t>
      </w:r>
      <w:r>
        <w:rPr>
          <w:rFonts w:ascii="Times New Roman" w:cs="Times New Roman" w:eastAsia="Times New Roman" w:hAnsi="Times New Roman"/>
          <w:sz w:val="12"/>
          <w:szCs w:val="12"/>
          <w:color w:val="auto"/>
        </w:rPr>
        <w:t>: Mr. Gross has served as a director since inception and was Chairman from September 2008 until the completion of the strategic combination with Poseidon Containers in 2018. Since 2010, Mr. Gross has been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Chairman and Chief Executive Officer of NASDAQ-listed Solar Senior Capital Ltd. and, since 2007, Chairman and Chief Executive Officer of NASDAQ-listed Solar Capital Ltd, continuing in those capacities following the merger of the two companies in 2022 as SLR Investment Corp. In his leadership of SLR, Mr. Gross has extensive specialty finance experience, in particular with the origination, structuring, and oversight of asset-backed debt. From 2004 to 2006, Mr. Gross was the President and Chief Executive Officer of Apollo Investment Corporation ("AIC"), a publicly traded business development company, and was the managing partner of Apollo Investment Management, L.P. ("AIM"), the investment adviser to AIC. From 1990 to 2006, Mr. Gross was a senior partner of Apollo Management, a leading private equity firm which he co-founded in 1990.</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Alain Wils</w:t>
      </w:r>
      <w:r>
        <w:rPr>
          <w:rFonts w:ascii="Times New Roman" w:cs="Times New Roman" w:eastAsia="Times New Roman" w:hAnsi="Times New Roman"/>
          <w:sz w:val="12"/>
          <w:szCs w:val="12"/>
          <w:color w:val="auto"/>
        </w:rPr>
        <w:t>: Mr. Wils has served as a director since 2014. With more than 40 years of experience in the sector, Mr. Wils has an extensive background in shipping and logistics, including as an executive board member of leading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global container liner company CMA CGM. Mr. Wils joined the CMA CGM group in 1996 as managing director of the previously state-owned shipping company, CGM, on its acquisition by CMA. He was appointed an executive board member of CMA CGM in 2001 on the merger of CMA and CGM, until his retirement in 2008. From 1992 to 1996, he was chairman and CEO of Sceta International, later renamed Geodis International, a leading European logistics and freight forwarding company. He was the managing director of the shipping group Delmas Vieljeux, which he joined in 1971, from 1982 to 1992. Mr. Wils, who is a graduate of HEC Paris and of Paris University, was appointed Chevalier de la Légion d'Honneur in 1995 and chaired the French Shipowners Association from 1998 to 2000.</w:t>
      </w:r>
    </w:p>
    <w:p>
      <w:pPr>
        <w:spacing w:after="0" w:line="114"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Ulrike Helfer</w:t>
      </w:r>
      <w:r>
        <w:rPr>
          <w:rFonts w:ascii="Times New Roman" w:cs="Times New Roman" w:eastAsia="Times New Roman" w:hAnsi="Times New Roman"/>
          <w:sz w:val="12"/>
          <w:szCs w:val="12"/>
          <w:color w:val="auto"/>
        </w:rPr>
        <w:t>: Ms. Helfer has served as a director in since 2022. She has more than 40 years of experience in the international finance industry, of which more than 25 years focused on the shipping sector, with special expertise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the area of complex distressed portfolio management. From 2016 to 2023, at the request of the Federal State of Schleswig-Holstein and the City of Hamburg, Ms. Helfer served as a Member of the Board of Managing Directors of the newly established portfoliomanagement AöR. In this role, Ms. Helfer and her team had the responsibility of winding down a portfolio of non-performing shipping loans with an amount of EUR 4.1 billion transferred from HSH Nordbank AG to portfoliomanagement AöR. In 2011, Ms. Helfer became the Chief Representative of DVB Bank in Greece, where she managed DVB’s local office in Athens, reporting directly to the CEO of the bank. Prior to that, in 2005, Ms. Helfer joined DVB Bank SE in Hamburg, where she became Deputy Head of the Global Container, Car Carrier, Intermodal &amp; Ferry Group. She commenced her career in international ship financing in 2000 in Vereins- und Westbank AG (merged into UniCredit). Ms. Helfer was a Member of the Advisory Board of Deutsche Bundesbank in Hamburg, Schleswig-Holstein and Mecklenburg-Vorpommern until 2023.</w:t>
      </w:r>
    </w:p>
    <w:p>
      <w:pPr>
        <w:spacing w:after="0" w:line="11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b w:val="1"/>
          <w:bCs w:val="1"/>
          <w:color w:val="auto"/>
        </w:rPr>
        <w:t>Michael Chalkias</w:t>
      </w:r>
      <w:r>
        <w:rPr>
          <w:rFonts w:ascii="Times New Roman" w:cs="Times New Roman" w:eastAsia="Times New Roman" w:hAnsi="Times New Roman"/>
          <w:sz w:val="12"/>
          <w:szCs w:val="12"/>
          <w:color w:val="auto"/>
        </w:rPr>
        <w:t>: Mr. Chalkias has served as a director since 2018. Mr. Chalkias brings over 25 years of diverse leadership experience within the international shipping industry. Throughout his career, he has developed deep</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expertise spanning ship finance, fleet management, newbuilding supervision, and corporate governance. Mr. Chalkias is the Co-founder and Co-Chief Executive Officer of Prime Marine, a leading international tanker and gas carrier ship-owning and management company. Since its inception, Prime Marine has successfully owned and managed more than 100 vessels, establishing itself as a trusted name in the sector. Since 2012, and pursuant to Prime Marine’s business plan and growth objectives, he has engaged in raising over USD 850 million from equity markets and leading U.S. equity funds to drive strategic development and fleet expansion. Additionally, he serves as a Director of First Ship Lease Trust, a publicly listed Singapore-based business trust that owns and operates a portfolio of vessels. Prior to co-founding Prime Marine in 1999, Mr. Chalkias gained invaluable experience at Tufton Oceanic Limited, a specialist shipping finance and investment firm based in London, where he was involved in debt and equity instruments, as well as structured finance transactions. Mr. Chalkias holds an MSc with Distinction in Shipping, Trade &amp; Finance from the Cass Business School at City University of London, and a BSc with Honors in Maritime Business and Maritime Law from the University of Plymouth.</w:t>
      </w:r>
    </w:p>
    <w:p>
      <w:pPr>
        <w:spacing w:after="0" w:line="11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Captain Yoram (Rami) Neugeborn</w:t>
      </w:r>
      <w:r>
        <w:rPr>
          <w:rFonts w:ascii="Times New Roman" w:cs="Times New Roman" w:eastAsia="Times New Roman" w:hAnsi="Times New Roman"/>
          <w:sz w:val="12"/>
          <w:szCs w:val="12"/>
          <w:color w:val="auto"/>
        </w:rPr>
        <w:t>: Mr. Neugeborn has served as a director since 2022. He is a Master Mariner with more than 40 years of hands-on experience in the shipping industry, spanning across containers, bulk carriers,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tankers, car carriers, and reefer vessels. He currently serves as the Chief Executive Officer of Aquarii Shipping Solutions Ltd., a private shipping consultant company. Prior to joining the Board of GSL, from 2010 to 2022 he served as Manager of the Chartering and Sale and Purchase Division at ZIM Integrated Shipping Services Ltd. Prior to that, Captain Neugeborn served in a variety of senior management roles, including as Manager of the Shipping Commercial Division at XT Shipping Ltd. (formerly Ofer Shipping), and Managing Director of Zim-Ofer Shipbrokers. Before that, he served as Commanding Captain onboard ocean-going vessels for Louis Dreyfus Armatures Shipping from 1994 to 1998.</w:t>
      </w:r>
    </w:p>
    <w:p>
      <w:pPr>
        <w:spacing w:after="0" w:line="10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Alain Pitner</w:t>
      </w:r>
      <w:r>
        <w:rPr>
          <w:rFonts w:ascii="Times New Roman" w:cs="Times New Roman" w:eastAsia="Times New Roman" w:hAnsi="Times New Roman"/>
          <w:sz w:val="12"/>
          <w:szCs w:val="12"/>
          <w:color w:val="auto"/>
        </w:rPr>
        <w:t>: Mr. Pitner has served as a director since 2018. Mr. Pitner has more than 30 years of shipping experience, having risen through the ranks at Banque Indosuez (now known as CADIF, a part of the Credit Agricole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Group) over a 42-year career culminating in his appointments as leader of a global commercial and strategic data coordination initiative within the bank’s shipping finance function and also as a board member of the Indosuez Asia Shipping unit. He also held various operational and commercial responsibilities in the bank’s French Export Credit Department and the Shipping Division of the bank’s Structured Finance Department, where he financed newbuildings and was also responsible for special projects. Mr. Pitner possesses extensive experience in all aspects of global ship finance, including origination, structuring, and oversight of a diversified shipping portfolio that grew to approximately $20 billion. He graduated from Reims Business School and holds a Master of Science in Industrial Administration from Krannert Business School - Purdue University, USA.</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28"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Menno van Lacum: </w:t>
      </w:r>
      <w:r>
        <w:rPr>
          <w:rFonts w:ascii="Times New Roman" w:cs="Times New Roman" w:eastAsia="Times New Roman" w:hAnsi="Times New Roman"/>
          <w:sz w:val="12"/>
          <w:szCs w:val="12"/>
          <w:color w:val="auto"/>
        </w:rPr>
        <w:t>Mr. van Lacum has served as a director since 2018. With more than 25 years of shipping industry experience and a market-leading position as an investor and financier in commercially viable decarbonization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solutions for the maritime industry, Mr. van Lacum specializes in structuring and arranging principal investments and joint ventures, debt capital market solutions, securitizations, and mezzanine and senior debt facilities. In 2019, Mr. van Lacum co-founded Amsterdam-based Prow Capital, where he serves as CEO, overseeing a €400+ million private debt fund focused on reducing emissions in the shipping industry. He is also a co-founder and partner of Transportation Capital Group (“TCG”), which manages private equity and debt portfolios across transportation verticals. Prior to that, he served as Director of Fortis Bank in the U.S., where he held responsibility for equity investments and structuring debt instruments across a diversified set of transportation asset classes, in addition to M&amp;A. Mr. van Lacum has served on the Board of multiple public and private companies, currently including CS Leasing, one of the world’s leading tank container leasing companies, and AM Flow Holdings, an adaptive manufacturing automation company. Mr. van Lacum holds a Master’s Degree in Economics from the University of Amsterdam, Netherlands.</w:t>
      </w:r>
    </w:p>
    <w:p>
      <w:pPr>
        <w:spacing w:after="0" w:line="103" w:lineRule="exact"/>
        <w:rPr>
          <w:sz w:val="20"/>
          <w:szCs w:val="20"/>
          <w:color w:val="auto"/>
        </w:rPr>
      </w:pPr>
    </w:p>
    <w:p>
      <w:pPr>
        <w:jc w:val="both"/>
        <w:ind w:firstLine="240"/>
        <w:spacing w:after="0" w:line="243" w:lineRule="auto"/>
        <w:rPr>
          <w:sz w:val="20"/>
          <w:szCs w:val="20"/>
          <w:color w:val="auto"/>
        </w:rPr>
      </w:pPr>
      <w:r>
        <w:rPr>
          <w:rFonts w:ascii="Times New Roman" w:cs="Times New Roman" w:eastAsia="Times New Roman" w:hAnsi="Times New Roman"/>
          <w:sz w:val="12"/>
          <w:szCs w:val="12"/>
          <w:b w:val="1"/>
          <w:bCs w:val="1"/>
          <w:color w:val="auto"/>
        </w:rPr>
        <w:t xml:space="preserve">Ian J. Webber: </w:t>
      </w:r>
      <w:r>
        <w:rPr>
          <w:rFonts w:ascii="Times New Roman" w:cs="Times New Roman" w:eastAsia="Times New Roman" w:hAnsi="Times New Roman"/>
          <w:sz w:val="12"/>
          <w:szCs w:val="12"/>
          <w:color w:val="auto"/>
        </w:rPr>
        <w:t>Mr. Webber has served as a director since 2024, having previously served as our Chief Executive Officer since our inception in 2007. During that time, Mr. Webber led the initial negotiations of the company's 17-ship carve-out from CMA CGM, its merger with Marathon Acquisition Corp and listing on the NYSE in 2008 and significant growth up to and including the merger with Poseidon Containers in 2018. From 1996 to 2006 Mr. Webber served as the Chief Financial Officer and a director of CP Ships Limited, a subsidiary of Canadian Pacific Limited until 2001 when Canadian Pacific de-merged and CP Ships became a separate public company listed on both the New York and Toronto stock exchanges until its acquisition by Hapag-Lloyd’s parent company, TUI A.G. in 2005. From 1979 to 1996 Mr. Webber worked for PriceWaterhouse, the last five years of which he was an audit partner. Mr. Webber is a graduate of Cambridge University.</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Thomas A. Lister: </w:t>
      </w:r>
      <w:r>
        <w:rPr>
          <w:rFonts w:ascii="Times New Roman" w:cs="Times New Roman" w:eastAsia="Times New Roman" w:hAnsi="Times New Roman"/>
          <w:sz w:val="12"/>
          <w:szCs w:val="12"/>
          <w:color w:val="auto"/>
        </w:rPr>
        <w:t>Mr. Lister has served as Chief Executive Officer since 2024, having previously served as a member of the senior management team that took Global Ship Lease public in 2008 and managed the strategic</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combination with Poseidon Containers in 2018. Mr. Lister has served as Chief Commercial Officer, Chief Financial Officer, and architect of the Company’s commercially-focused ESG and decarbonization strategies. He has considerable experience sourcing, structuring, and financing deals; raising capital in the public and private markets; optimizing our service offering to meet the needs of our liner customers, including collaborative investments to improve vessel fuel efficiency and reduce emissions; and leveraging technology to drive value. Prior to joining Global Ship Lease, Mr. Lister was a Senior Vice President at specialist transport asset financier DVB Bank. Before that, he worked for a large German financier and ship owning group as Director of Business Development. Mr. Lister also has over a decade of experience working for liner shipping companies and their agents in strategic, commercial, and operational roles. Mr. Lister graduated from Durham University with a Bachelor of Science, and holds an MBA from INSEAD.</w:t>
      </w:r>
    </w:p>
    <w:p>
      <w:pPr>
        <w:spacing w:after="0" w:line="10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b w:val="1"/>
          <w:bCs w:val="1"/>
          <w:color w:val="auto"/>
        </w:rPr>
        <w:t xml:space="preserve">Anastasios Psaropoulos: </w:t>
      </w:r>
      <w:r>
        <w:rPr>
          <w:rFonts w:ascii="Times New Roman" w:cs="Times New Roman" w:eastAsia="Times New Roman" w:hAnsi="Times New Roman"/>
          <w:sz w:val="12"/>
          <w:szCs w:val="12"/>
          <w:color w:val="auto"/>
        </w:rPr>
        <w:t>Mr. Psaropoulos has served as our Chief Financial Officer since 2018 and has extensive experience in financial leadership, raising more than $5 billion of finance and other senior executive positions.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Before his current appointment as CFO, he served as Chief Financial Officer of Poseidon Containers and Technomar Shipping, Inc. from 2011 until Poseidon’s strategic combination with Global Ship Lease in 2018. In that capacity, Mr. Psaropoulos oversaw and successfully executed multiple distressed asset acquisitions, realizing material fleet growth with compelling risk-adjusted returns. Prior to Poseidon, he held other finance positions in shipping and real estate development companies. Before that, he was Financial Controller at Dolphin Capital, an AIM-listed real estate development fund, where he led and oversaw a large global team in addition to his financial responsibilities. Mr. Psaropoulos also worked as an external auditor with PricewaterhouseCoopers, covering shipping and the oil &amp; gas industries. Mr. Psaropoulos holds a Master in Economics, with specialization in Finance and Investments, from the Athens University of Economics; and is an alumnus of the Harvard Business School programs for Leadership Development (PLDA), Corporate Governance, and Private Equity and Venture Capital.</w:t>
      </w:r>
    </w:p>
    <w:p>
      <w:pPr>
        <w:spacing w:after="0" w:line="11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b w:val="1"/>
          <w:bCs w:val="1"/>
          <w:color w:val="auto"/>
        </w:rPr>
        <w:t xml:space="preserve">George Giannopoulos: </w:t>
      </w:r>
      <w:r>
        <w:rPr>
          <w:rFonts w:ascii="Times New Roman" w:cs="Times New Roman" w:eastAsia="Times New Roman" w:hAnsi="Times New Roman"/>
          <w:sz w:val="12"/>
          <w:szCs w:val="12"/>
          <w:color w:val="auto"/>
        </w:rPr>
        <w:t>Mr. Giannopoulos has served as our Chief Compliance Officer since 2024 and has been our Head of Internal Audit since the strategic combination of Poseidon Containers and Global Ship Lease in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November 2018. Prior to the that, Mr. Giannopoulos already had a wealth of experience in the industry including three years as Financial Controller at our technical manager, Technomar, and five years as Financial Controller in charge of the South American logistics arm of Navios—a major shipowning group with multiple listings on the New York Stock Exchange. From 2006 to 2010, he worked for PricewaterhouseCoopers as a senior external auditor covering the shipping and oil &amp; gas industries. Mr. Giannopoulos is a graduate of Maritime Studies from the University of Piraeus.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of Executive Officers</w:t>
      </w:r>
    </w:p>
    <w:p>
      <w:pPr>
        <w:spacing w:after="0" w:line="1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the year ended December 31, 2025, we have expensed an aggregate of $2.1 million in compensation to our executive officers, which includes the remuneration of our Executive Chairman.</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of Directors</w:t>
      </w:r>
    </w:p>
    <w:p>
      <w:pPr>
        <w:spacing w:after="0" w:line="11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directors (other than our Executive Chairman) receive an annual fee of $105,000. The Chairman of the audit committee receives an additional fee of $15,000 and each member of the audit committee receives an additional $7,500. The Chairman of the nominating and corporate governance committee and the compensation committee each receive an additional $5,000 and each member of those committees receives an additional $2,500. In addition, each director is reimbursed for out-of-pocket expenses in connection with attending meetings of our Board of Directors or committees. Our Executive Chairman receives remuneration as an executive officer and does not receive director fees.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2019 Omnibus Incentive Plan</w:t>
      </w:r>
    </w:p>
    <w:p>
      <w:pPr>
        <w:spacing w:after="0" w:line="1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On February 4, 2019, our Board of Directors adopted the Global Ship Lease, Inc. 2019 Omnibus Incentive Plan (the “Equity Incentive Plan”).</w:t>
      </w:r>
    </w:p>
    <w:p>
      <w:pPr>
        <w:spacing w:after="0" w:line="11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purpose of the Equity Incentive Plan is to provide directors, officers, and employees, whose initiative and efforts are deemed to be important to the successful conduct of our business, with incentives to (a) enter into and remain in the service of our company or our subsidiaries and affiliates, (b) acquire a proprietary interest in the success of our company, (c) maximize their performance and (d) enhance the long-term performance of our company. The Equity Incentive Plan is administered by the compensation committee of our Board of Directors or such other committee of our Board of Directors as may be designated by them.</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Under the terms of the Equity Incentive Plan, stock options and appreciation rights granted under the Equity Incentive Plan will have an exercise price equal to the fair market value of a common share on the date of grant, provided that in no event may the exercise price be less than the fair market value of a common share on the date of grant. Options and stock appreciation rights will be exercisable at times and under conditions as determined by the plan administrator, but in no event will they be exercisable later than 10 years from the date of grant.</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plan administrator may grant restricted stock and awards of restricted stock units subject to vesting and forfeiture provisions and other terms and conditions as determined by the administrator of the Equity Incentive Plan. Upon the vesting of a restricted stock unit, the award recipient will be paid an amount equal to the number of restricted stock units that then vest multiplied by the fair market value of a common share on the date of vesting, which payment may be paid in the form of cash or common shares or a combination of both, as determined by the administrator of the Equity Incentive Plan. The Equity Incentive Plan administrator may grant dividend equivalents with respect to grants of restricted stock units.</w:t>
      </w:r>
    </w:p>
    <w:p>
      <w:pPr>
        <w:spacing w:after="0" w:line="9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Adjustments may be made to outstanding awards in the event of a corporate transaction or change in capitalization or other extraordinary event. In the event of a “change in control” (as defined in the Equity Incentive Plan), unless otherwise provided by the Equity Incentive Plan administrator in an award agreement, awards then outstanding shall become fully vested and exercisable in full.</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Board of Directors may amend or terminate the Equity Incentive Plan and may amend outstanding awards, provided that no such amendment or termination may be made that would materially impair the rights or materially increase any obligations, of a grantee under an outstanding award. Shareholders’ approval of Equity Incentive Plan amendments may be required in certain circumstances if required by applicable rules of a national securities exchange or the SEC. Unless terminated earlier by our Board of Directors, the Equity Incentive Plan will expire 10 years from the date on which the Equity Incentive Plan was adopted by the Board of Directors.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On September 29, 2021, the Board of Directors approved an increase in the aggregate number of Class A common shares available for issuance as awards under the Equity Incentive Plan by 1,600,000 to 3,412,500, and approved an increase in the maximum number of Class A common shares that each non-executive director may be granted in any one year to 25,000. In addition, with effect from October 1, 2021, the Board of Directors approved awards under the Equity Incentive Plan of (a) up to an aggregate of 1,500,000 Class A common shares to members of senior management, and (b) up to an aggregate of 105,000 Class A common shares to our non-executive directors (representing an award of up to 15,000 Class A common shares to each such director) (collectively, the “Initial 2021 Incentive Awards”). The Initial 2021 Incentive Awards were subject to the satisfaction of certain service-based and our performance-based vesting criteria.</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During the year ended December 31, 2022, the Board of Directors approved an award of 13,780 Class A common shares to a non-executive director who was appointed subsequent to the Initial 2021 Incentive Awards, which were scheduled to vest in a similar manner to the Initial 2021 Incentive Awards, adjusted for the date of appointment of the director. During the year ended December 31, 2024, the Board of Directors approved an award to a non-executive director who was appointed subsequent to the Initial 2021 Incentive Awards, amounting to 4,884 Class A common shares which vested and were issued immediately, and 8,311 Class A common shares, which were scheduled to vest in a similar manner to the Initial 2021 Incentive Awards, adjusted for the date of appointment of the director. These awards, together with the Initial 2021 Incentive Awards, are collectively referred to as the “2021 Incentive Awards.”</w:t>
      </w:r>
    </w:p>
    <w:p>
      <w:pPr>
        <w:spacing w:after="0" w:line="96"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March 2024, as a result of the transition of the Company’s Chief Executive Officer (“CEO”), the Board of Directors approved new awards of (i) 6,465 Class A common shares to a newly appointed non-executive director and (ii) 51,750 Class A common shares to the newly appointed CEO, in each case, scheduled to vest in a similar manner to the 2021 Incentive Awards, adjusted for the dates of appointment. Further, 155,250 unvested Class A common shares were forfeited during the first quarter of 2024, due to retirement of the former CEO.</w:t>
      </w:r>
    </w:p>
    <w:p>
      <w:pPr>
        <w:spacing w:after="0" w:line="102"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During the years ended December 31, 2025, 2024, 2023, 2022 and 2021, and having met all applicable vesting criteria for both service and performance, 261,461, 535,912, 399,727, 218,366 and 55,175 Class A common shares vested, respectively, pursuant to the 2021 Incentive Awards.</w:t>
      </w:r>
    </w:p>
    <w:p>
      <w:pPr>
        <w:spacing w:after="0" w:line="101"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Effective September 25, 2025, the Board of Directors approved an increase in the aggregate number of Class A common shares available for issuance as awards under the Equity Incentive Plan by 2,430,000 shares. Effective October 1, 2025, the Board of Directors approved new awards of Class A common shares, with each such award having a term of 3.25 years (ending December 31, 2028) (the “Term”) (such awards, the “2025 Incentive Awards”).</w:t>
      </w:r>
    </w:p>
    <w:p>
      <w:pPr>
        <w:spacing w:after="0" w:line="9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The 2025 Incentive Awards are divided into three tranches: (i) a service tranche, which vests quarterly, pro rata, during the Term, conditioned only on the recipient’s continued service (“Service Tranche”), (ii) a performance tranche, of which approximately 1/3 is earned upon our achievement of a specified annualized return on equity that is measured on each of December 31 of 2026, 2027, and 2028, respectively, after which, such shares are notionally divided into a number of quarterly installments within the Term and are eligible to vest on this basis (“Performance Tranche”), and (iii) a moonshot tranche, which is measured and will vest at the end of the Term based on the achievement of a specified return on equity over the full Term (“Moonshot Tranche”). The Performance Tranche payout thresholds are (a) below 13% return on equity: no payout, (b) 13%-15% return on equity: 50% payout, (c) 15% return on equity: 100% payout (target), and the Moonshot Tranche payout threshold is 30% return on equity: 100% payout.</w:t>
      </w:r>
    </w:p>
    <w:p>
      <w:pPr>
        <w:spacing w:after="0" w:line="11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Of the 2025 Incentive Awards, (a) members of senior management were awarded an aggregate of up to 2,195,250 Class A common shares (comprising a Service Tranche of 731,750 shares, a Performance Tranche of 731,750 shares, and a Moonshot Tranche of 731,750 shares), (b) each non-executive director of ours was awarded up to 22,500 shares (comprising a Service Tranche of 7,500 shares, a Performance Tranche of 7,500 shares, and a Moonshot Tranche of 7,500 shares), and (c) other new awards were made in an aggregate amount of up to 54,750 Class A common shares (comprising a Service Tranche of 18,250 shares, a Performance Tranche of 18,250 shares, and a Moonshot Tranche of 18,250 shares).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Board Practices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Our Board of Directors is divided into three classes with one class of directors being elected in each year and each class serving a three-year term. The current term of office of the Term I class of directors consisting of Ms. Helfer, Mr. Neugeborn, and Mr. Pitner, expires at the annual meeting of shareholders to be held in 2027. The current term of office of the Term II class of directors, consisting of Mr. Chalkias, Mr. Giouroukos, and Mr. Webber, expires at the annual meeting of shareholders to be held in 2028. The current term of office of the Term III class of directors, consisting of Mr. Gross, Mr. van Lacum, and Mr. Wils, expires at the annual meeting of shareholders to be held in 2026.</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than our Executive Chairman, none of our directors have service contracts with us or any of our subsidiaries providing for benefits upon the termination of their employment.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information about the period during which each director and executive officer has served in such position at our company, see “Item 6. Directors, Senior Management and Employees —A. Directors and Senior Management.”</w:t>
      </w:r>
    </w:p>
    <w:p>
      <w:pPr>
        <w:spacing w:after="0" w:line="1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Director Independence</w:t>
      </w:r>
    </w:p>
    <w:p>
      <w:pPr>
        <w:spacing w:after="0" w:line="14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Board of Directors has determined that all of our directors in office as of the date hereof, other than Mr. George Giouroukos and Mr. Ian Webber, are “independent directors” as such term is defined in Rule 10A-3 under the Exchange Act, and the NYSE rules.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Committees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Board of Directors has formed an audit committee, a compensation committee, a nominating and corporate governance committee, a conflicts committee and an environmental, social and governance committee. Our committee charters are available on our website (http://www.globalshiplease.com) and in print to any investor upon request. The information included on our website is not incorporated herein by reference.</w:t>
      </w: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Audit Committee</w:t>
      </w:r>
    </w:p>
    <w:p>
      <w:pPr>
        <w:spacing w:after="0" w:line="143"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We have established an audit committee, comprised of three members of our Board of Directors, which, as directed by our written audit committee charter, is responsible for overseeing the management’s conduct of our systems of internal accounting and financial controls, reviewing our financial statements, recommending to the Board of Directors the engagement of our independent auditors, and pre-approving audit and audit-related services and fees.</w:t>
      </w:r>
    </w:p>
    <w:p>
      <w:pPr>
        <w:spacing w:after="0" w:line="10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audit committee will at all times be composed exclusively of “independent directors” who, as may be required by the NYSE listing standards, are able to read and understand fundamental financial statements, including a company’s balance sheet, income statement and cash flow statement. Our audit committee currently consists of Messrs. Chalkias, van Lacum, and Wils and Ms. Helfer, each of whom is “independent” as defined in Rule 10A-3 under the Exchange Act and the NYSE rules.</w:t>
      </w:r>
    </w:p>
    <w:p>
      <w:pPr>
        <w:spacing w:after="0" w:line="106"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In addition, the audit committee has at least one member who has past employment experience in finance or accounting, requisite professional certification in accounting, or other comparable experience or background that results in the individual’s financial sophistication. Our Board of Directors has determined that Mr. van Lacum has such financial sophistication and also qualifies as an “audit committee financial expert” (please refer to ‘‘Item16A. Audit Committee Financial Expert’').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Compensation Committee</w:t>
      </w:r>
    </w:p>
    <w:p>
      <w:pPr>
        <w:spacing w:after="0" w:line="143" w:lineRule="exact"/>
        <w:rPr>
          <w:sz w:val="20"/>
          <w:szCs w:val="20"/>
          <w:color w:val="auto"/>
        </w:rPr>
      </w:pPr>
    </w:p>
    <w:p>
      <w:pPr>
        <w:jc w:val="both"/>
        <w:ind w:right="20"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compensation committee, consisting of Messrs. Gross, Chalkias, and Pitner, that is responsible for and reports to our Board of Directors on the evaluation and compensation of executives, oversees the administration of compensation plans, reviews and makes recommendations to the Board of Directors on director and executive compensation, and prepares any report on executive compensation required by the rules and regulations of the SEC.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Nominating and Corporate Governance Committee</w:t>
      </w:r>
    </w:p>
    <w:p>
      <w:pPr>
        <w:spacing w:after="0" w:line="14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nominating and corporate governance committee, consisting of Messrs. Chalkias, Pitner, and Wils, that reports to our Board of Directors on and is responsible for succession planning and the appointment, development, and performance evaluation of our board members and senior executives. It also assesses the adequacy and effectiveness of our corporate governance guidelines, reviewing and recommending changes to the Board of Directors whenever necessary.</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Conflicts Committee</w:t>
      </w:r>
    </w:p>
    <w:p>
      <w:pPr>
        <w:spacing w:after="0" w:line="14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have established a Conflicts Committee to review, evaluate, and approve any transaction or other matter referred or disclosed to it where a conflict of interest or potential conflict of interest exists or arises, whether real or perceived. Such matters may include transactions between us on the one hand, and Technomar, or Conchart, or any of our officers or directors or affiliates of our officers or directors, on the other hand. Our Conflicts Committee consists of Messrs. Chalkias, van Lacum, and Wils.</w:t>
      </w:r>
    </w:p>
    <w:p>
      <w:pPr>
        <w:spacing w:after="0" w:line="1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i w:val="1"/>
          <w:iCs w:val="1"/>
          <w:color w:val="auto"/>
        </w:rPr>
        <w:t>Environment, Social, and Governance (“ESG”) Committee</w:t>
      </w:r>
    </w:p>
    <w:p>
      <w:pPr>
        <w:spacing w:after="0" w:line="14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have established an ESG Committee to (i) guide, support, and supervise management in developing, articulating, and continuing to evolve, our ESG strategy, (ii) evaluate and recommend ESG initiatives for adoption by us, (iii) assess ESG risks and opportunities, and (iv) promote ESG practices within our business culture and processes. Our ESG committee consists of Messrs. Neugeborn, van Lacum, Wils, and Giouroukos.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Employees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As of December 31, 2025, we had seven employees.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Share Ownership</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7. Major Shareholders and Related Party Transactions—A. Major Shareholders” for information regarding beneficial ownership by our directors and executive officers.</w:t>
      </w:r>
    </w:p>
    <w:p>
      <w:pPr>
        <w:spacing w:after="0" w:line="11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6. Directors, Senior Management and Employees—B. Compensation—2019 Omnibus Incentive Plan” for information regarding our Equity Incentive Plan.</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Disclosure of a registrant’s action to recover erroneously awarded compensation.</w:t>
      </w:r>
    </w:p>
    <w:p>
      <w:pPr>
        <w:spacing w:after="0" w:line="1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8"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7.</w:t>
      </w:r>
      <w:r>
        <w:rPr>
          <w:sz w:val="20"/>
          <w:szCs w:val="20"/>
          <w:color w:val="auto"/>
        </w:rPr>
        <w:tab/>
      </w:r>
      <w:r>
        <w:rPr>
          <w:rFonts w:ascii="Times New Roman" w:cs="Times New Roman" w:eastAsia="Times New Roman" w:hAnsi="Times New Roman"/>
          <w:sz w:val="11"/>
          <w:szCs w:val="11"/>
          <w:b w:val="1"/>
          <w:bCs w:val="1"/>
          <w:color w:val="auto"/>
        </w:rPr>
        <w:t>Major Shareholders and Related Party Transactions</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Major Shareholders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table sets forth information regarding the beneficial ownership of our Class A common shares as of the date of this Annual Report by:</w:t>
      </w:r>
    </w:p>
    <w:p>
      <w:pPr>
        <w:spacing w:after="0" w:line="150" w:lineRule="exact"/>
        <w:rPr>
          <w:sz w:val="20"/>
          <w:szCs w:val="20"/>
          <w:color w:val="auto"/>
        </w:rPr>
      </w:pPr>
    </w:p>
    <w:p>
      <w:pPr>
        <w:ind w:left="540" w:hanging="188"/>
        <w:spacing w:after="0"/>
        <w:tabs>
          <w:tab w:leader="none" w:pos="5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person known by us to be the beneficial owner of more than 5% of our outstanding common shares;</w:t>
      </w:r>
    </w:p>
    <w:p>
      <w:pPr>
        <w:spacing w:after="0" w:line="1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our officers and directors; and</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our officers and directors as a group.</w:t>
      </w:r>
    </w:p>
    <w:p>
      <w:pPr>
        <w:spacing w:after="0" w:line="103"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Except as otherwise indicated, each person or entity named in the table below has sole voting and investment power with respect to all of our Class A common shares, shown as beneficially owned, subject to applicable community property laws. The Class A common shares each have one vote and vote together as a single class.</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80"/>
          </w:cols>
          <w:pgMar w:left="300" w:top="201"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38"/>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271"/>
        </w:trPr>
        <w:tc>
          <w:tcPr>
            <w:tcW w:w="840" w:type="dxa"/>
            <w:vAlign w:val="bottom"/>
            <w:tcBorders>
              <w:top w:val="single" w:sz="8" w:color="0000EE"/>
            </w:tcBorders>
          </w:tcPr>
          <w:p>
            <w:pPr>
              <w:spacing w:after="0"/>
              <w:rPr>
                <w:sz w:val="23"/>
                <w:szCs w:val="23"/>
                <w:color w:val="auto"/>
              </w:rPr>
            </w:pPr>
          </w:p>
        </w:tc>
        <w:tc>
          <w:tcPr>
            <w:tcW w:w="4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Approximate Percentage</w:t>
            </w: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of Outstanding Class A</w:t>
            </w:r>
          </w:p>
        </w:tc>
      </w:tr>
      <w:tr>
        <w:trPr>
          <w:trHeight w:val="159"/>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Name of Beneficial Owner</w:t>
            </w:r>
          </w:p>
        </w:tc>
        <w:tc>
          <w:tcPr>
            <w:tcW w:w="3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Beneficially Owned</w:t>
            </w:r>
          </w:p>
        </w:tc>
        <w:tc>
          <w:tcPr>
            <w:tcW w:w="29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Shares</w:t>
            </w:r>
          </w:p>
        </w:tc>
      </w:tr>
      <w:tr>
        <w:trPr>
          <w:trHeight w:val="133"/>
        </w:trPr>
        <w:tc>
          <w:tcPr>
            <w:tcW w:w="840" w:type="dxa"/>
            <w:vAlign w:val="bottom"/>
            <w:tcBorders>
              <w:top w:val="single" w:sz="8" w:color="auto"/>
            </w:tcBorders>
          </w:tcPr>
          <w:p>
            <w:pPr>
              <w:spacing w:after="0"/>
              <w:rPr>
                <w:sz w:val="11"/>
                <w:szCs w:val="11"/>
                <w:color w:val="auto"/>
              </w:rPr>
            </w:pPr>
          </w:p>
        </w:tc>
        <w:tc>
          <w:tcPr>
            <w:tcW w:w="43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940" w:type="dxa"/>
            <w:vAlign w:val="bottom"/>
            <w:tcBorders>
              <w:top w:val="single" w:sz="8" w:color="auto"/>
            </w:tcBorders>
          </w:tcPr>
          <w:p>
            <w:pPr>
              <w:spacing w:after="0"/>
              <w:rPr>
                <w:sz w:val="11"/>
                <w:szCs w:val="11"/>
                <w:color w:val="auto"/>
              </w:rPr>
            </w:pPr>
          </w:p>
        </w:tc>
      </w:tr>
      <w:tr>
        <w:trPr>
          <w:trHeight w:val="144"/>
        </w:trPr>
        <w:tc>
          <w:tcPr>
            <w:tcW w:w="5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2"/>
                <w:szCs w:val="12"/>
                <w:b w:val="1"/>
                <w:bCs w:val="1"/>
                <w:color w:val="auto"/>
              </w:rPr>
              <w:t>5% Shareholders:</w:t>
            </w:r>
          </w:p>
        </w:tc>
        <w:tc>
          <w:tcPr>
            <w:tcW w:w="29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320" w:type="dxa"/>
            <w:vAlign w:val="bottom"/>
            <w:gridSpan w:val="3"/>
            <w:shd w:val="clear" w:color="auto" w:fill="CCECFF"/>
          </w:tcPr>
          <w:p>
            <w:pPr>
              <w:spacing w:after="0"/>
              <w:rPr>
                <w:sz w:val="20"/>
                <w:szCs w:val="20"/>
                <w:color w:val="auto"/>
              </w:rPr>
            </w:pPr>
            <w:r>
              <w:rPr>
                <w:rFonts w:ascii="Times New Roman" w:cs="Times New Roman" w:eastAsia="Times New Roman" w:hAnsi="Times New Roman"/>
                <w:sz w:val="12"/>
                <w:szCs w:val="12"/>
                <w:color w:val="auto"/>
              </w:rPr>
              <w:t>George Giouroukos (2)(4)</w:t>
            </w:r>
          </w:p>
        </w:tc>
        <w:tc>
          <w:tcPr>
            <w:tcW w:w="2940" w:type="dxa"/>
            <w:vAlign w:val="bottom"/>
            <w:shd w:val="clear" w:color="auto" w:fill="CCECFF"/>
          </w:tcPr>
          <w:p>
            <w:pPr>
              <w:jc w:val="center"/>
              <w:ind w:right="80"/>
              <w:spacing w:after="0"/>
              <w:rPr>
                <w:sz w:val="20"/>
                <w:szCs w:val="20"/>
                <w:color w:val="auto"/>
              </w:rPr>
            </w:pPr>
            <w:r>
              <w:rPr>
                <w:rFonts w:ascii="Times New Roman" w:cs="Times New Roman" w:eastAsia="Times New Roman" w:hAnsi="Times New Roman"/>
                <w:sz w:val="12"/>
                <w:szCs w:val="12"/>
                <w:color w:val="auto"/>
                <w:w w:val="99"/>
              </w:rPr>
              <w:t>2,848,400</w:t>
            </w: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5"/>
              </w:rPr>
              <w:t>7.9%</w:t>
            </w:r>
          </w:p>
        </w:tc>
      </w:tr>
      <w:tr>
        <w:trPr>
          <w:trHeight w:val="180"/>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Donald Smith &amp; Co., Inc. (3)</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9"/>
              </w:rPr>
              <w:t>2,088,499</w:t>
            </w:r>
          </w:p>
        </w:tc>
        <w:tc>
          <w:tcPr>
            <w:tcW w:w="100" w:type="dxa"/>
            <w:vAlign w:val="bottom"/>
          </w:tcPr>
          <w:p>
            <w:pPr>
              <w:spacing w:after="0"/>
              <w:rPr>
                <w:sz w:val="15"/>
                <w:szCs w:val="15"/>
                <w:color w:val="auto"/>
              </w:rPr>
            </w:pPr>
          </w:p>
        </w:tc>
        <w:tc>
          <w:tcPr>
            <w:tcW w:w="2940" w:type="dxa"/>
            <w:vAlign w:val="bottom"/>
          </w:tcPr>
          <w:p>
            <w:pPr>
              <w:jc w:val="center"/>
              <w:ind w:right="40"/>
              <w:spacing w:after="0" w:line="180" w:lineRule="exact"/>
              <w:rPr>
                <w:sz w:val="20"/>
                <w:szCs w:val="20"/>
                <w:color w:val="auto"/>
              </w:rPr>
            </w:pPr>
            <w:r>
              <w:rPr>
                <w:rFonts w:ascii="Times New Roman" w:cs="Times New Roman" w:eastAsia="Times New Roman" w:hAnsi="Times New Roman"/>
                <w:sz w:val="12"/>
                <w:szCs w:val="12"/>
                <w:color w:val="auto"/>
                <w:w w:val="90"/>
              </w:rPr>
              <w:t>5.8%</w:t>
            </w:r>
            <w:r>
              <w:rPr>
                <w:rFonts w:ascii="Times New Roman" w:cs="Times New Roman" w:eastAsia="Times New Roman" w:hAnsi="Times New Roman"/>
                <w:sz w:val="19"/>
                <w:szCs w:val="19"/>
                <w:color w:val="auto"/>
                <w:w w:val="90"/>
                <w:vertAlign w:val="superscript"/>
              </w:rPr>
              <w:t>(1)</w:t>
            </w:r>
          </w:p>
        </w:tc>
      </w:tr>
      <w:tr>
        <w:trPr>
          <w:trHeight w:val="144"/>
        </w:trPr>
        <w:tc>
          <w:tcPr>
            <w:tcW w:w="840" w:type="dxa"/>
            <w:vAlign w:val="bottom"/>
            <w:shd w:val="clear" w:color="auto" w:fill="CCECFF"/>
          </w:tcPr>
          <w:p>
            <w:pPr>
              <w:spacing w:after="0"/>
              <w:rPr>
                <w:sz w:val="12"/>
                <w:szCs w:val="12"/>
                <w:color w:val="auto"/>
              </w:rPr>
            </w:pPr>
          </w:p>
        </w:tc>
        <w:tc>
          <w:tcPr>
            <w:tcW w:w="436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29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940" w:type="dxa"/>
            <w:vAlign w:val="bottom"/>
            <w:shd w:val="clear" w:color="auto" w:fill="CCECFF"/>
          </w:tcPr>
          <w:p>
            <w:pPr>
              <w:spacing w:after="0"/>
              <w:rPr>
                <w:sz w:val="12"/>
                <w:szCs w:val="12"/>
                <w:color w:val="auto"/>
              </w:rPr>
            </w:pPr>
          </w:p>
        </w:tc>
      </w:tr>
      <w:tr>
        <w:trPr>
          <w:trHeight w:val="144"/>
        </w:trPr>
        <w:tc>
          <w:tcPr>
            <w:tcW w:w="8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tcPr>
          <w:p>
            <w:pPr>
              <w:spacing w:after="0"/>
              <w:rPr>
                <w:sz w:val="12"/>
                <w:szCs w:val="12"/>
                <w:color w:val="auto"/>
              </w:rPr>
            </w:pP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 xml:space="preserve">Other Directors and Executive Officers: </w:t>
            </w:r>
            <w:r>
              <w:rPr>
                <w:rFonts w:ascii="Times New Roman" w:cs="Times New Roman" w:eastAsia="Times New Roman" w:hAnsi="Times New Roman"/>
                <w:sz w:val="12"/>
                <w:szCs w:val="12"/>
                <w:color w:val="auto"/>
              </w:rPr>
              <w:t>(4)</w:t>
            </w: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Gross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42,759</w:t>
            </w:r>
          </w:p>
        </w:tc>
        <w:tc>
          <w:tcPr>
            <w:tcW w:w="100" w:type="dxa"/>
            <w:vAlign w:val="bottom"/>
          </w:tcPr>
          <w:p>
            <w:pPr>
              <w:spacing w:after="0"/>
              <w:rPr>
                <w:sz w:val="12"/>
                <w:szCs w:val="12"/>
                <w:color w:val="auto"/>
              </w:rPr>
            </w:pPr>
          </w:p>
        </w:tc>
        <w:tc>
          <w:tcPr>
            <w:tcW w:w="2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5"/>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Wils</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5,129</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5"/>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Menno van Lacum</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23,608</w:t>
            </w:r>
          </w:p>
        </w:tc>
        <w:tc>
          <w:tcPr>
            <w:tcW w:w="100" w:type="dxa"/>
            <w:vAlign w:val="bottom"/>
          </w:tcPr>
          <w:p>
            <w:pPr>
              <w:spacing w:after="0"/>
              <w:rPr>
                <w:sz w:val="12"/>
                <w:szCs w:val="12"/>
                <w:color w:val="auto"/>
              </w:rPr>
            </w:pPr>
          </w:p>
        </w:tc>
        <w:tc>
          <w:tcPr>
            <w:tcW w:w="2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5"/>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Alain Pitner</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6"/>
              </w:rPr>
              <w:t>15,817</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5"/>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Michael Chalkias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15,817</w:t>
            </w:r>
          </w:p>
        </w:tc>
        <w:tc>
          <w:tcPr>
            <w:tcW w:w="100" w:type="dxa"/>
            <w:vAlign w:val="bottom"/>
          </w:tcPr>
          <w:p>
            <w:pPr>
              <w:spacing w:after="0"/>
              <w:rPr>
                <w:sz w:val="12"/>
                <w:szCs w:val="12"/>
                <w:color w:val="auto"/>
              </w:rPr>
            </w:pPr>
          </w:p>
        </w:tc>
        <w:tc>
          <w:tcPr>
            <w:tcW w:w="2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5"/>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Rami Neugeborn</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5,597</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5"/>
              </w:rPr>
              <w:t>0.0%</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Ulrike Helfer</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11,349</w:t>
            </w:r>
          </w:p>
        </w:tc>
        <w:tc>
          <w:tcPr>
            <w:tcW w:w="100" w:type="dxa"/>
            <w:vAlign w:val="bottom"/>
          </w:tcPr>
          <w:p>
            <w:pPr>
              <w:spacing w:after="0"/>
              <w:rPr>
                <w:sz w:val="12"/>
                <w:szCs w:val="12"/>
                <w:color w:val="auto"/>
              </w:rPr>
            </w:pPr>
          </w:p>
        </w:tc>
        <w:tc>
          <w:tcPr>
            <w:tcW w:w="2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5"/>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Ian J. Webber</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6"/>
              </w:rPr>
              <w:t>77,125</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5"/>
              </w:rPr>
              <w:t>0.2%</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Thomas A. Lister</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w w:val="96"/>
              </w:rPr>
              <w:t>30,723</w:t>
            </w:r>
          </w:p>
        </w:tc>
        <w:tc>
          <w:tcPr>
            <w:tcW w:w="100" w:type="dxa"/>
            <w:vAlign w:val="bottom"/>
          </w:tcPr>
          <w:p>
            <w:pPr>
              <w:spacing w:after="0"/>
              <w:rPr>
                <w:sz w:val="12"/>
                <w:szCs w:val="12"/>
                <w:color w:val="auto"/>
              </w:rPr>
            </w:pPr>
          </w:p>
        </w:tc>
        <w:tc>
          <w:tcPr>
            <w:tcW w:w="2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5"/>
              </w:rPr>
              <w:t>0.1%</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Anastasios Psaropoulos</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rPr>
              <w:t>105,275</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5"/>
              </w:rPr>
              <w:t>0.3%</w:t>
            </w:r>
          </w:p>
        </w:tc>
      </w:tr>
      <w:tr>
        <w:trPr>
          <w:trHeight w:val="144"/>
        </w:trPr>
        <w:tc>
          <w:tcPr>
            <w:tcW w:w="532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George Giannopoulos</w:t>
            </w:r>
          </w:p>
        </w:tc>
        <w:tc>
          <w:tcPr>
            <w:tcW w:w="2940" w:type="dxa"/>
            <w:vAlign w:val="bottom"/>
          </w:tcPr>
          <w:p>
            <w:pPr>
              <w:jc w:val="center"/>
              <w:ind w:right="80"/>
              <w:spacing w:after="0"/>
              <w:rPr>
                <w:sz w:val="20"/>
                <w:szCs w:val="20"/>
                <w:color w:val="auto"/>
              </w:rPr>
            </w:pPr>
            <w:r>
              <w:rPr>
                <w:rFonts w:ascii="Times New Roman" w:cs="Times New Roman" w:eastAsia="Times New Roman" w:hAnsi="Times New Roman"/>
                <w:sz w:val="12"/>
                <w:szCs w:val="12"/>
                <w:color w:val="auto"/>
              </w:rPr>
              <w:t>7,692</w:t>
            </w:r>
          </w:p>
        </w:tc>
        <w:tc>
          <w:tcPr>
            <w:tcW w:w="100" w:type="dxa"/>
            <w:vAlign w:val="bottom"/>
          </w:tcPr>
          <w:p>
            <w:pPr>
              <w:spacing w:after="0"/>
              <w:rPr>
                <w:sz w:val="12"/>
                <w:szCs w:val="12"/>
                <w:color w:val="auto"/>
              </w:rPr>
            </w:pPr>
          </w:p>
        </w:tc>
        <w:tc>
          <w:tcPr>
            <w:tcW w:w="294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5"/>
              </w:rPr>
              <w:t>0.0%</w:t>
            </w:r>
          </w:p>
        </w:tc>
      </w:tr>
      <w:tr>
        <w:trPr>
          <w:trHeight w:val="144"/>
        </w:trPr>
        <w:tc>
          <w:tcPr>
            <w:tcW w:w="5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2"/>
                <w:szCs w:val="12"/>
                <w:color w:val="auto"/>
              </w:rPr>
              <w:t>All directors and executive officers as a group (12 individuals) (4)</w:t>
            </w:r>
          </w:p>
        </w:tc>
        <w:tc>
          <w:tcPr>
            <w:tcW w:w="2940" w:type="dxa"/>
            <w:vAlign w:val="bottom"/>
            <w:shd w:val="clear" w:color="auto" w:fill="CCEEFF"/>
          </w:tcPr>
          <w:p>
            <w:pPr>
              <w:jc w:val="center"/>
              <w:ind w:right="80"/>
              <w:spacing w:after="0"/>
              <w:rPr>
                <w:sz w:val="20"/>
                <w:szCs w:val="20"/>
                <w:color w:val="auto"/>
              </w:rPr>
            </w:pPr>
            <w:r>
              <w:rPr>
                <w:rFonts w:ascii="Times New Roman" w:cs="Times New Roman" w:eastAsia="Times New Roman" w:hAnsi="Times New Roman"/>
                <w:sz w:val="12"/>
                <w:szCs w:val="12"/>
                <w:color w:val="auto"/>
                <w:w w:val="99"/>
              </w:rPr>
              <w:t>3,189,291</w:t>
            </w:r>
          </w:p>
        </w:tc>
        <w:tc>
          <w:tcPr>
            <w:tcW w:w="100" w:type="dxa"/>
            <w:vAlign w:val="bottom"/>
            <w:shd w:val="clear" w:color="auto" w:fill="CCEEFF"/>
          </w:tcPr>
          <w:p>
            <w:pPr>
              <w:spacing w:after="0"/>
              <w:rPr>
                <w:sz w:val="12"/>
                <w:szCs w:val="12"/>
                <w:color w:val="auto"/>
              </w:rPr>
            </w:pPr>
          </w:p>
        </w:tc>
        <w:tc>
          <w:tcPr>
            <w:tcW w:w="294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5"/>
              </w:rPr>
              <w:t>8.9%</w:t>
            </w:r>
          </w:p>
        </w:tc>
      </w:tr>
    </w:tbl>
    <w:p>
      <w:pPr>
        <w:spacing w:after="0" w:line="295" w:lineRule="exact"/>
        <w:rPr>
          <w:sz w:val="20"/>
          <w:szCs w:val="20"/>
          <w:color w:val="auto"/>
        </w:rPr>
      </w:pPr>
    </w:p>
    <w:p>
      <w:pPr>
        <w:ind w:left="340" w:hanging="276"/>
        <w:spacing w:after="0"/>
        <w:tabs>
          <w:tab w:leader="none" w:pos="340" w:val="left"/>
        </w:tabs>
        <w:numPr>
          <w:ilvl w:val="1"/>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Calculated based on 35,918,244 Class A common shares outstanding as of the date of this Annual Report.</w:t>
      </w:r>
    </w:p>
    <w:p>
      <w:pPr>
        <w:spacing w:after="0" w:line="9" w:lineRule="exact"/>
        <w:rPr>
          <w:rFonts w:ascii="Times New Roman" w:cs="Times New Roman" w:eastAsia="Times New Roman" w:hAnsi="Times New Roman"/>
          <w:sz w:val="12"/>
          <w:szCs w:val="12"/>
          <w:color w:val="auto"/>
        </w:rPr>
      </w:pPr>
    </w:p>
    <w:p>
      <w:pPr>
        <w:ind w:left="300" w:hanging="272"/>
        <w:spacing w:after="0" w:line="226" w:lineRule="auto"/>
        <w:tabs>
          <w:tab w:leader="none" w:pos="3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Giouroukos, who serves as our Executive Chairman, owns and controls Shipping Participations Inc. which is the record holder of 2,802,824 Class A common shares. As a result, Mr. Giouroukos may be deemed to beneficially own the shares held by Shipping Participations Inc.</w:t>
      </w:r>
    </w:p>
    <w:p>
      <w:pPr>
        <w:spacing w:after="0" w:line="1" w:lineRule="exact"/>
        <w:rPr>
          <w:rFonts w:ascii="Times New Roman" w:cs="Times New Roman" w:eastAsia="Times New Roman" w:hAnsi="Times New Roman"/>
          <w:sz w:val="12"/>
          <w:szCs w:val="12"/>
          <w:color w:val="auto"/>
        </w:rPr>
      </w:pPr>
    </w:p>
    <w:p>
      <w:pPr>
        <w:ind w:left="300" w:hanging="272"/>
        <w:spacing w:after="0"/>
        <w:tabs>
          <w:tab w:leader="none" w:pos="3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information is derived from a Schedule 13G filed with the SEC on February 12, 2026.</w:t>
      </w:r>
    </w:p>
    <w:p>
      <w:pPr>
        <w:spacing w:after="0" w:line="4" w:lineRule="exact"/>
        <w:rPr>
          <w:rFonts w:ascii="Times New Roman" w:cs="Times New Roman" w:eastAsia="Times New Roman" w:hAnsi="Times New Roman"/>
          <w:sz w:val="12"/>
          <w:szCs w:val="12"/>
          <w:color w:val="auto"/>
        </w:rPr>
      </w:pPr>
    </w:p>
    <w:p>
      <w:pPr>
        <w:jc w:val="both"/>
        <w:ind w:left="300" w:hanging="272"/>
        <w:spacing w:after="0" w:line="224" w:lineRule="auto"/>
        <w:tabs>
          <w:tab w:leader="none" w:pos="30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shares of Class A common shares beneficially owned by a person and the percentage ownership of that person (calculated based on 35,918,244 Class A common shares outstanding), includes Class A common shares under stock-based awards held by that person that are vested as of March 12, 2026 or that will become vested within 60 days after March 12, 2026 and which are described above under the heading “Item 6. Directors, Senior Management and Employees-B. Compensation-2019 Omnibus Incentive Plan.”</w:t>
      </w:r>
    </w:p>
    <w:p>
      <w:pPr>
        <w:spacing w:after="0" w:line="89"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As of March 12, 2026, we had 14 registered shareholders of record, two of which were located in the United States holding an aggregate of 35,138,815 million of our Class A common shares, representing 97.5% of our outstanding common shares. However, one of the U.S. shareholders of record is Cede &amp; Co., a nominee of The Depository Trust Company, which held 35,138,528 of our Class A common shares as of March 12, 2026, representing 97.4% of our outstanding shares. We believe that the shares held by Cede &amp; Co. include common shares beneficially owned by both holders in the United States and non-U.S. beneficial owners.</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We are not aware of any arrangements the operation of which may at a subsequent date result in our change of control.</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Related Party Transactions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At the time of the Marathon Merger, we entered into a registration rights agreement with CMA CGM, Marathon Investors, LLC, Marathon Founders, LLC and the other initial shareholders of Marathon common stock (including Michael S. Gross), pursuant to which we agreed to register for resale on a registration statement under the Securities Act and applicable state securities laws, the common shares issued to such shareholders pursuant to the Marathon Merger or upon exercise of warrants (the “Marathon Registration Rights Agreement”).</w:t>
      </w:r>
    </w:p>
    <w:p>
      <w:pPr>
        <w:spacing w:after="0" w:line="106"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On October 29, 2018, we entered into an Amended and Restated Registration Rights Agreement (the “Amended and Restated Registration Rights Agreement”), which amended and restated the Marathon Registration Rights Agreement, with KEP VI, KIA VIII, CMA CGM, Management Investor Co., Anmani Consulting Inc., Marathon Founders, LLC, Michael S. Gross, and Maas Capital Investments B.V. with respect to all Class A common shares (and the Series C Preferred Shares at that time) held by such shareholders on the closing date of the Poseidon Transaction, including any Class A common shares issued on conversion of the Series C Preferred Shares (the “Registrable Securities”). The Amended and Restated Registration Rights Agreement became effective on the closing of the Poseidon Transaction. Pursuant to the Amended and Restated Registration Rights Agreement, we filed with the SEC a shelf registration statement to register the offer and resale of all of the Registrable Securities. The Amended and Restated Registration Rights Agreement also provides certain piggyback and demand registration rights to the holders of Registrable Securities and contains customary indemnification and other provisions. Based on information provided to us by Kelso, KEP VI, and KIA VIII no longer hold Registrable Securities. Based on a Schedule 13D/A filed by CMA CGM with the SEC on September 7, 2022, CMA CGM no longer holds any Registerable Securities.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Non-Compete Agreement</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On October 29, 2018, we entered into a Non-Compete Agreement (the “Original Non-Compete Agreement”) with Mr. George Giouroukos and Conchart reflecting, among other things, the provisions described below. The Non-Compete Agreement became effective on the closing of the Poseidon Transaction. On March 12, 2025, we entered into a First Amended and Restated Non-Compete Agreement with Mr. George Giouroukos and Conchart amending the Original Non-Compete Agreement.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Restricted Business</w:t>
      </w:r>
    </w:p>
    <w:p>
      <w:pPr>
        <w:spacing w:after="0" w:line="145"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For so long as Mr. Giouroukos is our Executive Chairman, Mr. Giouroukos and any entity which he controls will agree not to acquire, own, or operate containerships. However, under certain exceptions, Mr. Giouroukos, and any entity which he controls, may compete with us, which could affect our business. Specifically, Mr. Giouroukos, and any entity which he controls, will not be prevented from:</w:t>
      </w:r>
    </w:p>
    <w:p>
      <w:pPr>
        <w:spacing w:after="0" w:line="120" w:lineRule="exact"/>
        <w:rPr>
          <w:sz w:val="20"/>
          <w:szCs w:val="20"/>
          <w:color w:val="auto"/>
        </w:rPr>
      </w:pPr>
    </w:p>
    <w:p>
      <w:pPr>
        <w:ind w:left="340" w:hanging="249"/>
        <w:spacing w:after="0"/>
        <w:tabs>
          <w:tab w:leader="none" w:pos="340" w:val="left"/>
        </w:tabs>
        <w:numPr>
          <w:ilvl w:val="1"/>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vessels other than containerships;</w:t>
      </w:r>
    </w:p>
    <w:p>
      <w:pPr>
        <w:spacing w:after="0" w:line="150" w:lineRule="exact"/>
        <w:rPr>
          <w:rFonts w:ascii="Times New Roman" w:cs="Times New Roman" w:eastAsia="Times New Roman" w:hAnsi="Times New Roman"/>
          <w:sz w:val="12"/>
          <w:szCs w:val="12"/>
          <w:color w:val="auto"/>
        </w:rPr>
      </w:pPr>
    </w:p>
    <w:p>
      <w:pPr>
        <w:ind w:left="280" w:right="200" w:hanging="252"/>
        <w:spacing w:after="0" w:line="264" w:lineRule="auto"/>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or owning one or more containerships (or an interest in one or more containerships) if we decide not to exercise our right of first refusal to acquire such containership (or interest in such containership), in accordance with the terms of the Non-Compete Agreement described below under “Right of First Refusal”;</w:t>
      </w:r>
    </w:p>
    <w:p>
      <w:pPr>
        <w:spacing w:after="0" w:line="101" w:lineRule="exact"/>
        <w:rPr>
          <w:rFonts w:ascii="Times New Roman" w:cs="Times New Roman" w:eastAsia="Times New Roman" w:hAnsi="Times New Roman"/>
          <w:sz w:val="12"/>
          <w:szCs w:val="12"/>
          <w:color w:val="auto"/>
        </w:rPr>
      </w:pPr>
    </w:p>
    <w:p>
      <w:pPr>
        <w:jc w:val="both"/>
        <w:ind w:left="280" w:hanging="252"/>
        <w:spacing w:after="0" w:line="227" w:lineRule="auto"/>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one or more containerships as part of the acquisition of a controlling interest in a business or package of assets that owns, operates, or charters such containerships; provided, however, that Mr. Giouroukos, and any entity which he controls must offer to sell such containership(s) to us at their fair market value plus any additional tax or other similar costs that Mr. Giouroukos, and any entity which he controls, incurs in connection with the acquisition and the transfer of such containership to us separate from the acquired business, if a majority of the value of the business or the package of assets acquired is attributable to containerships, unless the acquisition of such controlling interest was otherwise permitted;</w:t>
      </w:r>
    </w:p>
    <w:p>
      <w:pPr>
        <w:spacing w:after="0" w:line="125" w:lineRule="exact"/>
        <w:rPr>
          <w:rFonts w:ascii="Times New Roman" w:cs="Times New Roman" w:eastAsia="Times New Roman" w:hAnsi="Times New Roman"/>
          <w:sz w:val="12"/>
          <w:szCs w:val="12"/>
          <w:color w:val="auto"/>
        </w:rPr>
      </w:pPr>
    </w:p>
    <w:p>
      <w:pPr>
        <w:ind w:left="280" w:hanging="252"/>
        <w:spacing w:after="0"/>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vessel management services relating to containerships, or other vessel types, including technical and commercial management, warehouse transactions for financial institutions and pool management;</w:t>
      </w:r>
    </w:p>
    <w:p>
      <w:pPr>
        <w:spacing w:after="0" w:line="150" w:lineRule="exact"/>
        <w:rPr>
          <w:rFonts w:ascii="Times New Roman" w:cs="Times New Roman" w:eastAsia="Times New Roman" w:hAnsi="Times New Roman"/>
          <w:sz w:val="12"/>
          <w:szCs w:val="12"/>
          <w:color w:val="auto"/>
        </w:rPr>
      </w:pPr>
    </w:p>
    <w:p>
      <w:pPr>
        <w:ind w:left="280" w:hanging="252"/>
        <w:spacing w:after="0" w:line="279" w:lineRule="auto"/>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Mr. Giouroukos, and any entity which he controls, owned or operated or had a contractual arrangement with respect to as of the closing date of the Plan of Merger by and among Poseidon Containers Holdings LLC, K&amp;T Marine LLC, us, and other parties;</w:t>
      </w:r>
    </w:p>
    <w:p>
      <w:pPr>
        <w:spacing w:after="0" w:line="111" w:lineRule="exact"/>
        <w:rPr>
          <w:rFonts w:ascii="Times New Roman" w:cs="Times New Roman" w:eastAsia="Times New Roman" w:hAnsi="Times New Roman"/>
          <w:sz w:val="12"/>
          <w:szCs w:val="12"/>
          <w:color w:val="auto"/>
        </w:rPr>
      </w:pPr>
    </w:p>
    <w:p>
      <w:pPr>
        <w:jc w:val="both"/>
        <w:ind w:left="280" w:hanging="252"/>
        <w:spacing w:after="0" w:line="265" w:lineRule="auto"/>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Transferring to Mr. Giouroukos or any entity which he controls, title to a vessel that Mr. Giouroukos or such entity that he controls or any third party is entitled to acquire, own, and operate under the Non-Compete Agreement, pursuant to or in connection with the termination of a financing arrangement, including by way of a sale and leaseback or similar transaction, which is accounted for under United States generally accepted accounting principles as a financial lease;</w:t>
      </w:r>
    </w:p>
    <w:p>
      <w:pPr>
        <w:spacing w:after="0" w:line="118" w:lineRule="exact"/>
        <w:rPr>
          <w:rFonts w:ascii="Times New Roman" w:cs="Times New Roman" w:eastAsia="Times New Roman" w:hAnsi="Times New Roman"/>
          <w:sz w:val="12"/>
          <w:szCs w:val="12"/>
          <w:color w:val="auto"/>
        </w:rPr>
      </w:pPr>
    </w:p>
    <w:p>
      <w:pPr>
        <w:ind w:left="280" w:right="20" w:hanging="252"/>
        <w:spacing w:after="0" w:line="279" w:lineRule="auto"/>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Acquiring, owning, operating, or chartering any containership that is subject to an offer to purchase as described in paragraphs (2) and (3) above, in each case pending the offer of such containership to us and our determination whether to purchase the containership and, if so, pending the closing of such purchase; and</w:t>
      </w:r>
    </w:p>
    <w:p>
      <w:pPr>
        <w:spacing w:after="0" w:line="111" w:lineRule="exact"/>
        <w:rPr>
          <w:rFonts w:ascii="Times New Roman" w:cs="Times New Roman" w:eastAsia="Times New Roman" w:hAnsi="Times New Roman"/>
          <w:sz w:val="12"/>
          <w:szCs w:val="12"/>
          <w:color w:val="auto"/>
        </w:rPr>
      </w:pPr>
    </w:p>
    <w:p>
      <w:pPr>
        <w:ind w:left="280" w:hanging="252"/>
        <w:spacing w:after="0" w:line="279" w:lineRule="auto"/>
        <w:tabs>
          <w:tab w:leader="none" w:pos="280" w:val="left"/>
        </w:tabs>
        <w:numPr>
          <w:ilvl w:val="0"/>
          <w:numId w:val="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Increasing ownership interest of Mr. Giouroukos in a containership that was previously subject to an offer to purchase by us as described in paragraphs (2) or (3) above, that, in each case, our Board of Directors previously elected not to cause us to purchase.</w:t>
      </w:r>
    </w:p>
    <w:p>
      <w:pPr>
        <w:spacing w:after="0" w:line="102"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Further to the above, notwithstanding this agreement, Mr. Giouroukos, and any entity which he controls, may claim business opportunities that would benefit us, and this could have an adverse effect on our business, results of operations, cash flows, financial condition, and ability to pay dividends.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Refusal</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Mr. Giouroukos, and any entity he controls, will also agree to grant us a right of first refusal to acquire any containership, after Mr. Giouroukos, or an entity controlled by him, enters into an agreement that sets forth terms upon which he or it would acquire such containership. Mr. Giouroukos, or such entity controlled by him, shall notify us within 30 days of any agreement that he, or his controlled entity, has entered into to purchase a containership and will provide a period of seven calendar days in respect of a single vessel transaction, or a period of 14 calendar days in respect of a multi-vessel transaction, from the date that he delivers such notice to us of said opportunity, within which to decide whether or not to accept the opportunity and nominate a subsidiary of ours to become the purchaser of such containership, before Mr. Giouroukos, or any entity he controls, will accept the opportunity or offer it to any of his other affiliates or entities controlled by him. The opportunity offered to us will be on no less favorable terms than those offered to Mr. Giouroukos, or entity controlled by him. The approval of our conflicts committee which is comprised of independent directors will be required to accept or reject this offer.</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Upon a change of control of us, these rights of first refusal will terminate immediately. In addition, at such time that Mr. Giouroukos ceases to serve as our Executive Chairman, these rights of first refusal as applicable to Mr.</w:t>
      </w:r>
    </w:p>
    <w:p>
      <w:pPr>
        <w:spacing w:after="0"/>
        <w:rPr>
          <w:sz w:val="20"/>
          <w:szCs w:val="20"/>
          <w:color w:val="auto"/>
        </w:rPr>
      </w:pPr>
      <w:r>
        <w:rPr>
          <w:rFonts w:ascii="Times New Roman" w:cs="Times New Roman" w:eastAsia="Times New Roman" w:hAnsi="Times New Roman"/>
          <w:sz w:val="12"/>
          <w:szCs w:val="12"/>
          <w:color w:val="auto"/>
        </w:rPr>
        <w:t>Giouroukos will terminate immediately.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Right of First Offer on Containerships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Mr. Giouroukos will also agree to grant a right of first offer to us for any containership he, or any entity controlled by him, owns or acquires, upon any proposed sale, transfer, or other disposition.</w:t>
      </w:r>
    </w:p>
    <w:p>
      <w:pPr>
        <w:spacing w:after="0" w:line="114"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Prior to entering into any transaction regarding any containership’s disposition with a non-affiliated third party, Mr. Giouroukos, or such entity controlled by him, will deliver a written notice to us setting forth the material terms and conditions of the proposed transaction. During the 14-day period after the delivery of such notice, and at our election we (through our conflicts committee) and Mr. Giouroukos, or such entity controlled by him, will negotiate in good faith to reach an agreement on the transaction, which shall be approved by our conflicts committee which is comprised of independent directors. If we do not reach an agreement within such 14-day period, Mr. Giouroukos, or such entity controlled by him, as the case may be, will be able within the next 180 calendar days to sell, transfer, dispose, or re-contract the containership to a third party (or to agree in writing to undertake such transaction with a third party) on terms generally no less favorable than those offered pursuant to the written notice. If, however, after receipt of the notice, we elect not to exercise our right of first offer with respect to the transfer of a containership, then the procedures shall not be required with respect any future proposed transfer of such containership occurring on substantially similar terms and conditions as set forth in such notice.</w:t>
      </w:r>
    </w:p>
    <w:p>
      <w:pPr>
        <w:spacing w:after="0" w:line="10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Upon a change of control of us, these rights of first offer will terminate immediately. In addition, at such time that Mr. Giouroukos ceases to serve as our Executive Chairman, these rights of first offer as applicable to Mr.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Giouroukos will terminate immediately.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Chartering Opportunities</w:t>
      </w:r>
    </w:p>
    <w:p>
      <w:pPr>
        <w:spacing w:after="0" w:line="145"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If Conchart, or any entity it controls, acquires knowledge of a potential opportunity to enter into a potential charter with or without profit sharing for a particular containership that it believes in good faith would be suitable for our vessels, which we refer to as a “Potential Charter Opportunity,” then Conchart, or such entity that it controls, would be obliged to offer such Potential Charter Opportunity to us and, for a period of up to two business days, we shall have the right to elect to pursue such Potential Charter Opportunity for ourselves or allow Conchart to direct such Potential Charter Opportunity to itself or another person or entity. In determining suitability of a Potential Charter Opportunity, Conchart shall take into consideration certain factors, such as the availability, suitability, and positioning of the relevant vessel, the potential charterer’s demands for the vessel’s specifications and costs. In the event we do not elect to accept the Potential Charter Opportunity, Conchart shall be free to pursue such Potential Charter Opportunity or direct it to another person or entity for a period of 15 calendar days on the same terms and conditions as presented to us.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Ship Management Agreements</w:t>
      </w:r>
    </w:p>
    <w:p>
      <w:pPr>
        <w:spacing w:after="0" w:line="145"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Technomar provides us with all day-to-day technical ship management services, pursuant to the TTMA for all of the vessels in our fleet. Each TTMA was amended and restated in March 2024 (with effect from January 1, 2024) to expand Technomar’s responsibilities in view of EU ETS requirements, again amended and restated in March 2025 (with effect from January 1, 2025) to expand Technomar’s responsibilities in view of FEUM requirements, as detailed below, and again amended and restated in February 2026 (with effect from January 1, 2026) to clarify the applicability of fees with respect to such EU ETS and FEUM services.</w:t>
      </w:r>
    </w:p>
    <w:p>
      <w:pPr>
        <w:spacing w:after="0" w:line="9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Mr. George Giouroukos, our Executive Chairman, is the Founder, Managing Director, and majority beneficial owner of Technomar. Technical management services provided under each TTMA include crewing, purchasing stores, lubricating oils, and spare parts, paying wages, pensions and insurance for the crew, and organizing other vessel operating necessities, including monitoring and reporting with respect to EU ETS requirements (including related Emission Trading Scheme Allowances) and FEUM compliance, and the arrangement and management of drydocking. We pay Technomar a daily management fee of EUR 850 from January 1, 2026, compared to EUR 820 for 2025, per vessel, payable in monthly instalments in advance in U.S. dollars, which, in addition to covering the technical ship management services being provided, includes administrative support services, including accounting and financial reporting, treasury management services and legal services also being provided pursuant to the TTMAs. We also reimburse the Technomar for the costs it incurs on our behalf, and provide customary indemnification to Technomar and its employees, agents and sub-contractors. We also pay Technomar a fee of EUR 7,500, per annum per vessel, pro rata, for the provision of additional services relating to our compliance with (i) EU ETS requirements, effective January 1, 2024, and (ii) FEUM requirements, effective January 1, 2026, such services including, among others, gathering and monitoring emissions data, calculating emissions allowances, reporting verified emissions data to the relevant authorities, and managing and monitoring EU ETS trading accounts on our behalf. The fee covering EU ETS and FEUM services is subject to a good faith re-appraisal as market standards evolve.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Each TTMA has a minimum term of twenty-four months after the later to occur of the expiry of the charter for the applicable vessel or the credit facility (or other debt agreement) for which the applicable vessel serves as collateral, unless terminated earlier in accordance with the provisions of the TTMA. Each TTMA may be terminated (a) by either party by giving six months’ written notice, in which case, if such notice is given at or prior to the termination of the minimum term, a termination payment of fifty percent of the annual fee is payable by us if the TTMA is terminated by Technomar and a termination payment of seven times the annual fee is payable by us if the TTMA is terminated by us, or (b) following the expiry of the minimum term, by either party by giving six months’ written notice to the other party, in which case, a termination payment of fifty percent of the annual fee is payable by us if the TTMA is terminated by Technomar and a termination payment of six times the annual fee is payable by us if the TTMA is terminated by us. In the event of the sale or total loss of the applicable vessel, a payment equal to one quarter of the annual management fee will apply, provided that the sale is not part of a change in control. If the TTMA is terminated as a result of a change of control in us, as provided in the TTMA, then a termination payment of seven times the annual fee will apply. The TTMA may also be terminated (i) by us, upon a change of control of Technomar, (ii) automatically on the insolvency of either party, (iii) by one party upon the breach by the other party of the TTMA, among other reasons, and may result in a termination payment as provided therein. We expect that additional vessels that we may acquire in the future will also be managed under a TTMA on substantially similar terms.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management fees paid by us to Technomar for the year ended December 31, 2025 amounted to $23.8 million. The management fees paid by us to Technomar for the year ended December 31, 2024 amounted to $21.8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 ended December 31, 2023 management fees paid by us to Technomar amounted to $19.1 million. GSL has guaranteed certain of the financial obligations of its subsidiaries under each applicable TMA.</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Six vessels, which were purchased by us in July 2021, were previously managed by another third-party ship manager with those management agreements having been terminated between May and July 2023 (the “Third-Party Managed Vessels”). Each of our vessel-owning subsidiaries for the Third-Party Managed Vessels entered into a Supervision Agreement with Technomar, pursuant to which Technomar supervised the third-party manager. Technomar also undertook the provision of Technical, Drydock, Insurance, Freight and Claims Handling Services as well as accounting, administrative, and support services. Pursuant to the Supervision Agreements, we paid a supervision fee of $157.50 per day (effective from January 1, 2023) per vessel ($150.00 prior to January 1, 2023). The Supervision Agreements terminated when the underlying management agreement terminated between May and July 2023.</w:t>
      </w:r>
    </w:p>
    <w:p>
      <w:pPr>
        <w:spacing w:after="0" w:line="107"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Conchart provides commercial management services to us on all of our vessels pursuant to the CCMA. Mr. George Giouroukos, our Executive Chairman, is the sole beneficial owner of Conchart. Under the commercial management agreements, Conchart is responsible for (i) marketing of our vessels, (ii) seeking and negotiating employment of our vessels, (iii) advising us on market developments, and on the development of new rules and regulations with respect to trading and cargo restrictions, (iv) assisting in the calculation of hires, and the collection of any sums related to the operation of vessels, (v) communicating with agents, and (vi) negotiating memoranda of agreement for the sale of the vessels. No commission is payable on any charter of a vessel in our fleet to CMA CGM in place as of November 15, 2018, if applicable. However, commission is payable to the managers for any extension of such charters after March 31, 2021. We have agreed to pay Conchart a commission of 1.25% on all monies earned under each charter fixture. Further, we have agreed to pay to the commercial manager, who shall be named broker in each memorandum of agreement (or equivalent agreement) providing for the sale of all vessels and purchase of some vessels, a commission of 1.00% based on the sale and purchase price for any sale and purchase of a vessel, which shall be payable upon request of the commercial manager.</w:t>
      </w:r>
    </w:p>
    <w:p>
      <w:pPr>
        <w:spacing w:after="0" w:line="1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The CCMA, with respect to a vessel, has a minimum term of twenty-four months after the later to occur of the expiry of the charter for the vessel or the credit facility (or other debt agreement) for which the vessel serves as collateral, unless terminated earlier in accordance with the provisions of the CCMA. The CCMA, with respect to a vessel, may be terminated (a) by either party by giving six months’ written notice, in which case, if such notice is given at or prior to the termination of the minimum term, a termination payment is payable by us of six times the average monthly commission paid by us to Conchart (or which has accrued) in the previous six month period if the agreement is terminated by Conchart, and a termination payment is payable by us equal to thirty-six times the average monthly commission paid by us (or which has accrued) to Conchart in the previous twelve months if the CCMA is terminated by us, or (b) following the expiry of the minimum term, by either party giving six months’ written notice to the other party, in which case a termination payment is payable by us of six times the average monthly commission paid by us to Conchart (or which has accrued) in the previous six month period if the CCMA is terminated by Conchart, and a termination payment is payable by us of twelve times the average monthly commission paid by us (or which has accrued) to Conchart in the previous twelve months if the CCMA is terminated by us.</w:t>
      </w:r>
    </w:p>
    <w:p>
      <w:pPr>
        <w:spacing w:after="0" w:line="99"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the CCMA is terminated as a result of a change of control in us, as provided in each CCMA, then a termination payment of thirty-six times the average monthly commission paid by us with respect to such vessel (or which has accrued) to Conchart in the previous twelve months period will apply. The CCMA may also be terminated (i) by us, upon a change of control of Conchart, (ii) automatically on the insolvency of either party, (iii) by one party upon the breach by the other party of the CCMA, among other reasons as set forth in the CCMA, and may result in a termination payment as provided therein. We expect that additional vessels that we may acquire in the future will also be managed under a CCMA on substantially similar terms.</w:t>
      </w:r>
    </w:p>
    <w:p>
      <w:pPr>
        <w:spacing w:after="0" w:line="9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fees charged by us to Conchart for the year ended December 31, 2025 amounted to $8.7 million. For the year ended December 31, 2024, fees charged to Conchart amounted to $8.6 million.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additional information on our related party transactions, please see the notes to our consolidated financial statements included herein.</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Interests of Experts and Counsel</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8.</w:t>
      </w:r>
      <w:r>
        <w:rPr>
          <w:sz w:val="20"/>
          <w:szCs w:val="20"/>
          <w:color w:val="auto"/>
        </w:rPr>
        <w:tab/>
      </w:r>
      <w:r>
        <w:rPr>
          <w:rFonts w:ascii="Times New Roman" w:cs="Times New Roman" w:eastAsia="Times New Roman" w:hAnsi="Times New Roman"/>
          <w:sz w:val="12"/>
          <w:szCs w:val="12"/>
          <w:b w:val="1"/>
          <w:bCs w:val="1"/>
          <w:color w:val="auto"/>
        </w:rPr>
        <w:t>Financial Information</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Consolidated Statements and Other Financial Information</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18. Financial Statements” below.</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Legal Proceedings</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have not been involved in any legal proceedings that may have, or have had a significant effect on our business, financial position, results of operations, or liquidity, and we are not aware of any proceedings that are pending or threatened that may have a material adverse effect on our business, financial position, results of operations, or liquidity. From time to time, we may be subject to legal proceedings and claims in the ordinary course of business, principally personal injury and property casualty claims associated with operating containerships. We expect that these claims would be covered by insurance, subject to customary deductibles. Claims, even if lacking merit, could result in the expenditure of significant financial and managerial resources.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 Policy</w:t>
      </w:r>
    </w:p>
    <w:p>
      <w:pPr>
        <w:spacing w:after="0" w:line="127"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January 12, 2021, we announced that our Board of Directors had initiated a dividend policy under which we intended to pay shareholders a regular quarterly cash dividend of $0.12 per Class A common share with effect from the first quarter of 2021. We paid dividends of $0.25 per Class A common share for the first, second, third, and fourth quarter of 2021 and we announced on November 22, 2021 that from first quarter of 2022 the dividend will increase by 50% to $0.375 per Class A common share per quarter. We paid dividends of $0.375 per Class A common share for the first, second, third, and fourth quarters of 2022 and 2023 and first quarter of 2024. On August 5, 2024, we announced an increase in quarterly dividend by 20% to $0.45 per common share. We paid dividends of $0.45 per Class A common share for the second, third, and fourth quarter of 2024.</w:t>
      </w:r>
    </w:p>
    <w:p>
      <w:pPr>
        <w:spacing w:after="0" w:line="11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On March 5, 2025, we announced an increase in our supplemental quarterly dividend by 16.7% (at that time) to $0.525 per Class A common share. We paid dividends of $0.525 per Class A common share for the first and second quarter of 2025. On November 10, 2025, we declared a dividend of $0.625 per Class A common share for the third quarter of 2025, which was paid on December 4, 2025 to common shareholders of record as of November 21, 2025. Our Board of Directors had determined that sustained market demand for our fleet and our progress on securing forward fixtures at attractive levels supported a $0.10 per share increase in our quarterly supplemental dividend, amounting to a 19.0% increase in total annualized dividends per share at that time, to $2.50 ($0.625 per quarter).</w:t>
      </w:r>
    </w:p>
    <w:p>
      <w:pPr>
        <w:spacing w:after="0" w:line="9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Dividends, if any, will be based on available cash flow, rather than net income, after all relevant cash expenditures, including cash interest expense on borrowings that finance operating assets, cash income taxes and after an allowance for the cash cost of future drydockings but not including deductions for non-cash items including depreciation and amortization and changes in the fair values of financial instruments, if any.</w:t>
      </w:r>
    </w:p>
    <w:p>
      <w:pPr>
        <w:spacing w:after="0" w:line="8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 declaration and payment of any dividend is always subject at all times to the discretion of our Board of Directors which reviews our dividend policy quarterly, taking into consideration capital structure, growth opportunities, industry fundamentals, asset value trends, and financial performance including cash flow, restrictions under our current and future agreements governing our indebtedness, including our credit facilities, the provisions of Marshall Islands law affecting the payment of distributions to shareholders, required capital and drydocking expenditures, reserves established by our Board of Directors, increased or unanticipated expenses, additional borrowings, or future issuances of securities and other factors, many of which will be beyond our control.</w:t>
      </w:r>
    </w:p>
    <w:p>
      <w:pPr>
        <w:spacing w:after="0" w:line="96"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There were 4,359,190 Depositary Shares outstanding as at December 31, 2025, each of which represents 1/100th of one share of our Series B Preferred Shares. Dividends on the Series B Preferred Shares are payable at 8.75% per annum in arrears on a quarterly basis, when and if declared by the Board of Directors. Following the issuance of the Series B Preferred Shares, no dividend may be declared or paid or set apart for payment on our common shares and other junior securities, unless full cumulative dividends have been or contemporaneously are being paid or declared and set aside for payment on all outstanding Series B Preferred Shares, subject to certain exceptions. See “Item 10. Additional Information—B. Memorandum and Articles of Association.” Dividends have been declared as scheduled with respect to our Series B Preferred Shares.</w:t>
      </w:r>
    </w:p>
    <w:p>
      <w:pPr>
        <w:spacing w:after="0" w:line="9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Our ability to pay dividends is also limited by the amount of cash we can generate from operations following the payment of fees and expenses and the establishment of any reserves as well as additional factors unrelated to our profitability. We are a holding company, and we will depend on the ability of our subsidiaries to distribute funds to us in order to satisfy our financial obligations and to pay dividend payments. Further, our Board of Directors may elect to not distribute any dividends or may significantly reduce the dividends. As a result, the amount of dividends actually paid, if any, may vary from the amount previously paid and such variations may be material. See “Item 3. Key Information—D. Risk Factors” for a discussion of the risks associated with our ability to pay dividends.</w:t>
      </w:r>
    </w:p>
    <w:p>
      <w:pPr>
        <w:spacing w:after="0" w:line="10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Marshall Islands law generally prohibits the payment of dividends other than from surplus (retained earnings and the excess of consideration received for the sale of shares above the par value of the shares) or while a company is insolvent or would be rendered insolvent by the payment of such a dividend.</w:t>
      </w:r>
    </w:p>
    <w:p>
      <w:pPr>
        <w:spacing w:after="0" w:line="8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believe that, under current U.S. federal income tax law, some portion of the distributions you receive from us will constitute dividends and, if you are an individual that is a citizen or resident of the United States and that meets certain holding period and other requirements, such dividends will be treated as “qualified dividend income” subject to tax at preferential rates. See “Item. 10. Additional Information—E. Taxation—Tax consequences of holding class A common shares—Taxation of distributions paid on Class A common shares” for information regarding the eligibility requirements for “qualified dividend income.”</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Significant Changes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 None.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320"/>
        <w:spacing w:after="0"/>
        <w:tabs>
          <w:tab w:leader="none" w:pos="900"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The Offer and Listing</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Offer and Listing Details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Please see “Item 9. Offer and the Listing—C. Markets.”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Plan of Distribution</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Markets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On August 15, 2008, our Class A common shares began trading on the NYSE under the symbol “GSL.” On August 20, 2014, our Depositary Shares, each of which represents a 1/100th interest in a share of our Series B Preferred Shares, began trading on the NYSE under the symbol “GSL-B.”</w:t>
      </w:r>
    </w:p>
    <w:p>
      <w:pPr>
        <w:spacing w:after="0" w:line="1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Selling Shareholders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Dilution</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Expenses of the Issue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10.</w:t>
      </w:r>
      <w:r>
        <w:rPr>
          <w:sz w:val="20"/>
          <w:szCs w:val="20"/>
          <w:color w:val="auto"/>
        </w:rPr>
        <w:tab/>
      </w:r>
      <w:r>
        <w:rPr>
          <w:rFonts w:ascii="Times New Roman" w:cs="Times New Roman" w:eastAsia="Times New Roman" w:hAnsi="Times New Roman"/>
          <w:sz w:val="11"/>
          <w:szCs w:val="11"/>
          <w:b w:val="1"/>
          <w:bCs w:val="1"/>
          <w:color w:val="auto"/>
        </w:rPr>
        <w:t>Additional Information</w:t>
      </w:r>
    </w:p>
    <w:p>
      <w:pPr>
        <w:spacing w:after="0" w:line="1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A. Share Capital</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B. Memorandum and Articles of Association</w:t>
      </w:r>
    </w:p>
    <w:p>
      <w:pPr>
        <w:spacing w:after="0" w:line="145"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Our Amended and Restated Articles of Incorporation have previously been filed as Exhibit 3.1 to Amendment No. 1 to our Registration Statement on Form 8-A (File No. 001-34153) filed with the SEC on March 26, 2019 and are hereby incorporated by reference into this Annual Report. Articles of Amendment to the Amended and Restated Articles of Incorporation have previously been filed as Exhibit 3.3 to our Report on Form 6-K, filed with the SEC on March 25, 2019 and are hereby incorporated by reference into this Annual Report. Our Fourth Amended and Restated Bylaws were previously filed as Exhibit 1.3 to the Annual Report on Form 20-F filed with the SEC on March 18, 2025 and are hereby incorporated by reference into this Annual Report.</w:t>
      </w:r>
    </w:p>
    <w:p>
      <w:pPr>
        <w:spacing w:after="0" w:line="96"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A description of the material terms of our Amended and Restated Articles of Incorporation and our Fourth Amended and Restated Bylaws is included in “Description of Securities,” previously filed as Exhibit 2.3 to the Annual Report on Form 20-F filed with the SEC on March 20, 2024 and is hereby incorporated by reference into this Annual Report.</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Registration Rights Agreement</w:t>
      </w:r>
    </w:p>
    <w:p>
      <w:pPr>
        <w:spacing w:after="0" w:line="14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have a registration rights agreement with certain of our shareholders that was amended and restated in October 2018 upon closing of the Poseidon Transaction. For a description of the Amended and Restated Registration Rights Agreement, please see “Item 7. Major Shareholders and Related Party Transactions—B. Related Party Transactions.”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C. Material Contracts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We refer you to “Item 4. Information on the Company—B. Business Overview,” “Item 5. Operating and Financial Review and Prospects—B. Liquidity and Capital Resources—Our Borrowing Activities,” and “Item 7. Major Shareholders and Related Party Transactions—B. Related Party Transactions” for a discussion of the contracts that we consider to be both material and outside the ordinary course of business during the two-year period immediately preceding the date of this Annual Report. Certain of these material agreements that are to be performed in whole or in part after the date of this Annual Report are attached as exhibits to this Annual Report.</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Other than as discussed in this Annual Report, we have no material contracts, other than contracts entered into in the ordinary course of business, to which we are a party.</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D. Exchange Controls</w:t>
      </w:r>
    </w:p>
    <w:p>
      <w:pPr>
        <w:spacing w:after="0" w:line="14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We are not aware of any governmental laws, decrees, or regulations in the Republic of the Marshall Islands that restrict the export or import of capital, including foreign exchange controls, or that affect the remittance of dividends, interest, or other payments to non-resident holders of our securities.</w:t>
      </w:r>
    </w:p>
    <w:p>
      <w:pPr>
        <w:spacing w:after="0" w:line="1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E. Taxation</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The following represents the opinion of our United States and Marshall Islands tax counsel, Watson Farley &amp; Williams LLP, and is a summary of the material U.S. federal income tax and Marshall Islands tax consequences of the ownership and disposition of our Class A common shares and Series B Preferred Shares.</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This section is based on current provisions of the Code, current and proposed Treasury regulations promulgated thereunder, and administrative and judicial decisions as of the date hereof, all of which are subject to change or differing interpretation, possibly on a retroactive basis. Changes in these authorities may cause the tax consequences of share ownership to vary substantially from the consequences described below.</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This section does not purport to be a comprehensive description of all of the tax considerations that may be relevant to us or each investor. This section does not address all aspects of U.S. federal income taxation that may be relevant to any particular investor based on such investor’s individual circumstances. In particular, this section considers only investors that will own Class A common shares or Series B Preferred Shares as capital assets and does not address the potential application of the alternative minimum tax or the U.S. federal income tax consequences to investors that are subject to special treatment, including:</w:t>
      </w:r>
    </w:p>
    <w:p>
      <w:pPr>
        <w:spacing w:after="0" w:line="115" w:lineRule="exact"/>
        <w:rPr>
          <w:sz w:val="20"/>
          <w:szCs w:val="20"/>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broker-dealers;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insurance companies;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who have elected mark-to-market accounting;</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tax-exempt organizations;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regulated investment companies;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real estate investment trusts;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institutions or “financial services entities”;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who hold our shares as part of a straddle, hedge, conversion transaction or other integrated transaction;</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required to recognize income for U.S. federal income tax purposes no later than when such income is reported on an “applicable financial statement”;</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that are subject to the “base-erosion and anti-avoidance” tax;</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taxpayers that own 10% or more (by vote or value), directly or constructively, of our shares;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expatriates or former long-term residents of the United States; and</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 holders (as defined herein) whose functional currency is not the U.S. dollar.</w:t>
      </w:r>
    </w:p>
    <w:p>
      <w:pPr>
        <w:spacing w:after="0" w:line="114"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No ruling has been or will be requested from the IRS regarding any matter affecting us or our shareholders. The statements made herein may be challenged by the IRS and, if so challenged, may not be sustained upon review in a court.</w:t>
      </w:r>
    </w:p>
    <w:p>
      <w:pPr>
        <w:spacing w:after="0" w:line="92" w:lineRule="exact"/>
        <w:rPr>
          <w:sz w:val="20"/>
          <w:szCs w:val="20"/>
          <w:color w:val="auto"/>
        </w:rPr>
      </w:pPr>
    </w:p>
    <w:p>
      <w:pPr>
        <w:ind w:firstLine="240"/>
        <w:spacing w:after="0" w:line="248" w:lineRule="auto"/>
        <w:rPr>
          <w:sz w:val="20"/>
          <w:szCs w:val="20"/>
          <w:color w:val="auto"/>
        </w:rPr>
      </w:pPr>
      <w:r>
        <w:rPr>
          <w:rFonts w:ascii="Times New Roman" w:cs="Times New Roman" w:eastAsia="Times New Roman" w:hAnsi="Times New Roman"/>
          <w:sz w:val="12"/>
          <w:szCs w:val="12"/>
          <w:color w:val="auto"/>
        </w:rPr>
        <w:t>The following does not address any aspect of U.S. federal gift or estate tax laws, or state or local tax laws. Additionally, the section does not consider the tax treatment of partnerships or other pass-through entities or persons who hold our shares through such entities. Shareholders should consult their tax advisors regarding the specific tax consequences to them of the acquisition, holding or disposition of our shares, in light of their particular circumstances.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Taxation of Global Ship Lease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operating income</w:t>
      </w:r>
    </w:p>
    <w:p>
      <w:pPr>
        <w:spacing w:after="0" w:line="14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Unless exempt from U.S. federal income taxation under the rules described below in “The Section 883 exemption,” a foreign corporation that earns only transportation income is generally subject to U.S. federal income taxation under one of two alternative tax regimes: (1) the 4% gross basis tax or (2) the net basis tax and branch profits tax.</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i w:val="1"/>
          <w:iCs w:val="1"/>
          <w:color w:val="auto"/>
        </w:rPr>
        <w:t>The 4% gross basis tax</w:t>
      </w:r>
    </w:p>
    <w:p>
      <w:pPr>
        <w:spacing w:after="0" w:line="143"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For foreign corporations not engaged in a U.S. trade or business, the United States imposes a 4% U.S. federal income tax (without allowance of any deductions) on the corporation’s U.S. source gross transportation income. For this purpose, transportation income includes income from the use, hiring or leasing of a vessel, or the performance of services directly related to the use of a vessel (and thus generally includes time charter and bareboat charter income). The U.S. source portion of transportation income includes 50% of the income attributable to voyages that begin or end (but not both) in the United States. Generally, no amount of the income from voyages that begin and end outside the United States is treated as U.S. source, and consequently none of the transportation income attributable to such voyages is subject to this 4% tax. Although the entire amount of transportation income from voyages that begin and end in the United States would be U.S. source, we do not expect to have any transportation income from voyages that begin and end in the United States.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net basis tax and branch profits tax</w:t>
      </w:r>
    </w:p>
    <w:p>
      <w:pPr>
        <w:spacing w:after="0" w:line="14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do not expect to engage in any activities in the United States or otherwise have a fixed place of business in the United States. Nonetheless, if this situation were to change or were we to be treated as engaged in a U.S. trade or business, all or a portion of our taxable income, including gains from the sale of vessels, could be treated as effectively connected with the conduct of this U.S. trade or business, or effectively connected income. Any effectively connected income would be subject to U.S. federal corporate income tax, currently imposed at a rate of 21%. In addition, an additional 30% branch profits tax would be imposed on us at such time as our after-tax effectively connected income is viewed as having been repatriated to our offshore office. The 4% gross basis tax described above is inapplicable to income that is treated as effectively connected income.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The Section 883 exemption</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Both the 4% gross basis tax and the net basis and branch profits taxes described above are inapplicable to U.S. source transportation income that qualifies for exemption under Section 883 of the Code.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To qualify for the Section 883 exemption, a foreign corporation must, among other things:</w:t>
      </w:r>
    </w:p>
    <w:p>
      <w:pPr>
        <w:spacing w:after="0" w:line="132" w:lineRule="exact"/>
        <w:rPr>
          <w:sz w:val="20"/>
          <w:szCs w:val="20"/>
          <w:color w:val="auto"/>
        </w:rPr>
      </w:pPr>
    </w:p>
    <w:p>
      <w:pPr>
        <w:ind w:left="540" w:hanging="188"/>
        <w:spacing w:after="0"/>
        <w:tabs>
          <w:tab w:leader="none" w:pos="5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organized in a jurisdiction outside the United States that grants an equivalent exemption from tax to corporations organized in the United States, which we call an Equivalent Exemption;</w:t>
      </w:r>
    </w:p>
    <w:p>
      <w:pPr>
        <w:spacing w:after="0" w:line="16" w:lineRule="exact"/>
        <w:rPr>
          <w:rFonts w:ascii="Times New Roman" w:cs="Times New Roman" w:eastAsia="Times New Roman" w:hAnsi="Times New Roman"/>
          <w:sz w:val="12"/>
          <w:szCs w:val="12"/>
          <w:color w:val="auto"/>
        </w:rPr>
      </w:pPr>
    </w:p>
    <w:p>
      <w:pPr>
        <w:ind w:left="540" w:right="20" w:hanging="188"/>
        <w:spacing w:after="0" w:line="250" w:lineRule="auto"/>
        <w:tabs>
          <w:tab w:leader="none" w:pos="5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satisfy one of the following three ownership tests (discussed in more detail below): (1) the more than 50% ownership test, or 50% Ownership Test, (2) the controlled foreign corporation test, or CFC Test or (3) the “Publicly Traded Test”; and</w:t>
      </w:r>
    </w:p>
    <w:p>
      <w:pPr>
        <w:ind w:left="540" w:hanging="188"/>
        <w:spacing w:after="0"/>
        <w:tabs>
          <w:tab w:leader="none" w:pos="54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meet certain substantiation, reporting and other requirements (that include the filing of U.S. income tax returns).</w:t>
      </w:r>
    </w:p>
    <w:p>
      <w:pPr>
        <w:spacing w:after="0" w:line="11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We are organized under the laws of the Marshall Islands. Each of the vessels in the fleet is owned by a separate wholly owned subsidiary that has elected to be disregarded as separate from us for U.S. federal income tax purposes (or in the case of one subsidiary, that is organized in the Marshall Islands). The U.S. Treasury Department recognizes the Marshall Islands as a jurisdiction that grants an Equivalent Exemption; therefore, we should meet the first requirement for the Section 883 exemption. Additionally, we intend to comply with the substantiation, reporting and other requirements that are applicable under Section 883 of the Code. As a result, qualification for the Section 883 exemption will turn primarily on our ability to satisfy one of the three ownership tests.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(1) The 50% Ownership Test</w:t>
      </w:r>
    </w:p>
    <w:p>
      <w:pPr>
        <w:spacing w:after="0" w:line="143" w:lineRule="exact"/>
        <w:rPr>
          <w:sz w:val="20"/>
          <w:szCs w:val="20"/>
          <w:color w:val="auto"/>
        </w:rPr>
      </w:pPr>
    </w:p>
    <w:p>
      <w:pPr>
        <w:jc w:val="both"/>
        <w:ind w:firstLine="240"/>
        <w:spacing w:after="0" w:line="242" w:lineRule="auto"/>
        <w:rPr>
          <w:sz w:val="20"/>
          <w:szCs w:val="20"/>
          <w:color w:val="auto"/>
        </w:rPr>
      </w:pPr>
      <w:r>
        <w:rPr>
          <w:rFonts w:ascii="Times New Roman" w:cs="Times New Roman" w:eastAsia="Times New Roman" w:hAnsi="Times New Roman"/>
          <w:sz w:val="12"/>
          <w:szCs w:val="12"/>
          <w:color w:val="auto"/>
        </w:rPr>
        <w:t>In order to satisfy the 50% Ownership Test, a non-U.S. corporation must be able to substantiate that more than 50% of the value of its stock is owned, directly or indirectly, by “qualified shareholders.” For this purpose, qualified shareholders include: (1) individuals who are residents (as defined in the regulations promulgated under Section 883 of the Code, or Section 883 Regulations) of countries, other than the United States, that grant an Equivalent Exemption, (2) non-U.S. corporations that meet the Publicly Traded Test of the Section 883 Regulations and are organized in countries that grant an Equivalent Exemption, or (3) certain foreign governments, non-profit organizations, and certain beneficiaries of foreign pension funds. A corporation claiming the Section 883 exemption based on the 50% Ownership Test must obtain all the facts necessary to satisfy the IRS that the 50% Ownership Test has been satisfied (as detailed in the Section 883 Regulations). Given the widely held nature of our Class A common shares, we do not currently anticipate circumstances under which we would be able to satisfy the 50% Ownership Test.</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(2) The CFC Test</w:t>
      </w:r>
    </w:p>
    <w:p>
      <w:pPr>
        <w:spacing w:after="0" w:line="14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CFC Test requires that the non-U.S. corporation be treated as a controlled foreign corporation, or CFC, for U.S. federal income tax purposes. We believe that we are not a CFC but cannot predict whether we will become a CFC, and satisfaction of the CFC definitional test is outside of our control.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 The Publicly Traded Test</w:t>
      </w:r>
    </w:p>
    <w:p>
      <w:pPr>
        <w:spacing w:after="0" w:line="143" w:lineRule="exact"/>
        <w:rPr>
          <w:sz w:val="20"/>
          <w:szCs w:val="20"/>
          <w:color w:val="auto"/>
        </w:rPr>
      </w:pPr>
    </w:p>
    <w:p>
      <w:pPr>
        <w:jc w:val="both"/>
        <w:ind w:right="20" w:firstLine="240"/>
        <w:spacing w:after="0" w:line="248" w:lineRule="auto"/>
        <w:rPr>
          <w:sz w:val="20"/>
          <w:szCs w:val="20"/>
          <w:color w:val="auto"/>
        </w:rPr>
      </w:pPr>
      <w:r>
        <w:rPr>
          <w:rFonts w:ascii="Times New Roman" w:cs="Times New Roman" w:eastAsia="Times New Roman" w:hAnsi="Times New Roman"/>
          <w:sz w:val="12"/>
          <w:szCs w:val="12"/>
          <w:color w:val="auto"/>
        </w:rPr>
        <w:t>The Publicly Traded Test requires that one or more classes of equity representing more than 50% of the voting power and value in a non-U.S. corporation be “primarily and regularly traded” on an established securities market either in the United States or in a foreign country that grants an Equivalent Exemption.</w:t>
      </w:r>
    </w:p>
    <w:p>
      <w:pPr>
        <w:spacing w:after="0" w:line="102"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The Section 883 Regulations provide, in pertinent part, that stock of a non-U.S. corporation will be considered to be “primarily traded” on an established securities market in a given country if the number of shares of each class of stock that are traded during any taxable year on all established securities markets in that country exceeds the number of shares in each such class that are traded during that year on established securities markets in any other single country. Our Class A common shares are listed on the NYSE and are not listed on any other securities exchange. Therefore, our Class A common shares should be treated as primarily traded on an established securities market in the United States.</w:t>
      </w:r>
    </w:p>
    <w:p>
      <w:pPr>
        <w:spacing w:after="0" w:line="10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1"/>
          <w:szCs w:val="11"/>
          <w:color w:val="auto"/>
        </w:rPr>
        <w:t>The Section 883 Regulations also generally provide that stock will be considered to be “regularly traded” on an established securities market if one or more classes of stock in the corporation representing in the aggregate more than</w:t>
      </w:r>
    </w:p>
    <w:p>
      <w:pPr>
        <w:spacing w:after="0" w:line="12"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2"/>
          <w:szCs w:val="12"/>
          <w:color w:val="auto"/>
        </w:rPr>
        <w:t>50% of the total combined voting power and value of all classes of stock of the corporation are listed on an established securities market during the taxable year. During 2025, the Class A common shares represented more than 50% of the total combined voting power and value of all classes of our stock. However, even if a class of shares is so listed, it is not treated as regularly traded under the Section 883 Regulations unless (1) trades are made in the shares on the established securities market, other than in minimal quantities, on at least 60 days during the taxable year (or 1/6 of the days in a short taxable year); and (2) the aggregate number of shares traded on the established securities market during the taxable year is at least 10% of the average number of outstanding shares of that class during that year (as appropriately adjusted in the case of a short taxable year). Even if these trading frequency and trading volume tests are not satisfied with respect to the Class A common shares, however, the Section 883 Regulations provide that such tests will be deemed satisfied if the Class A common shares are regularly quoted by dealers making a market in such Class A common shares. While we anticipate that these trading frequency and trading volume tests will be satisfied each year, satisfaction of these requirements is outside of our control and, hence, no assurances can be provided that we will satisfy the Publicly Traded Test each year. Furthermore, the Class A common shares may not represent more than half of the voting power or value of all classes of our stock.</w:t>
      </w:r>
    </w:p>
    <w:p>
      <w:pPr>
        <w:spacing w:after="0" w:line="108"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In addition, even if the “primarily and regularly traded” tests described above are satisfied, a class of stock will not be treated as primarily and regularly traded on an established securities market if, during more than half the number of days during the taxable year, one or more shareholders holding, directly or indirectly, at least 5% of the vote and value of that class of stock, or 5% Shareholders, own, in the aggregate, 50% or more of the vote and value of that class of stock. This is referred to as the 5% Override Rule. In performing the analysis, we are entitled to rely on current Schedule 13D and 13G filings with the SEC to identify our 5% Shareholders, without having to make any independent investigation to determine the identity of the 5% Shareholder. In the event the 5% Override Rule is triggered, the Section 883 Regulations provide that the 5% Override Rule will nevertheless not apply if the company can establish that among the closely-held group of 5% Shareholders, sufficient shares are owned by 5% Shareholders that are considered to be “qualified shareholders,” as defined above, to preclude non-qualified 5% Shareholders in the closely-held group from owning 50% or more of the total value of the relevant class of stock held by 5% Shareholders for more than half the number of days during the taxable year.</w:t>
      </w:r>
    </w:p>
    <w:p>
      <w:pPr>
        <w:spacing w:after="0" w:line="100"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information that we have as to our shareholders and other matters, we believe that we qualified for the Section 883 exemption for 2023, 2024 and 2025. Whether we may satisfy the “publicly-traded” test for 2026 and future taxable years depends on factors that are outside of our control, and we cannot provide any assurances that we will or will not satisfy the “publicly-traded” test to claim exemption from U.S. taxation for 2026 or future taxable years.</w:t>
      </w:r>
    </w:p>
    <w:p>
      <w:pPr>
        <w:spacing w:after="0" w:line="93"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If we were not to qualify for the Section 883 exemption in any year, the U.S. income taxes that become payable could have a negative effect on our business, and could result in decreased earnings available for distribution to our shareholders. However, under our charter agreements, our charterers are generally responsible for the payment of any such taxes, as the charterer determines where each vessel trades.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United States taxation of gain on sale of vessels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we qualify for the Section 883 exemption, then gain from the sale of any vessel generally will be exempt from tax under Section 883. Even if such gain is not exempt from tax under Section 883, we will not be subject to U.S.</w:t>
      </w:r>
    </w:p>
    <w:p>
      <w:pPr>
        <w:spacing w:after="0" w:line="234" w:lineRule="auto"/>
        <w:rPr>
          <w:sz w:val="20"/>
          <w:szCs w:val="20"/>
          <w:color w:val="auto"/>
        </w:rPr>
      </w:pPr>
      <w:r>
        <w:rPr>
          <w:rFonts w:ascii="Times New Roman" w:cs="Times New Roman" w:eastAsia="Times New Roman" w:hAnsi="Times New Roman"/>
          <w:sz w:val="12"/>
          <w:szCs w:val="12"/>
          <w:color w:val="auto"/>
        </w:rPr>
        <w:t>federal income taxation with respect to such gain, assuming that we are not, and have never been, engaged in a U.S. trade or business. Under certain circumstances, if we are so engaged, gain on sale of vessels could be subject to U.S.</w:t>
      </w:r>
    </w:p>
    <w:p>
      <w:pPr>
        <w:spacing w:after="0"/>
        <w:rPr>
          <w:sz w:val="20"/>
          <w:szCs w:val="20"/>
          <w:color w:val="auto"/>
        </w:rPr>
      </w:pPr>
      <w:r>
        <w:rPr>
          <w:rFonts w:ascii="Times New Roman" w:cs="Times New Roman" w:eastAsia="Times New Roman" w:hAnsi="Times New Roman"/>
          <w:sz w:val="12"/>
          <w:szCs w:val="12"/>
          <w:color w:val="auto"/>
        </w:rPr>
        <w:t>federal income tax.</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consequences of holding Class A common shares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U.S. holders</w:t>
      </w:r>
    </w:p>
    <w:p>
      <w:pPr>
        <w:spacing w:after="0" w:line="1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this discussion, a U.S. holder is a beneficial owner of our Class A common shares that owns (actually or constructively) less than 10% of our equity (by vote and value) and that is:</w:t>
      </w:r>
    </w:p>
    <w:p>
      <w:pPr>
        <w:spacing w:after="0" w:line="150" w:lineRule="exact"/>
        <w:rPr>
          <w:sz w:val="20"/>
          <w:szCs w:val="20"/>
          <w:color w:val="auto"/>
        </w:rPr>
      </w:pPr>
    </w:p>
    <w:p>
      <w:pPr>
        <w:ind w:left="540" w:hanging="188"/>
        <w:spacing w:after="0"/>
        <w:tabs>
          <w:tab w:leader="none" w:pos="5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individual who is a citizen or resident of the United States (as determined for U.S. federal income tax purposes);</w:t>
      </w:r>
    </w:p>
    <w:p>
      <w:pPr>
        <w:spacing w:after="0" w:line="1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corporation (or other entity taxed as a corporation for U.S. federal income tax purposes) created or organized under the laws of the United States, any state thereof or the District of Columbia;</w:t>
      </w:r>
    </w:p>
    <w:p>
      <w:pPr>
        <w:spacing w:after="0" w:line="6"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estate whose income is includible in gross income for U.S. federal income tax purposes regardless of its source; or</w:t>
      </w:r>
    </w:p>
    <w:p>
      <w:pPr>
        <w:spacing w:after="0" w:line="6" w:lineRule="exact"/>
        <w:rPr>
          <w:rFonts w:ascii="Times New Roman" w:cs="Times New Roman" w:eastAsia="Times New Roman" w:hAnsi="Times New Roman"/>
          <w:sz w:val="12"/>
          <w:szCs w:val="12"/>
          <w:color w:val="auto"/>
        </w:rPr>
      </w:pPr>
    </w:p>
    <w:p>
      <w:pPr>
        <w:ind w:left="540" w:hanging="188"/>
        <w:spacing w:after="0" w:line="260" w:lineRule="auto"/>
        <w:tabs>
          <w:tab w:leader="none" w:pos="54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trust if (i) a court within the United States is able to exercise primary supervision over the administration of the trust and one or more U.S. persons have the authority to control all substantial decisions of the trust, or (ii) it has in effect a valid election to be treated as a U.S. person.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distributions paid on Class A common shares</w:t>
      </w:r>
    </w:p>
    <w:p>
      <w:pPr>
        <w:spacing w:after="0" w:line="143"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When we make a distribution with respect to our Class A common shares, subject to the discussions of the passive foreign investment company, or PFIC rules below, a U.S. holder will be required to include in gross income as foreign source dividend income the amount of the distribution to the extent paid out of our current or accumulated earnings and profits as determined for U.S. federal income tax purposes. Distributions in excess of such earnings and profits will be applied against and will reduce the U.S. holder’s tax basis in the Class A common shares and, to the extent in excess of such basis, will be treated as gain from the sale or exchange of the Class A common shares.</w:t>
      </w:r>
    </w:p>
    <w:p>
      <w:pPr>
        <w:spacing w:after="0" w:line="10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in the case of a U.S. holder that is a corporation, dividends that we pay will generally be taxable at regular corporate rates and generally will not qualify for a dividends-received deduction available for dividends received from U.S. corporations. In the case of certain non-corporate U.S. holders, dividends that we pay generally will be treated as “qualified dividend income” subject to tax at preferential rates, provided that the Class A common shares are listed on an established securities market in the United States (such as the NYSE), the U.S. holder meets certain holding period and other requirements and we are not a PFIC in the taxable year in which the dividends are paid or in the immediately preceding taxable year.</w:t>
      </w:r>
    </w:p>
    <w:p>
      <w:pPr>
        <w:spacing w:after="0" w:line="98"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Special rules may apply to any “extraordinary dividend” paid by us. An extraordinary dividend is, generally, a dividend with respect to a share if the amount of the dividend is equal to or in excess of 10% of a shareholder’s adjusted basis (or fair market value in certain circumstances) in such share. In addition, extraordinary dividends include dividends received within a one-year period that, in the aggregate, equal or exceed 20% of a U.S. holder’s tax basis (or fair market value). If we pay an “extraordinary dividend” on our Class A common shares that is treated as “qualified dividend income,” then any loss derived by certain non-corporate U.S. holders from the sale or exchange of such shares will be treated as long-term capital loss to the extent of the amount of such dividend.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Taxation of the disposition of Class A common shares</w:t>
      </w:r>
    </w:p>
    <w:p>
      <w:pPr>
        <w:spacing w:after="0" w:line="14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Subject to the discussions of the PFIC rules below, upon the sale, exchange or other disposition of Class A common shares, a U.S. holder will recognize capital gain or loss in an amount equal to the difference between the amount realized on the disposition and such U.S. holder’s tax basis in our Class A common shares. The U.S. holder’s initial tax basis in its Class A common shares generally will be the U.S. holder’s purchase price for the Class A common shares and that tax basis will be reduced (but not below zero) by the amount of any distributions on the units that are treated as non-taxable returns of capital, as discussed above under "—Taxation of distributions paid on Class A common shares".</w:t>
      </w:r>
    </w:p>
    <w:p>
      <w:pPr>
        <w:spacing w:after="0" w:line="96"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Subject to the discussions of the PFIC rules below, capital gain from the sale, exchange or other disposition of Class A common shares held more than one year is long-term capital gain, and is eligible for a reduced rate of taxation for individuals. Gain recognized by a U.S. holder on a sale, exchange or other disposition of Class A common shares generally will be treated as U.S. source income. A loss recognized by a U.S. holder on the sale, exchange or other disposition of Class A common shares generally will be allocated to U.S. source income. The deductibility of a capital loss recognized on the sale, exchange or other disposition of Class A common shares may be subject to limitations, and U.S. holders should consult their own tax advisors regarding their ability to deduct any such capital loss in light of their particular circumstances.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3.8% tax on net investment income</w:t>
      </w:r>
    </w:p>
    <w:p>
      <w:pPr>
        <w:spacing w:after="0" w:line="14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 U.S. holder that is an individual, estate, or, in certain cases, a trust, will generally be subject to a 3.8% tax on the lesser of (1) the U.S. holder’s net investment income (or undistributed net investment income in the case of an estate or trust) for the taxable year and (2) the excess of the U.S. holder’s modified adjusted gross income for the taxable year over a certain threshold (which in the case of individuals is between $125,000 and $250,000). A U.S. holder’s net investment income will generally include distributions made by us that constitute dividends and gain upon a sale, exchange or other disposition of our Class A common shares. This tax is in addition to any income taxes due on such investment income. Net investment income generally will not include a U.S. holder's pro rata share of our income and gain if we are a PFIC and that U.S. holder makes a QEF election, as described below in “—Consequences of possible passive foreign investment company classification”. However, a U.S. holder may elect to treat inclusions of income and gain from a QEF election as net investment income. Failure to make this election could result in a mismatch between a U.S. holder's ordinary income and net investment income.</w:t>
      </w:r>
    </w:p>
    <w:p>
      <w:pPr>
        <w:spacing w:after="0" w:line="10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If you are a U.S. holder that is an individual, estate or trust, you are encouraged to consult your tax advisors regarding the applicability of the 3.8% tax on net investment income to the ownership of our Class A common shares.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Consequences of possible passive foreign investment company classification</w:t>
      </w:r>
    </w:p>
    <w:p>
      <w:pPr>
        <w:spacing w:after="0" w:line="14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A non-U.S. entity treated as a corporation for U.S. federal income tax purposes will be a PFIC in any taxable year in which, after taking into account the income and assets of the corporation and certain subsidiaries pursuant to a “look through” rule, either: (1) 75% or more of its gross income is “passive” income or (2) 50% or more of the average value of its assets is attributable to assets that produce passive income or are held for the production of passive income. For purposes of these tests, “passive income” includes dividends, interest and gains from the sale or exchange of investment property and rents and royalties other than rents and royalties which are received from unrelated parties in connection with the active conduct of a trade or business; income derived from the performance of services does not, however, constitute “passive income.” The determination of whether a corporation is a PFIC is made annually. If a corporation is a PFIC in any taxable year that a person holds stock in the corporation (and was not a qualified electing fund with respect to such year, as discussed below), the stock held by such person will be treated as stock in a PFIC for all future years (absent an election which, if made, may require the electing person to pay taxes in the year of the election).</w:t>
      </w:r>
    </w:p>
    <w:p>
      <w:pPr>
        <w:spacing w:after="0" w:line="100"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Based on the projected composition of our income and valuation of our assets, we do not expect that we will constitute a PFIC with respect to the current or any future taxable year, although there can be no assurance in this regard. Our expectation is based principally on the position that, for purposes of determining whether we are a PFIC, the majority, if not all, of the gross income we derive from our chartering activities should constitute services income rather than rental income.</w:t>
      </w:r>
    </w:p>
    <w:p>
      <w:pPr>
        <w:spacing w:after="0" w:line="93"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this regard, we have been advised by our tax advisor that the income from our time and voyage chartering activities should be services income. There is, however, no direct legal authority under the PFIC rules addressing our current and projected future operations or supporting our position. Accordingly, no assurance can be given that the IRS will not assert that we are a PFIC with respect to any taxable year, nor that a court would not uphold any such assertion.</w:t>
      </w:r>
    </w:p>
    <w:p>
      <w:pPr>
        <w:spacing w:after="0" w:line="93" w:lineRule="exact"/>
        <w:rPr>
          <w:sz w:val="20"/>
          <w:szCs w:val="20"/>
          <w:color w:val="auto"/>
        </w:rPr>
      </w:pPr>
    </w:p>
    <w:p>
      <w:pPr>
        <w:jc w:val="both"/>
        <w:ind w:firstLine="240"/>
        <w:spacing w:after="0" w:line="244" w:lineRule="auto"/>
        <w:rPr>
          <w:sz w:val="20"/>
          <w:szCs w:val="20"/>
          <w:color w:val="auto"/>
        </w:rPr>
      </w:pPr>
      <w:r>
        <w:rPr>
          <w:rFonts w:ascii="Times New Roman" w:cs="Times New Roman" w:eastAsia="Times New Roman" w:hAnsi="Times New Roman"/>
          <w:sz w:val="12"/>
          <w:szCs w:val="12"/>
          <w:color w:val="auto"/>
        </w:rPr>
        <w:t>If we were to be classified as a PFIC in any year, each U.S. holder of our Class A common shares that does not make a timely qualified electing fund or mark-to-market election (as discussed below) will be subject (in that year and all subsequent years) to special rules with respect to: (1) any “excess distribution” (generally defined as any distribution received by a U.S. holder in a taxable year that is greater than 125% of the average annual distributions received by the U.S. holder in the three preceding taxable years or, if shorter, the U.S. holder’s holding period for the Class A common shares), and (2) any gain realized upon the sale or other disposition of the Class A common shares. Under these rules:</w:t>
      </w:r>
    </w:p>
    <w:p>
      <w:pPr>
        <w:spacing w:after="0" w:line="123" w:lineRule="exact"/>
        <w:rPr>
          <w:sz w:val="20"/>
          <w:szCs w:val="20"/>
          <w:color w:val="auto"/>
        </w:rPr>
      </w:pPr>
    </w:p>
    <w:p>
      <w:pPr>
        <w:ind w:left="540" w:hanging="188"/>
        <w:spacing w:after="0"/>
        <w:tabs>
          <w:tab w:leader="none" w:pos="5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excess distribution or gain will be allocated ratably over the U.S. holder’s holding period for our Class A common shares;</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the current taxable year and any year prior to the first year in which we were a PFIC will be taxed as ordinary income in the current year; and</w:t>
      </w:r>
    </w:p>
    <w:p>
      <w:pPr>
        <w:spacing w:after="0" w:line="150" w:lineRule="exact"/>
        <w:rPr>
          <w:rFonts w:ascii="Times New Roman" w:cs="Times New Roman" w:eastAsia="Times New Roman" w:hAnsi="Times New Roman"/>
          <w:sz w:val="12"/>
          <w:szCs w:val="12"/>
          <w:color w:val="auto"/>
        </w:rPr>
      </w:pPr>
    </w:p>
    <w:p>
      <w:pPr>
        <w:ind w:left="540" w:right="20" w:hanging="188"/>
        <w:spacing w:after="0" w:line="279" w:lineRule="auto"/>
        <w:tabs>
          <w:tab w:leader="none" w:pos="54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allocated to each of the other taxable years in the U.S. holder’s holding period for our Class A common shares will be subject to U.S. federal income tax at the highest rate in effect for the applicable class of taxpayer for that year, and an interest charge will be added as though the amount of the taxes computed with respect to these other taxable years were overdue.</w:t>
      </w:r>
    </w:p>
    <w:p>
      <w:pPr>
        <w:spacing w:after="0" w:line="10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In addition, each U.S. holder of our Class A common shares will generally be required to file an IRS Form 8621 if such U.S. holder holds its shares in any year in which we were classified as a PFIC.</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2"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order to avoid the application of the PFIC rules discussed above with respect to excess distributions and realized gains, U.S. holders of our Class A common shares may make a qualified electing fund, or a QEF, election provided in Section 1295 of the Code. In lieu of the PFIC rules discussed above, a U.S. holder that makes a valid QEF election will, in very general terms, be required to include its pro rata share of our ordinary income and net capital gains, unreduced by any prior year losses, in income for each taxable year (as ordinary income and long-term capital gain, respectively) and to pay tax thereon, even if the amount of that income is not the same as the distributions paid on the Class A common shares during the year. If we later distribute the income or gain on which the U.S. holder has already paid taxes under the QEF rules, the amounts so distributed will not again be subject to tax in the hands of the U.S. holder. A U.S. holder’s tax basis in any Class A common shares as to which a QEF election has been validly made will be increased by the amount included in such U.S. holder’s income as a result of the QEF election and decreased by the amount of nontaxable distributions received by the U.S. holder. On the disposition of a common share, a U.S. holder making the QEF election generally will recognize capital gain or loss equal to the difference, if any, between the amount realized upon such disposition and its adjusted tax basis in the common share. In general, a QEF election should be made on or before the due date for filing a U.S. holder’s federal income tax return for the first taxable year for which we are a PFIC or, if later, the first taxable year for which the U.S. holder held common stock. In this regard, a QEF election is effective only if certain required information is made available by the PFIC. Subsequent to the date that we first determine that we are a PFIC, we will use commercially reasonable efforts to provide any U.S. holder of Class A common shares, upon request, with the information necessary for such U.S. holder to make the QEF election. If we do not believe that we are a PFIC for a particular year but it is ultimately determined that we were a PFIC, it may not be possible for a holder to make a QEF election for such year.</w:t>
      </w:r>
    </w:p>
    <w:p>
      <w:pPr>
        <w:spacing w:after="0" w:line="116"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 addition to the QEF election, Section 1296 of the Code permits U.S. persons to make a “mark-to-market” election with respect to marketable stock in a PFIC. If a U.S. holder of our Class A common shares makes a mark-to-market election, such U.S. holder generally would, in each taxable year that we are a PFIC: (1) include as ordinary income the excess, if any, of the fair market value of the Class A common shares at the end of the taxable year over such U.S. holder’s adjusted tax basis in the Class A common shares, and (2) be permitted an ordinary loss in respect of the excess, if any, of such U.S. holder’s adjusted tax basis in the Class A common shares over their fair market value at the end of the taxable year, but only to the extent of the net amount previously included in income as a result of the mark-to-market election (with the U.S. holder’s basis in the Class A common shares being increased and decreased, respectively, by the amount of such ordinary income or ordinary loss). If a U.S. holder makes an effective mark-to-market election, any gain such U.S. holder recognizes upon the sale or other disposition of our Class A common shares in a year that we are a PFIC will be treated as ordinary income and any loss will be treated as ordinary loss, but only to the extent of the net amount previously included in income as a result of the mark-to-market election. The consequences of this election are generally less favorable than those of a QEF election for U.S. holders that are sensitive to the distinction between ordinary income and capital gain, although this is not necessarily the case. U.S. holders should consult their tax advisors as to the consequences to them of making a mark-to-market or QEF election, as well as other U.S. federal income tax consequences of holding stock in a PFIC in light of their particular circumstances.</w:t>
      </w:r>
    </w:p>
    <w:p>
      <w:pPr>
        <w:spacing w:after="0" w:line="98"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As previously indicated, if we were to be classified as a PFIC for a taxable year in which we pay a dividend or the immediately preceding taxable year, dividends paid by us would not constitute “qualified dividend income” and, hence, would not be eligible for the preferential rates of U.S. federal income tax that apply to certain non-corporate U.S. holders.</w:t>
      </w:r>
    </w:p>
    <w:p>
      <w:pPr>
        <w:spacing w:after="0" w:line="92"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If we are classified as a PFIC for any taxable year during which a U.S. holder holds our Class A common shares and any of our non-U.S. subsidiaries that is classified as a corporation for U.S. federal income tax purposes is also classified as a PFIC, such U.S. holder will be treated as owning a proportionate amount (by value) of the shares of the lower-tier PFIC for purposes of the application of the PFIC rules. U.S. holders are urged to consult their tax advisors about the application of the PFIC rules to any of our subsidiaries.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Non-U.S. holders</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For purposes of this discussion, a non-U.S. holder is a beneficial owner of our Class A common shares that is neither a U.S. holder nor a partnership (or any other entity taxed as a partnership for U.S. federal income tax purposes).</w:t>
      </w:r>
    </w:p>
    <w:p>
      <w:pPr>
        <w:spacing w:after="0" w:line="123"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A non-U.S. holder will generally not be subject to U.S. federal income tax on dividends paid in respect of the Class A common shares or on gains recognized in connection with the sale or other disposition of the Class A common shares, provided, in each case, that such dividends or gains are not effectively connected with the non-U.S. holder’s conduct of a U.S. trade or business. However, even if not engaged in a U.S. trade or business, individual non-U.S. holders may be subject to tax on gain resulting from the disposition of our Class A common shares if they are present in the U.S. for 183 days or more during the taxable year in which those Class A common shares are disposed and meet certain other requirements.</w:t>
      </w:r>
    </w:p>
    <w:p>
      <w:pPr>
        <w:spacing w:after="0" w:line="107"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Dividends or gains that are effectively connected with a non-U.S. holder’s conduct of a U.S. trade or business (and, if required by an applicable income tax treaty, are attributable to a U.S. permanent establishment) are subject to U.S. federal income tax on a net income basis in the same manner as if the non-U.S. holder were a U.S. holder, and in the case of a non-U.S. holder that is a corporation (or entity that is classified as a corporation for U.S. federal income tax purposes), may be subject to an additional “branch profits tax” at a 30% rate or such lower rate as may be specified by an applicable income tax treaty.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Information reporting and back-up withholding</w:t>
      </w:r>
    </w:p>
    <w:p>
      <w:pPr>
        <w:spacing w:after="0" w:line="145" w:lineRule="exact"/>
        <w:rPr>
          <w:sz w:val="20"/>
          <w:szCs w:val="20"/>
          <w:color w:val="auto"/>
        </w:rPr>
      </w:pPr>
    </w:p>
    <w:p>
      <w:pPr>
        <w:jc w:val="both"/>
        <w:ind w:firstLine="240"/>
        <w:spacing w:after="0" w:line="239" w:lineRule="auto"/>
        <w:rPr>
          <w:sz w:val="20"/>
          <w:szCs w:val="20"/>
          <w:color w:val="auto"/>
        </w:rPr>
      </w:pPr>
      <w:r>
        <w:rPr>
          <w:rFonts w:ascii="Times New Roman" w:cs="Times New Roman" w:eastAsia="Times New Roman" w:hAnsi="Times New Roman"/>
          <w:sz w:val="12"/>
          <w:szCs w:val="12"/>
          <w:color w:val="auto"/>
        </w:rPr>
        <w:t>U.S. holders generally are subject to information reporting requirements with respect to dividends paid on Class A common shares, and on the proceeds from the sale, exchange or disposition of Class A common shares. In addition, a holder may be subject to back-up withholding (currently at a rate of 24%) on dividends paid on Class A common shares, and on the proceeds from the sale, exchange or other disposition of Class A common shares, unless the holder provides certain identifying information, such as a duly executed IRS Form W-9, W-8BEN or W-8BEN-E, or otherwise establishes an exemption. Back-up withholding is not an additional tax and the amount of any back-up withholding will be allowable as a credit against a holder’s U.S. federal income tax liability and may entitle such holder to a refund, provided that certain required information is timely furnished to the IRS.</w:t>
      </w:r>
    </w:p>
    <w:p>
      <w:pPr>
        <w:spacing w:after="0" w:line="107" w:lineRule="exact"/>
        <w:rPr>
          <w:sz w:val="20"/>
          <w:szCs w:val="20"/>
          <w:color w:val="auto"/>
        </w:rPr>
      </w:pPr>
    </w:p>
    <w:p>
      <w:pPr>
        <w:jc w:val="both"/>
        <w:ind w:firstLine="240"/>
        <w:spacing w:after="0" w:line="235" w:lineRule="auto"/>
        <w:rPr>
          <w:sz w:val="20"/>
          <w:szCs w:val="20"/>
          <w:color w:val="auto"/>
        </w:rPr>
      </w:pPr>
      <w:r>
        <w:rPr>
          <w:rFonts w:ascii="Times New Roman" w:cs="Times New Roman" w:eastAsia="Times New Roman" w:hAnsi="Times New Roman"/>
          <w:sz w:val="12"/>
          <w:szCs w:val="12"/>
          <w:color w:val="auto"/>
        </w:rPr>
        <w:t>Individuals who are U.S. holders (and to the extent specified in applicable Treasury regulations, certain individuals who are non-U.S. holders and certain U.S. entities) who hold “specified foreign financial assets” (as defined in Section 6038D of the Code) are required to file IRS Form 8938 with information relating to the asset for each taxable year in which the aggregate value of all such assets exceeds $75,000 at any time during the taxable year or $50,000 on the last day of the taxable year (or such higher dollar amount as prescribed by applicable Treasury regulations). Specified foreign financial assets would include, among other assets, our Class A common shares, unless the shares are held through an account maintained with a U.S. financial institution. Substantial penalties apply to any failure to timely file IRS Form 8938, unless the failure is shown to be due to reasonable cause and not due to willful neglect. Additionally, in the event an individual U.S. holder (and to the extent specified in applicable Treasury regulations, an individual non-U.S. holder or a U.S. entity) that is required to file IRS Form 8938 does not file such form, the statute of limitations on the assessment and collection of U.S. federal income taxes of such holder for the related tax year may not close until three years after the date that the required information is filed. U.S. holders (including U.S. entities) and non-U.S. holders are encouraged to consult their own tax advisors regarding their reporting obligations under this legislation.</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consequences of holding 8.75% Series B Cumulative Redeemable Perpetual Preferred Shares</w:t>
      </w:r>
    </w:p>
    <w:p>
      <w:pPr>
        <w:spacing w:after="0" w:line="127"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Series B Preferred Shares are treated as equity rather than debt for U.S. federal income tax purposes. Similar considerations apply as those described above in “—Tax Consequences of holding Class A common shares.” Holders of Series B Preferred Shares should consult their tax advisors regarding the specific tax consequences to them of the acquisition, holding or disposition of our Series B Preferred Shares, in light of their particular circumstances.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Marshall Islands taxation</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the opinion of our Marshall Islands tax counsel, Watson Farley &amp; Williams LLP, because we do not (and do not expect in the future that we will) conduct business or operations in the Republic of the Marshall Islands, we are not subject to income, capital gains, profits or other taxation under current Marshall Islands law. Distributions on our Class A common shares or on our Series B Preferred Shares will not be subject to Marshall Islands withholding tax.</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Other taxation</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may be subject to taxation in certain non-U.S. jurisdictions because we are either organized, or conduct business or operations, in such jurisdictions. We intend that our business and the business of our subsidiaries will be conducted and operated in a manner that minimizes taxes imposed upon us and our subsidiaries. However, we cannot assure this result as tax laws in these or other jurisdictions may change or we may enter into new business transactions relating to such jurisdictions, which could affect our tax liability.</w:t>
      </w:r>
    </w:p>
    <w:p>
      <w:pPr>
        <w:spacing w:after="0" w:line="1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F. Dividends and Paying Agents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G. Statements by Experts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H. Documents on Display</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We filed reports and other information with the SEC. These materials, including this Annual Report and the accompanying exhibits, are available from http://www.sec.gov. Shareholders may also request a copy of our filings by writing to us at the following address: c/o GSL Enterprises Ltd., 9 Irodou Attikou Street, Kifisia, Athens 14561, Greece or telephoning us at +30 2106233670.</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 Subsidiaries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J. Annual Report to Security Holders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100"/>
        <w:spacing w:after="0"/>
        <w:tabs>
          <w:tab w:leader="none" w:pos="700" w:val="left"/>
        </w:tabs>
        <w:rPr>
          <w:sz w:val="20"/>
          <w:szCs w:val="20"/>
          <w:color w:val="auto"/>
        </w:rPr>
      </w:pPr>
      <w:r>
        <w:rPr>
          <w:rFonts w:ascii="Times New Roman" w:cs="Times New Roman" w:eastAsia="Times New Roman" w:hAnsi="Times New Roman"/>
          <w:sz w:val="12"/>
          <w:szCs w:val="12"/>
          <w:b w:val="1"/>
          <w:bCs w:val="1"/>
          <w:color w:val="auto"/>
        </w:rPr>
        <w:t>Item 11.</w:t>
      </w:r>
      <w:r>
        <w:rPr>
          <w:sz w:val="20"/>
          <w:szCs w:val="20"/>
          <w:color w:val="auto"/>
        </w:rPr>
        <w:tab/>
      </w:r>
      <w:r>
        <w:rPr>
          <w:rFonts w:ascii="Times New Roman" w:cs="Times New Roman" w:eastAsia="Times New Roman" w:hAnsi="Times New Roman"/>
          <w:sz w:val="11"/>
          <w:szCs w:val="11"/>
          <w:b w:val="1"/>
          <w:bCs w:val="1"/>
          <w:color w:val="auto"/>
        </w:rPr>
        <w:t>Quantitative and Qualitative Disclosures About Market Risk</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Interest Rate Risk</w:t>
      </w:r>
    </w:p>
    <w:p>
      <w:pPr>
        <w:spacing w:after="0" w:line="14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We are exposed to the impact of interest rate changes primarily through our floating-rate borrowings under our credit facilities. Significant increases in interest rates could adversely affect our results of operations and our ability to service our own debt.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Sensitivity Analysis</w:t>
      </w:r>
    </w:p>
    <w:p>
      <w:pPr>
        <w:spacing w:after="0" w:line="143"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In December 2021 and February 2022, we entered into interest rate cap agreements with respect to an aggregate of $992.0 million of our floating rate debt, effective through the fourth quarter of 2026, for a USD one-month LIBOR cap of 0.75%. As a result of the discontinuation of LIBOR, on July 1, 2023, our interest rate caps automatically transitioned to one-month Compounded SOFR at a net level of 0.64%. For additional information, please see “Item 5. Management’s Discussion and Analysis of Financial Condition and Results of Operations—B. Liquidity and Capital Resources—Liquidity, Working Capital and Dividends—Overview.”</w:t>
      </w:r>
    </w:p>
    <w:p>
      <w:pPr>
        <w:spacing w:after="0" w:line="9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Our analysis of the potential effects of variations in market interest rates is based on a sensitivity analysis, which models the effects of potential market interest rate changes on our financial condition and results of operations. The following sensitivity analysis may have limited use as a benchmark and should not be viewed as a forecast as it does not include a variety of other potential factors that could affect our business as a result of changes in interest rates.</w:t>
      </w:r>
    </w:p>
    <w:p>
      <w:pPr>
        <w:spacing w:after="0" w:line="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Currently we are 75% hedged on our floating rate debt of $515.3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Foreign Currency Exchange Risk</w:t>
      </w:r>
    </w:p>
    <w:p>
      <w:pPr>
        <w:spacing w:after="0" w:line="143" w:lineRule="exact"/>
        <w:rPr>
          <w:sz w:val="20"/>
          <w:szCs w:val="20"/>
          <w:color w:val="auto"/>
        </w:rPr>
      </w:pPr>
    </w:p>
    <w:p>
      <w:pPr>
        <w:jc w:val="both"/>
        <w:ind w:right="20" w:firstLine="240"/>
        <w:spacing w:after="0" w:line="249" w:lineRule="auto"/>
        <w:rPr>
          <w:sz w:val="20"/>
          <w:szCs w:val="20"/>
          <w:color w:val="auto"/>
        </w:rPr>
      </w:pPr>
      <w:r>
        <w:rPr>
          <w:rFonts w:ascii="Times New Roman" w:cs="Times New Roman" w:eastAsia="Times New Roman" w:hAnsi="Times New Roman"/>
          <w:sz w:val="12"/>
          <w:szCs w:val="12"/>
          <w:color w:val="auto"/>
        </w:rPr>
        <w:t>The shipping industry’s functional currency is the U.S. dollar. All of our revenues and the majority of our operating costs are in U.S. dollars. On April 4, 2024, we entered into the FX option to purchase €3.0 million, with monthly settlements, that started April 11, 2024, and ended March 13, 2025. The strike price was EURUSD 1.10. We entered to this option to hedge the downside foreign exchange risk associated with expenses denominated in EUR against fluctuations between the U.S. dollar and Euro. This FX option was designated as a cash flow hedge of anticipated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Inflation</w:t>
      </w:r>
    </w:p>
    <w:p>
      <w:pPr>
        <w:spacing w:after="0" w:line="143" w:lineRule="exact"/>
        <w:rPr>
          <w:sz w:val="20"/>
          <w:szCs w:val="20"/>
          <w:color w:val="auto"/>
        </w:rPr>
      </w:pPr>
    </w:p>
    <w:p>
      <w:pPr>
        <w:jc w:val="both"/>
        <w:ind w:firstLine="240"/>
        <w:spacing w:after="0" w:line="237" w:lineRule="auto"/>
        <w:rPr>
          <w:sz w:val="20"/>
          <w:szCs w:val="20"/>
          <w:color w:val="auto"/>
        </w:rPr>
      </w:pPr>
      <w:r>
        <w:rPr>
          <w:rFonts w:ascii="Times New Roman" w:cs="Times New Roman" w:eastAsia="Times New Roman" w:hAnsi="Times New Roman"/>
          <w:sz w:val="12"/>
          <w:szCs w:val="12"/>
          <w:color w:val="auto"/>
        </w:rPr>
        <w:t>Historically, with the exception of rising costs associated with the employment of international crews for our vessels and the impact of global oil prices on the cost of lubricating oil, we had not experienced a significant impact on ship operating expenses, drydocking expenses, and general and administrative expenses. Currently, due to the continuing wars between Russia and Ukraine and Israel and Hamas, ongoing disputes between China and Taiwan, deteriorating trade relations between the U.S. and China, and ongoing political unrest and conflicts in the Middle East, including the recent military conflict in Iran, and other regions throughout the world, and changes in tariffs, trade barriers, and embargos, including recently imposed or announced tariffs by the U.S. and the effects of retaliatory tariffs and countermeasures from affected countries, and the new macroeconomic environment, among other factors, there is inflationary pressure which may, in turn, increase certain of our other operating expenses, such as the cost of spares and supplies, transportation costs, and other expenses, in addition to drydocking expenses and general and administrative expenses.</w:t>
      </w:r>
    </w:p>
    <w:p>
      <w:pPr>
        <w:spacing w:after="0" w:line="123"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Description of Securities Other than Equity Securities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ind w:left="14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Defaults, Dividend Arrearages and Delinquencies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ind w:left="80"/>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14.</w:t>
        <w:tab/>
        <w:t>Material Modifications to the Rights of Security Holders and Use of Proceeds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ind w:left="280"/>
        <w:spacing w:after="0"/>
        <w:tabs>
          <w:tab w:leader="none" w:pos="860" w:val="left"/>
        </w:tabs>
        <w:rPr>
          <w:sz w:val="20"/>
          <w:szCs w:val="20"/>
          <w:color w:val="auto"/>
        </w:rPr>
      </w:pPr>
      <w:r>
        <w:rPr>
          <w:rFonts w:ascii="Times New Roman" w:cs="Times New Roman" w:eastAsia="Times New Roman" w:hAnsi="Times New Roman"/>
          <w:sz w:val="12"/>
          <w:szCs w:val="12"/>
          <w:b w:val="1"/>
          <w:bCs w:val="1"/>
          <w:color w:val="auto"/>
        </w:rPr>
        <w:t>Item 15.</w:t>
      </w:r>
      <w:r>
        <w:rPr>
          <w:sz w:val="20"/>
          <w:szCs w:val="20"/>
          <w:color w:val="auto"/>
        </w:rPr>
        <w:tab/>
      </w:r>
      <w:r>
        <w:rPr>
          <w:rFonts w:ascii="Times New Roman" w:cs="Times New Roman" w:eastAsia="Times New Roman" w:hAnsi="Times New Roman"/>
          <w:sz w:val="11"/>
          <w:szCs w:val="11"/>
          <w:b w:val="1"/>
          <w:bCs w:val="1"/>
          <w:color w:val="auto"/>
        </w:rPr>
        <w:t>Controls and Procedures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Disclosure Controls and Procedures</w:t>
      </w:r>
    </w:p>
    <w:p>
      <w:pPr>
        <w:spacing w:after="0" w:line="145" w:lineRule="exact"/>
        <w:rPr>
          <w:sz w:val="20"/>
          <w:szCs w:val="20"/>
          <w:color w:val="auto"/>
        </w:rPr>
      </w:pPr>
    </w:p>
    <w:p>
      <w:pPr>
        <w:jc w:val="both"/>
        <w:ind w:firstLine="240"/>
        <w:spacing w:after="0" w:line="248" w:lineRule="auto"/>
        <w:rPr>
          <w:sz w:val="20"/>
          <w:szCs w:val="20"/>
          <w:color w:val="auto"/>
        </w:rPr>
      </w:pPr>
      <w:r>
        <w:rPr>
          <w:rFonts w:ascii="Times New Roman" w:cs="Times New Roman" w:eastAsia="Times New Roman" w:hAnsi="Times New Roman"/>
          <w:sz w:val="12"/>
          <w:szCs w:val="12"/>
          <w:color w:val="auto"/>
        </w:rPr>
        <w:t>As required by Rules 13a-15 and 15d-15 under the Exchange Act, management has evaluated, with the participation of our Chief Executive Officer and Chief Financial Officer, the effectiveness of our disclosure controls and procedures as of the end of the period covered by this Annual Report.</w:t>
      </w:r>
    </w:p>
    <w:p>
      <w:pPr>
        <w:spacing w:after="0" w:line="102" w:lineRule="exact"/>
        <w:rPr>
          <w:sz w:val="20"/>
          <w:szCs w:val="20"/>
          <w:color w:val="auto"/>
        </w:rPr>
      </w:pPr>
    </w:p>
    <w:p>
      <w:pPr>
        <w:jc w:val="both"/>
        <w:ind w:firstLine="240"/>
        <w:spacing w:after="0" w:line="238" w:lineRule="auto"/>
        <w:rPr>
          <w:sz w:val="20"/>
          <w:szCs w:val="20"/>
          <w:color w:val="auto"/>
        </w:rPr>
      </w:pPr>
      <w:r>
        <w:rPr>
          <w:rFonts w:ascii="Times New Roman" w:cs="Times New Roman" w:eastAsia="Times New Roman" w:hAnsi="Times New Roman"/>
          <w:sz w:val="12"/>
          <w:szCs w:val="12"/>
          <w:color w:val="auto"/>
        </w:rPr>
        <w:t>Disclosure controls and procedures refer to controls and other procedures designed to ensure that information required to be disclosed in the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our reports that we file or submit under the Exchange Act is accumulated and communicated to management, including our Chief Executive Officer and Chief Financial Officer, as appropriate to allow timely decisions regarding our required disclosure. In designing and evaluating our disclosure controls and procedures, management recognizes that any controls and procedures, no matter how well designed and operated, can provide only reasonable assurance of achieving the desired control objectives, and management was required to apply its judgment in evaluating and implementing possible controls and procedures.</w:t>
      </w:r>
    </w:p>
    <w:p>
      <w:pPr>
        <w:spacing w:after="0" w:line="99"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Based on the foregoing, our Chief Executive Officer and Chief Financial Officer have concluded that, as of December 31, 2025, the end of the period covered by this Annual Report, our disclosure controls and procedures were effective at the reasonable assurance level.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Management acknowledges its responsibility for establishing and maintaining adequate internal controls over financial reporting. Internal control over financial reporting refers to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5" w:lineRule="exact"/>
        <w:rPr>
          <w:sz w:val="20"/>
          <w:szCs w:val="20"/>
          <w:color w:val="auto"/>
        </w:rPr>
      </w:pPr>
    </w:p>
    <w:p>
      <w:pPr>
        <w:ind w:left="540" w:hanging="188"/>
        <w:spacing w:after="0"/>
        <w:tabs>
          <w:tab w:leader="none" w:pos="5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 to the maintenance of records that in reasonable detail accurately and fairly reflect the transactions and dispositions of our assets;</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members of our Board of Directors; and</w:t>
      </w:r>
    </w:p>
    <w:p>
      <w:pPr>
        <w:spacing w:after="0" w:line="111"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reasonable assurance regarding prevention or timely detection of unauthorized acquisition, use, or disposition of our assets that could have a material effect on our financial statements.</w:t>
      </w:r>
    </w:p>
    <w:p>
      <w:pPr>
        <w:spacing w:after="0" w:line="141" w:lineRule="exact"/>
        <w:rPr>
          <w:sz w:val="20"/>
          <w:szCs w:val="20"/>
          <w:color w:val="auto"/>
        </w:rPr>
      </w:pPr>
    </w:p>
    <w:p>
      <w:pPr>
        <w:ind w:right="20" w:firstLine="240"/>
        <w:spacing w:after="0" w:line="264"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2" w:lineRule="exact"/>
        <w:rPr>
          <w:sz w:val="20"/>
          <w:szCs w:val="20"/>
          <w:color w:val="auto"/>
        </w:rPr>
      </w:pPr>
    </w:p>
    <w:p>
      <w:pPr>
        <w:ind w:right="20" w:firstLine="240"/>
        <w:spacing w:after="0" w:line="248" w:lineRule="auto"/>
        <w:rPr>
          <w:sz w:val="20"/>
          <w:szCs w:val="20"/>
          <w:color w:val="auto"/>
        </w:rPr>
      </w:pPr>
      <w:r>
        <w:rPr>
          <w:rFonts w:ascii="Times New Roman" w:cs="Times New Roman" w:eastAsia="Times New Roman" w:hAnsi="Times New Roman"/>
          <w:sz w:val="12"/>
          <w:szCs w:val="12"/>
          <w:color w:val="auto"/>
        </w:rPr>
        <w:t>Management evaluated the effectiveness of our internal control over financial reporting as of December 31, 2025 using the framework established in Internal Control—Integrated Framework (2013) issued by the Committee of Sponsoring Organizations of the Treadway Commission. Based on the foregoing, management has concluded that internal control over financial reporting was effective as of December 31, 2025.</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Changes in Internal Control over Financial Reporting</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In accordance with Rule 13a-15(d), management has evaluated, with the participation of our Chief Executive Officer and Chief Financial Officer, whether any changes in our internal control over financial reporting that occurred during our last fiscal year have materially affected, or are reasonably likely to materially affect, our internal control over financial reporting.</w:t>
      </w:r>
    </w:p>
    <w:p>
      <w:pPr>
        <w:spacing w:after="0" w:line="83"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During the period covered by this Annual Report on Form 20-F, there have been no changes in our internal control over financial reporting that have materially affected or are reasonably likely to materially affect our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Attestation Report of the Registered Public Accounting Firm</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effectiveness of our internal control over financial reporting as of December 31, 2025 has been audited by PricewaterhouseCoopers S.A., an independent registered public accounting firm, as stated in their report which appears herein.</w:t>
      </w:r>
    </w:p>
    <w:p>
      <w:pPr>
        <w:spacing w:after="0" w:line="15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b w:val="1"/>
          <w:bCs w:val="1"/>
          <w:color w:val="auto"/>
        </w:rPr>
        <w:t>Item 16A.  Audit Committee Financial Expert</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Board of Directors has determined that our director and chairman of the audit committee, Mr. van Lacum, qualifies as an audit committee financial expert and is independent under applicable NYSE and SEC standards.</w:t>
      </w:r>
    </w:p>
    <w:p>
      <w:pPr>
        <w:spacing w:after="0" w:line="155" w:lineRule="exact"/>
        <w:rPr>
          <w:sz w:val="20"/>
          <w:szCs w:val="20"/>
          <w:color w:val="auto"/>
        </w:rPr>
      </w:pPr>
    </w:p>
    <w:p>
      <w:pPr>
        <w:ind w:left="480"/>
        <w:spacing w:after="0"/>
        <w:tabs>
          <w:tab w:leader="none" w:pos="1060" w:val="left"/>
        </w:tabs>
        <w:rPr>
          <w:sz w:val="20"/>
          <w:szCs w:val="20"/>
          <w:color w:val="auto"/>
        </w:rPr>
      </w:pPr>
      <w:r>
        <w:rPr>
          <w:rFonts w:ascii="Times New Roman" w:cs="Times New Roman" w:eastAsia="Times New Roman" w:hAnsi="Times New Roman"/>
          <w:sz w:val="12"/>
          <w:szCs w:val="12"/>
          <w:b w:val="1"/>
          <w:bCs w:val="1"/>
          <w:color w:val="auto"/>
        </w:rPr>
        <w:t>Item 16B.</w:t>
      </w:r>
      <w:r>
        <w:rPr>
          <w:sz w:val="20"/>
          <w:szCs w:val="20"/>
          <w:color w:val="auto"/>
        </w:rPr>
        <w:tab/>
      </w:r>
      <w:r>
        <w:rPr>
          <w:rFonts w:ascii="Times New Roman" w:cs="Times New Roman" w:eastAsia="Times New Roman" w:hAnsi="Times New Roman"/>
          <w:sz w:val="11"/>
          <w:szCs w:val="11"/>
          <w:b w:val="1"/>
          <w:bCs w:val="1"/>
          <w:color w:val="auto"/>
        </w:rPr>
        <w:t>Code of Ethics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We have adopted a Code of Business Conduct and Ethics that applies to our directors, officers and employees. This document is available in the Corporate Governance section of our website (http://www.globalshiplease.com). The information included on our website is not incorporate herein by reference. We also intend to disclose on our website any waivers to or amendments of our Code of Business Conduct and Ethics for the benefit of our executive officers that we may be required to disclose under applicable rules.</w:t>
      </w:r>
    </w:p>
    <w:p>
      <w:pPr>
        <w:spacing w:after="0" w:line="14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Item 16C.  Principal Accountant Fees and Services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Our principal accountant for 2025 and 2024 was PricewaterhouseCoopers S.A., an independent registered public accounting firm.</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Fees Incurred by Global Ship Lease for PricewaterhouseCoopers S.A.’s Services</w:t>
            </w:r>
          </w:p>
        </w:tc>
        <w:tc>
          <w:tcPr>
            <w:tcW w:w="35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279"/>
        </w:trPr>
        <w:tc>
          <w:tcPr>
            <w:tcW w:w="514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fees for services rendered by the principal accountant in 2025 and 2024 were as follows:</w:t>
            </w: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88"/>
        </w:trPr>
        <w:tc>
          <w:tcPr>
            <w:tcW w:w="514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5140" w:type="dxa"/>
            <w:vAlign w:val="bottom"/>
            <w:tcBorders>
              <w:top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Audit Fees</w:t>
            </w:r>
          </w:p>
        </w:tc>
        <w:tc>
          <w:tcPr>
            <w:tcW w:w="356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679,000</w:t>
            </w:r>
          </w:p>
        </w:tc>
        <w:tc>
          <w:tcPr>
            <w:tcW w:w="10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660,100</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Audit related fees</w:t>
            </w:r>
          </w:p>
        </w:tc>
        <w:tc>
          <w:tcPr>
            <w:tcW w:w="3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31,100</w:t>
            </w:r>
          </w:p>
        </w:tc>
        <w:tc>
          <w:tcPr>
            <w:tcW w:w="4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26,100</w:t>
            </w:r>
          </w:p>
        </w:tc>
      </w:tr>
      <w:tr>
        <w:trPr>
          <w:trHeight w:val="144"/>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Tax Fees</w:t>
            </w:r>
          </w:p>
        </w:tc>
        <w:tc>
          <w:tcPr>
            <w:tcW w:w="35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37,326</w:t>
            </w:r>
          </w:p>
        </w:tc>
        <w:tc>
          <w:tcPr>
            <w:tcW w:w="4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39,765</w:t>
            </w:r>
          </w:p>
        </w:tc>
      </w:tr>
      <w:tr>
        <w:trPr>
          <w:trHeight w:val="144"/>
        </w:trPr>
        <w:tc>
          <w:tcPr>
            <w:tcW w:w="5140" w:type="dxa"/>
            <w:vAlign w:val="bottom"/>
          </w:tcPr>
          <w:p>
            <w:pPr>
              <w:spacing w:after="0"/>
              <w:rPr>
                <w:sz w:val="20"/>
                <w:szCs w:val="20"/>
                <w:color w:val="auto"/>
              </w:rPr>
            </w:pPr>
            <w:r>
              <w:rPr>
                <w:rFonts w:ascii="Times New Roman" w:cs="Times New Roman" w:eastAsia="Times New Roman" w:hAnsi="Times New Roman"/>
                <w:sz w:val="12"/>
                <w:szCs w:val="12"/>
                <w:color w:val="auto"/>
              </w:rPr>
              <w:t>All other fees</w:t>
            </w:r>
          </w:p>
        </w:tc>
        <w:tc>
          <w:tcPr>
            <w:tcW w:w="35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2"/>
                <w:szCs w:val="12"/>
                <w:color w:val="auto"/>
              </w:rPr>
              <w:t>17,300</w:t>
            </w:r>
          </w:p>
        </w:tc>
        <w:tc>
          <w:tcPr>
            <w:tcW w:w="4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2,094</w:t>
            </w:r>
          </w:p>
        </w:tc>
      </w:tr>
      <w:tr>
        <w:trPr>
          <w:trHeight w:val="153"/>
        </w:trPr>
        <w:tc>
          <w:tcPr>
            <w:tcW w:w="5140" w:type="dxa"/>
            <w:vAlign w:val="bottom"/>
            <w:tcBorders>
              <w:top w:val="single" w:sz="8" w:color="CCEEFF"/>
              <w:bottom w:val="single" w:sz="8" w:color="CCEEFF"/>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356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764,726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728,059</w:t>
            </w:r>
          </w:p>
        </w:tc>
      </w:tr>
      <w:tr>
        <w:trPr>
          <w:trHeight w:val="275"/>
        </w:trPr>
        <w:tc>
          <w:tcPr>
            <w:tcW w:w="5140" w:type="dxa"/>
            <w:vAlign w:val="bottom"/>
            <w:tcBorders>
              <w:bottom w:val="single" w:sz="8" w:color="auto"/>
            </w:tcBorders>
          </w:tcPr>
          <w:p>
            <w:pPr>
              <w:spacing w:after="0"/>
              <w:rPr>
                <w:sz w:val="23"/>
                <w:szCs w:val="23"/>
                <w:color w:val="auto"/>
              </w:rPr>
            </w:pPr>
          </w:p>
        </w:tc>
        <w:tc>
          <w:tcPr>
            <w:tcW w:w="3560" w:type="dxa"/>
            <w:vAlign w:val="bottom"/>
            <w:tcBorders>
              <w:bottom w:val="single" w:sz="8" w:color="auto"/>
            </w:tcBorders>
          </w:tcPr>
          <w:p>
            <w:pPr>
              <w:jc w:val="right"/>
              <w:ind w:right="2940"/>
              <w:spacing w:after="0"/>
              <w:rPr>
                <w:sz w:val="20"/>
                <w:szCs w:val="20"/>
                <w:color w:val="auto"/>
              </w:rPr>
            </w:pPr>
            <w:r>
              <w:rPr>
                <w:rFonts w:ascii="Times New Roman" w:cs="Times New Roman" w:eastAsia="Times New Roman" w:hAnsi="Times New Roman"/>
                <w:sz w:val="12"/>
                <w:szCs w:val="12"/>
                <w:color w:val="auto"/>
              </w:rPr>
              <w:t>88</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spacing w:after="0"/>
              <w:rPr>
                <w:sz w:val="23"/>
                <w:szCs w:val="23"/>
                <w:color w:val="auto"/>
              </w:rPr>
            </w:pPr>
          </w:p>
        </w:tc>
      </w:tr>
    </w:tbl>
    <w:p>
      <w:pPr>
        <w:sectPr>
          <w:pgSz w:w="11900" w:h="16838" w:orient="portrait"/>
          <w:cols w:equalWidth="0" w:num="1">
            <w:col w:w="11300"/>
          </w:cols>
          <w:pgMar w:left="300" w:top="201" w:right="2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Fees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Audit fees represent professional services rendered for the audit of our consolidated annual financial statements, the quarterly reviews and services provided by our principal accountant in connection with statutory and regulatory filings or engagements.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Audit-Related Fees</w:t>
      </w:r>
    </w:p>
    <w:p>
      <w:pPr>
        <w:spacing w:after="0" w:line="145" w:lineRule="exact"/>
        <w:rPr>
          <w:sz w:val="20"/>
          <w:szCs w:val="20"/>
          <w:color w:val="auto"/>
        </w:rPr>
      </w:pPr>
    </w:p>
    <w:p>
      <w:pPr>
        <w:jc w:val="both"/>
        <w:ind w:right="20" w:firstLine="240"/>
        <w:spacing w:after="0" w:line="264" w:lineRule="auto"/>
        <w:rPr>
          <w:sz w:val="20"/>
          <w:szCs w:val="20"/>
          <w:color w:val="auto"/>
        </w:rPr>
      </w:pPr>
      <w:r>
        <w:rPr>
          <w:rFonts w:ascii="Times New Roman" w:cs="Times New Roman" w:eastAsia="Times New Roman" w:hAnsi="Times New Roman"/>
          <w:sz w:val="12"/>
          <w:szCs w:val="12"/>
          <w:color w:val="auto"/>
        </w:rPr>
        <w:t>Audit-related fees consist of assurance and related services rendered by the principal accountant related to the performance of the audit or review of our consolidated financial statements or other filings which have not been reported under Audit Fees above.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Tax Fees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Tax fees for 2025 and 2024 are primarily for tax compliance and consultation services.</w:t>
      </w:r>
    </w:p>
    <w:p>
      <w:pPr>
        <w:spacing w:after="0" w:line="114"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The audit committee has the authority to pre-approve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has pre-approved all non-audit services, subject to a detailed pre-approval policy and procedure established by them.</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All other fees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All other fees relate to services not included in the first three categories.</w:t>
      </w:r>
    </w:p>
    <w:p>
      <w:pPr>
        <w:spacing w:after="0" w:line="1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2"/>
          <w:szCs w:val="12"/>
          <w:b w:val="1"/>
          <w:bCs w:val="1"/>
          <w:color w:val="auto"/>
        </w:rPr>
        <w:t>Item 16D.  Exemptions from the Listing Standards for Audit Committees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82" w:lineRule="exact"/>
        <w:rPr>
          <w:sz w:val="20"/>
          <w:szCs w:val="20"/>
          <w:color w:val="auto"/>
        </w:rPr>
      </w:pPr>
    </w:p>
    <w:p>
      <w:pPr>
        <w:ind w:left="100"/>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Item 16E.</w:t>
      </w:r>
      <w:r>
        <w:rPr>
          <w:sz w:val="20"/>
          <w:szCs w:val="20"/>
          <w:color w:val="auto"/>
        </w:rPr>
        <w:tab/>
      </w:r>
      <w:r>
        <w:rPr>
          <w:rFonts w:ascii="Times New Roman" w:cs="Times New Roman" w:eastAsia="Times New Roman" w:hAnsi="Times New Roman"/>
          <w:sz w:val="11"/>
          <w:szCs w:val="11"/>
          <w:b w:val="1"/>
          <w:bCs w:val="1"/>
          <w:color w:val="auto"/>
        </w:rPr>
        <w:t>Purchases of Equity Securities by the Issuer and Affiliated Purchasers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March 2022, our Board of Directors authorized our repurchase of up to $40.0 million of Class A common shares, to be utilized on an opportunistic basis, and in July 2023, our Board of Directors authorized our repurchase of an additional $40.0 million of Class A common shares on the same basis, which we refer to as our Share Repurchase Program. The specific timing and amounts of the repurchases will be in the sole discretion of management and may vary based on market conditions and other factors. We are not obligated under the terms of the Share Repurchase Program to repurchase any of our common shares. We did not repurchase any of our common shares in 2025.</w:t>
      </w:r>
    </w:p>
    <w:p>
      <w:pPr>
        <w:spacing w:after="0" w:line="98" w:lineRule="exact"/>
        <w:rPr>
          <w:sz w:val="20"/>
          <w:szCs w:val="20"/>
          <w:color w:val="auto"/>
        </w:rPr>
      </w:pPr>
    </w:p>
    <w:p>
      <w:pPr>
        <w:ind w:left="140"/>
        <w:spacing w:after="0"/>
        <w:tabs>
          <w:tab w:leader="none" w:pos="720" w:val="left"/>
        </w:tabs>
        <w:rPr>
          <w:sz w:val="20"/>
          <w:szCs w:val="20"/>
          <w:color w:val="auto"/>
        </w:rPr>
      </w:pPr>
      <w:r>
        <w:rPr>
          <w:rFonts w:ascii="Times New Roman" w:cs="Times New Roman" w:eastAsia="Times New Roman" w:hAnsi="Times New Roman"/>
          <w:sz w:val="12"/>
          <w:szCs w:val="12"/>
          <w:b w:val="1"/>
          <w:bCs w:val="1"/>
          <w:color w:val="auto"/>
        </w:rPr>
        <w:t>Item 16F.</w:t>
      </w:r>
      <w:r>
        <w:rPr>
          <w:sz w:val="20"/>
          <w:szCs w:val="20"/>
          <w:color w:val="auto"/>
        </w:rPr>
        <w:tab/>
      </w:r>
      <w:r>
        <w:rPr>
          <w:rFonts w:ascii="Times New Roman" w:cs="Times New Roman" w:eastAsia="Times New Roman" w:hAnsi="Times New Roman"/>
          <w:sz w:val="11"/>
          <w:szCs w:val="11"/>
          <w:b w:val="1"/>
          <w:bCs w:val="1"/>
          <w:color w:val="auto"/>
        </w:rPr>
        <w:t>Change in Registrant’s Certifying Accountant</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None.</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Item 16G.  Corporate Governance</w:t>
      </w:r>
    </w:p>
    <w:p>
      <w:pPr>
        <w:spacing w:after="0" w:line="145" w:lineRule="exact"/>
        <w:rPr>
          <w:sz w:val="20"/>
          <w:szCs w:val="20"/>
          <w:color w:val="auto"/>
        </w:rPr>
      </w:pPr>
    </w:p>
    <w:p>
      <w:pPr>
        <w:ind w:firstLine="240"/>
        <w:spacing w:after="0" w:line="264" w:lineRule="auto"/>
        <w:rPr>
          <w:sz w:val="20"/>
          <w:szCs w:val="20"/>
          <w:color w:val="auto"/>
        </w:rPr>
      </w:pPr>
      <w:r>
        <w:rPr>
          <w:rFonts w:ascii="Times New Roman" w:cs="Times New Roman" w:eastAsia="Times New Roman" w:hAnsi="Times New Roman"/>
          <w:sz w:val="12"/>
          <w:szCs w:val="12"/>
          <w:color w:val="auto"/>
        </w:rPr>
        <w:t>As a foreign private issuer, we are exempt from certain corporate governance rules that apply to domestic companies under NYSE listing standards. Even though we are not required to do so, we follow certain corporate governance practices applicable to domestic companies under NYSE listing standards, such as:</w:t>
      </w:r>
    </w:p>
    <w:p>
      <w:pPr>
        <w:spacing w:after="0" w:line="110" w:lineRule="exact"/>
        <w:rPr>
          <w:sz w:val="20"/>
          <w:szCs w:val="20"/>
          <w:color w:val="auto"/>
        </w:rPr>
      </w:pPr>
    </w:p>
    <w:p>
      <w:pPr>
        <w:ind w:left="540" w:hanging="188"/>
        <w:spacing w:after="0"/>
        <w:tabs>
          <w:tab w:leader="none" w:pos="5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compensation committee that consists of four directors, all of whom satisfy NYSE standards for independence;</w:t>
      </w:r>
    </w:p>
    <w:p>
      <w:pPr>
        <w:spacing w:after="0" w:line="150" w:lineRule="exact"/>
        <w:rPr>
          <w:rFonts w:ascii="Times New Roman" w:cs="Times New Roman" w:eastAsia="Times New Roman" w:hAnsi="Times New Roman"/>
          <w:sz w:val="12"/>
          <w:szCs w:val="12"/>
          <w:color w:val="auto"/>
        </w:rPr>
      </w:pPr>
    </w:p>
    <w:p>
      <w:pPr>
        <w:ind w:left="540" w:hanging="188"/>
        <w:spacing w:after="0"/>
        <w:tabs>
          <w:tab w:leader="none" w:pos="5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 nominating and corporate governance committee that consists of three directors, all of whom satisfy NYSE standards for independence; and</w:t>
      </w:r>
    </w:p>
    <w:p>
      <w:pPr>
        <w:spacing w:after="0" w:line="150" w:lineRule="exact"/>
        <w:rPr>
          <w:rFonts w:ascii="Times New Roman" w:cs="Times New Roman" w:eastAsia="Times New Roman" w:hAnsi="Times New Roman"/>
          <w:sz w:val="12"/>
          <w:szCs w:val="12"/>
          <w:color w:val="auto"/>
        </w:rPr>
      </w:pPr>
    </w:p>
    <w:p>
      <w:pPr>
        <w:ind w:left="540" w:hanging="188"/>
        <w:spacing w:after="0" w:line="279" w:lineRule="auto"/>
        <w:tabs>
          <w:tab w:leader="none" w:pos="540" w:val="left"/>
        </w:tabs>
        <w:numPr>
          <w:ilvl w:val="0"/>
          <w:numId w:val="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hold annual meetings of shareholders under the Business Corporations Act of the Republic of the Marshall Islands, similar to NYSE requirements. The significant differences between our corporate governance practices and the NYSE standards are set forth below.</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Shareholder Approval of Equity Compensation Plans</w:t>
      </w:r>
    </w:p>
    <w:p>
      <w:pPr>
        <w:spacing w:after="0" w:line="145"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NYSE requires listed companies to obtain prior shareholder approval to adopt or materially revise any equity compensation plan. As permitted under Marshall Islands law and our Fourth Amended and Restated Bylaws, we do not need prior shareholder approval to adopt or revise equity compensation plans, including our equity incentive plan.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Share Issuances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In lieu of obtaining shareholder approval prior to the issuance of designated securities, we will comply with provisions of the Marshall Islands Business Corporations Act, which allow the Board of Directors to approve share issuances. However, pursuant to 313.00 of Section 3 of the NYSE Listed Company Manual, the NYSE will accept any action or issuance relating to the voting rights structure of a non-U.S. company that is in compliance with the NYSE’s requirements for domestic companies or that is not prohibited by the company’s home country law. We are not subject to such restrictions under the law of our home country, the Republic of the Marshall Islands.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Sessions</w:t>
      </w:r>
    </w:p>
    <w:p>
      <w:pPr>
        <w:spacing w:after="0" w:line="118" w:lineRule="exact"/>
        <w:rPr>
          <w:sz w:val="20"/>
          <w:szCs w:val="20"/>
          <w:color w:val="auto"/>
        </w:rPr>
      </w:pPr>
    </w:p>
    <w:p>
      <w:pPr>
        <w:jc w:val="both"/>
        <w:ind w:firstLine="240"/>
        <w:spacing w:after="0" w:line="264" w:lineRule="auto"/>
        <w:rPr>
          <w:sz w:val="20"/>
          <w:szCs w:val="20"/>
          <w:color w:val="auto"/>
        </w:rPr>
      </w:pPr>
      <w:r>
        <w:rPr>
          <w:rFonts w:ascii="Times New Roman" w:cs="Times New Roman" w:eastAsia="Times New Roman" w:hAnsi="Times New Roman"/>
          <w:sz w:val="12"/>
          <w:szCs w:val="12"/>
          <w:color w:val="auto"/>
        </w:rPr>
        <w:t>The NYSE requires that non-management directors meet regularly in executive sessions without management. Marshall Islands law and our Fourth Amended and Restated Bylaws do not require our non-management directors to regularly hold executive sessions without management.</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Item 16H.  Mine Safety Disclosure</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7" w:lineRule="exact"/>
        <w:rPr>
          <w:sz w:val="20"/>
          <w:szCs w:val="20"/>
          <w:color w:val="auto"/>
        </w:rPr>
      </w:pPr>
    </w:p>
    <w:p>
      <w:pPr>
        <w:ind w:left="100"/>
        <w:spacing w:after="0"/>
        <w:tabs>
          <w:tab w:leader="none" w:pos="680" w:val="left"/>
        </w:tabs>
        <w:rPr>
          <w:sz w:val="20"/>
          <w:szCs w:val="20"/>
          <w:color w:val="auto"/>
        </w:rPr>
      </w:pPr>
      <w:r>
        <w:rPr>
          <w:rFonts w:ascii="Times New Roman" w:cs="Times New Roman" w:eastAsia="Times New Roman" w:hAnsi="Times New Roman"/>
          <w:sz w:val="12"/>
          <w:szCs w:val="12"/>
          <w:b w:val="1"/>
          <w:bCs w:val="1"/>
          <w:color w:val="auto"/>
        </w:rPr>
        <w:t>Item 16I.</w:t>
      </w:r>
      <w:r>
        <w:rPr>
          <w:sz w:val="20"/>
          <w:szCs w:val="20"/>
          <w:color w:val="auto"/>
        </w:rPr>
        <w:tab/>
      </w:r>
      <w:r>
        <w:rPr>
          <w:rFonts w:ascii="Times New Roman" w:cs="Times New Roman" w:eastAsia="Times New Roman" w:hAnsi="Times New Roman"/>
          <w:sz w:val="11"/>
          <w:szCs w:val="11"/>
          <w:b w:val="1"/>
          <w:bCs w:val="1"/>
          <w:color w:val="auto"/>
        </w:rPr>
        <w:t>Disclosure Regarding Foreign Jurisdictions that Prevent Inspections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Not applicable.</w:t>
      </w:r>
    </w:p>
    <w:p>
      <w:pPr>
        <w:spacing w:after="0" w:line="137" w:lineRule="exact"/>
        <w:rPr>
          <w:sz w:val="20"/>
          <w:szCs w:val="20"/>
          <w:color w:val="auto"/>
        </w:rPr>
      </w:pPr>
    </w:p>
    <w:p>
      <w:pPr>
        <w:ind w:left="280"/>
        <w:spacing w:after="0"/>
        <w:tabs>
          <w:tab w:leader="none" w:pos="880" w:val="left"/>
        </w:tabs>
        <w:rPr>
          <w:sz w:val="20"/>
          <w:szCs w:val="20"/>
          <w:color w:val="auto"/>
        </w:rPr>
      </w:pPr>
      <w:r>
        <w:rPr>
          <w:rFonts w:ascii="Times New Roman" w:cs="Times New Roman" w:eastAsia="Times New Roman" w:hAnsi="Times New Roman"/>
          <w:sz w:val="12"/>
          <w:szCs w:val="12"/>
          <w:b w:val="1"/>
          <w:bCs w:val="1"/>
          <w:color w:val="auto"/>
        </w:rPr>
        <w:t>Item 16J.</w:t>
      </w:r>
      <w:r>
        <w:rPr>
          <w:sz w:val="20"/>
          <w:szCs w:val="20"/>
          <w:color w:val="auto"/>
        </w:rPr>
        <w:tab/>
      </w:r>
      <w:r>
        <w:rPr>
          <w:rFonts w:ascii="Times New Roman" w:cs="Times New Roman" w:eastAsia="Times New Roman" w:hAnsi="Times New Roman"/>
          <w:sz w:val="11"/>
          <w:szCs w:val="11"/>
          <w:b w:val="1"/>
          <w:bCs w:val="1"/>
          <w:color w:val="auto"/>
        </w:rPr>
        <w:t>Insider Trading Policies</w:t>
      </w:r>
    </w:p>
    <w:p>
      <w:pPr>
        <w:spacing w:after="0" w:line="145" w:lineRule="exact"/>
        <w:rPr>
          <w:sz w:val="20"/>
          <w:szCs w:val="20"/>
          <w:color w:val="auto"/>
        </w:rPr>
      </w:pPr>
    </w:p>
    <w:p>
      <w:pPr>
        <w:jc w:val="both"/>
        <w:ind w:firstLine="240"/>
        <w:spacing w:after="0" w:line="249" w:lineRule="auto"/>
        <w:rPr>
          <w:sz w:val="20"/>
          <w:szCs w:val="20"/>
          <w:color w:val="auto"/>
        </w:rPr>
      </w:pPr>
      <w:r>
        <w:rPr>
          <w:rFonts w:ascii="Times New Roman" w:cs="Times New Roman" w:eastAsia="Times New Roman" w:hAnsi="Times New Roman"/>
          <w:sz w:val="12"/>
          <w:szCs w:val="12"/>
          <w:color w:val="auto"/>
        </w:rPr>
        <w:t>Our Board of Directors has adopted Policies and Procedures to Detect and Prevent Insider Trading (“Insider Trading Policy”) governing the purchase, sale, and other dispositions of our securities by directors, senior management, and employees that are reasonably designed to promote compliance with applicable insider trading laws, rules and regulations, and any listing standards applicable to us. A copy of our Insider Trading Policy was previously filed as Exhibit 11.1 to the Annual Report on Form 20-F filed with the SEC on March 20, 2024 and is hereby incorporated by reference into this Annual Report.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2" w:name="page93"/>
    <w:bookmarkEnd w:id="9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ind w:left="488"/>
        <w:spacing w:after="0"/>
        <w:rPr>
          <w:sz w:val="20"/>
          <w:szCs w:val="20"/>
          <w:color w:val="auto"/>
        </w:rPr>
      </w:pPr>
      <w:r>
        <w:rPr>
          <w:rFonts w:ascii="Times New Roman" w:cs="Times New Roman" w:eastAsia="Times New Roman" w:hAnsi="Times New Roman"/>
          <w:sz w:val="12"/>
          <w:szCs w:val="12"/>
          <w:b w:val="1"/>
          <w:bCs w:val="1"/>
          <w:color w:val="auto"/>
        </w:rPr>
        <w:t>Item 16K.  Cybersecurity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 Assessment and Management</w:t>
      </w:r>
    </w:p>
    <w:p>
      <w:pPr>
        <w:spacing w:after="0" w:line="145" w:lineRule="exact"/>
        <w:rPr>
          <w:sz w:val="20"/>
          <w:szCs w:val="20"/>
          <w:color w:val="auto"/>
        </w:rPr>
      </w:pPr>
    </w:p>
    <w:p>
      <w:pPr>
        <w:jc w:val="both"/>
        <w:ind w:left="8" w:firstLine="240"/>
        <w:spacing w:after="0" w:line="235" w:lineRule="auto"/>
        <w:rPr>
          <w:sz w:val="20"/>
          <w:szCs w:val="20"/>
          <w:color w:val="auto"/>
        </w:rPr>
      </w:pPr>
      <w:r>
        <w:rPr>
          <w:rFonts w:ascii="Times New Roman" w:cs="Times New Roman" w:eastAsia="Times New Roman" w:hAnsi="Times New Roman"/>
          <w:sz w:val="12"/>
          <w:szCs w:val="12"/>
          <w:color w:val="auto"/>
        </w:rPr>
        <w:t>We believe that cybersecurity is fundamental in our operations and, as such, we are committed to maintaining robust governance and oversight of cybersecurity risks and to implementing comprehensive processes and procedures for identifying, assessing, and managing material risks from cybersecurity threats as part of our broader risk management system and processes. Our cybersecurity risk management strategy prioritizes detection, analysis, and response to known, anticipated or unexpected threats; effective management of security risks; and resiliency against incidents. With the ever-changing cybersecurity landscape and continual emergence of new cybersecurity threats, our Board of Directors, audit committee and senior management team ensure that significant resources are devoted to cybersecurity risk management and the technologies, processes and people that support it. We implement through our manager and other third parties, risk-based controls based on ISO 27001 framework, to protect our information, the information of our customers, suppliers, and other third parties, our information systems, our business operations, and our vessels. Our cybersecurity risk management also includes a Security Operations Center (“SOC”) that is provided by a third-party vendor that conducts ongoing monitoring of networks and systems for potential signs of suspicious activity. The SOC monitors security alerts to initiate defensive action, verification, and remediation activities. Additionally, our cybersecurity program provides mechanisms for employees to report any unusual or potentially malicious activity they observe.</w:t>
      </w:r>
    </w:p>
    <w:p>
      <w:pPr>
        <w:spacing w:after="0" w:line="125" w:lineRule="exact"/>
        <w:rPr>
          <w:sz w:val="20"/>
          <w:szCs w:val="20"/>
          <w:color w:val="auto"/>
        </w:rPr>
      </w:pPr>
    </w:p>
    <w:p>
      <w:pPr>
        <w:ind w:left="248"/>
        <w:spacing w:after="0"/>
        <w:rPr>
          <w:sz w:val="20"/>
          <w:szCs w:val="20"/>
          <w:color w:val="auto"/>
        </w:rPr>
      </w:pPr>
      <w:r>
        <w:rPr>
          <w:rFonts w:ascii="Times New Roman" w:cs="Times New Roman" w:eastAsia="Times New Roman" w:hAnsi="Times New Roman"/>
          <w:sz w:val="12"/>
          <w:szCs w:val="12"/>
          <w:color w:val="auto"/>
        </w:rPr>
        <w:t>Overall, our approach to cybersecurity risk management includes the following key elements:</w:t>
      </w:r>
    </w:p>
    <w:p>
      <w:pPr>
        <w:spacing w:after="0" w:line="150" w:lineRule="exact"/>
        <w:rPr>
          <w:sz w:val="20"/>
          <w:szCs w:val="20"/>
          <w:color w:val="auto"/>
        </w:rPr>
      </w:pPr>
    </w:p>
    <w:p>
      <w:pPr>
        <w:ind w:left="428" w:hanging="428"/>
        <w:spacing w:after="0"/>
        <w:tabs>
          <w:tab w:leader="none" w:pos="42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Continuous monitoring of cybersecurity threats, both internal and external, using data analytics and network monitoring systems.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Engagement of third-party consultants and other advisors to assist in assessing points of vulnerability of our information security systems.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and Awareness – We provide employee mandatory training that is administered on a periodic basis that reinforces our information technology policies, standards, and practices, as well as the expectation that employees comply with these policies and identify and report potential cybersecurity risks.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Incident Response</w:t>
      </w:r>
    </w:p>
    <w:p>
      <w:pPr>
        <w:spacing w:after="0" w:line="145" w:lineRule="exact"/>
        <w:rPr>
          <w:sz w:val="20"/>
          <w:szCs w:val="20"/>
          <w:color w:val="auto"/>
        </w:rPr>
      </w:pPr>
    </w:p>
    <w:p>
      <w:pPr>
        <w:jc w:val="both"/>
        <w:ind w:left="8" w:firstLine="240"/>
        <w:spacing w:after="0" w:line="238" w:lineRule="auto"/>
        <w:rPr>
          <w:sz w:val="20"/>
          <w:szCs w:val="20"/>
          <w:color w:val="auto"/>
        </w:rPr>
      </w:pPr>
      <w:r>
        <w:rPr>
          <w:rFonts w:ascii="Times New Roman" w:cs="Times New Roman" w:eastAsia="Times New Roman" w:hAnsi="Times New Roman"/>
          <w:sz w:val="12"/>
          <w:szCs w:val="12"/>
          <w:color w:val="auto"/>
        </w:rPr>
        <w:t>As part of our cybersecurity risk management system and through our manager we have a dedicated cybersecurity incident response team consisting of internal employees and third-party consultants who are responsible for managing and coordinating our cybersecurity incident response efforts. This team also collaborates closely with other internal teams in identifying, protecting from, detecting, responding to, and recovering from cybersecurity incidents. Cybersecurity incidents that meet certain thresholds are escalated to the senior management and cross-functional teams on an as-needed basis for support and guidance. Additionally, this team tracks cybersecurity incidents to help identify and analyze them. We maintain a cybersecurity incident response plan to prepare for and respond to cybersecurity incidents. The incident response plan includes standard processes for reporting and escalating cybersecurity incidents to senior management who then consult with our audit committee and ultimately the Board of Directors if deemed necessary.</w:t>
      </w:r>
    </w:p>
    <w:p>
      <w:pPr>
        <w:spacing w:after="0" w:line="13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Cybersecurity Governance</w:t>
      </w:r>
    </w:p>
    <w:p>
      <w:pPr>
        <w:spacing w:after="0" w:line="145" w:lineRule="exact"/>
        <w:rPr>
          <w:sz w:val="20"/>
          <w:szCs w:val="20"/>
          <w:color w:val="auto"/>
        </w:rPr>
      </w:pPr>
    </w:p>
    <w:p>
      <w:pPr>
        <w:jc w:val="both"/>
        <w:ind w:left="8" w:right="20" w:firstLine="240"/>
        <w:spacing w:after="0" w:line="249" w:lineRule="auto"/>
        <w:rPr>
          <w:sz w:val="20"/>
          <w:szCs w:val="20"/>
          <w:color w:val="auto"/>
        </w:rPr>
      </w:pPr>
      <w:r>
        <w:rPr>
          <w:rFonts w:ascii="Times New Roman" w:cs="Times New Roman" w:eastAsia="Times New Roman" w:hAnsi="Times New Roman"/>
          <w:sz w:val="12"/>
          <w:szCs w:val="12"/>
          <w:color w:val="auto"/>
        </w:rPr>
        <w:t>Our audit committee along with our senior management have oversight responsibility for risks and incidents relating to cybersecurity threats, including compliance with disclosure requirements, cooperation with law enforcement, and related effects on financial and other risks, and it reports any findings and recommendations, as appropriate, to our Board of Directors for consideration. Senior management regularly discusses cyber risks and trends and, should they arise, any material incidents with our audit committee.</w:t>
      </w:r>
    </w:p>
    <w:p>
      <w:pPr>
        <w:spacing w:after="0" w:line="102" w:lineRule="exact"/>
        <w:rPr>
          <w:sz w:val="20"/>
          <w:szCs w:val="20"/>
          <w:color w:val="auto"/>
        </w:rPr>
      </w:pPr>
    </w:p>
    <w:p>
      <w:pPr>
        <w:jc w:val="both"/>
        <w:ind w:left="8" w:firstLine="240"/>
        <w:spacing w:after="0" w:line="249" w:lineRule="auto"/>
        <w:rPr>
          <w:sz w:val="20"/>
          <w:szCs w:val="20"/>
          <w:color w:val="auto"/>
        </w:rPr>
      </w:pPr>
      <w:r>
        <w:rPr>
          <w:rFonts w:ascii="Times New Roman" w:cs="Times New Roman" w:eastAsia="Times New Roman" w:hAnsi="Times New Roman"/>
          <w:sz w:val="12"/>
          <w:szCs w:val="12"/>
          <w:color w:val="auto"/>
        </w:rPr>
        <w:t>We continue to invest in our cybersecurity systems and to enhance our internal controls and processes. Our business strategy, results of operations and financial condition have not been materially affected by risks from cybersecurity threats, but we cannot provide assurance that they will not be materially affected in the future by such risks or any future material incidents. For more information about risks associated with cybersecurity, see “Item 3. Key Information—D. Risk Factors—Cybersecurity Risk—A cyber-attack could materially disrupt our business.”</w:t>
      </w:r>
    </w:p>
    <w:p>
      <w:pPr>
        <w:spacing w:after="0" w:line="1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2"/>
          <w:szCs w:val="12"/>
          <w:b w:val="1"/>
          <w:bCs w:val="1"/>
          <w:color w:val="auto"/>
        </w:rPr>
        <w:t>Item 17.</w:t>
        <w:tab/>
        <w:t>Financial Statements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See “Item 18. Financial Statements.”</w:t>
      </w:r>
    </w:p>
    <w:p>
      <w:pPr>
        <w:spacing w:after="0" w:line="182" w:lineRule="exact"/>
        <w:rPr>
          <w:sz w:val="20"/>
          <w:szCs w:val="20"/>
          <w:color w:val="auto"/>
        </w:rPr>
      </w:pPr>
    </w:p>
    <w:p>
      <w:pPr>
        <w:ind w:left="340"/>
        <w:spacing w:after="0"/>
        <w:tabs>
          <w:tab w:leader="none" w:pos="920" w:val="left"/>
        </w:tabs>
        <w:rPr>
          <w:sz w:val="20"/>
          <w:szCs w:val="20"/>
          <w:color w:val="auto"/>
        </w:rPr>
      </w:pPr>
      <w:r>
        <w:rPr>
          <w:rFonts w:ascii="Times New Roman" w:cs="Times New Roman" w:eastAsia="Times New Roman" w:hAnsi="Times New Roman"/>
          <w:sz w:val="12"/>
          <w:szCs w:val="12"/>
          <w:b w:val="1"/>
          <w:bCs w:val="1"/>
          <w:color w:val="auto"/>
        </w:rPr>
        <w:t>Item 18.</w:t>
        <w:tab/>
        <w:t>Financial Statements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financial statements, together with the report of PricewaterhouseCoopers S.A. thereon, beginning on page F-1, are filed as part of this Annual Report.</w:t>
      </w:r>
    </w:p>
    <w:p>
      <w:pPr>
        <w:spacing w:after="0" w:line="146" w:lineRule="exact"/>
        <w:rPr>
          <w:sz w:val="20"/>
          <w:szCs w:val="20"/>
          <w:color w:val="auto"/>
        </w:rPr>
      </w:pPr>
    </w:p>
    <w:p>
      <w:pPr>
        <w:ind w:left="820"/>
        <w:spacing w:after="0"/>
        <w:tabs>
          <w:tab w:leader="none" w:pos="1400" w:val="left"/>
        </w:tabs>
        <w:rPr>
          <w:sz w:val="20"/>
          <w:szCs w:val="20"/>
          <w:color w:val="auto"/>
        </w:rPr>
      </w:pPr>
      <w:r>
        <w:rPr>
          <w:rFonts w:ascii="Times New Roman" w:cs="Times New Roman" w:eastAsia="Times New Roman" w:hAnsi="Times New Roman"/>
          <w:sz w:val="12"/>
          <w:szCs w:val="12"/>
          <w:b w:val="1"/>
          <w:bCs w:val="1"/>
          <w:color w:val="auto"/>
        </w:rPr>
        <w:t>Item 19.</w:t>
      </w:r>
      <w:r>
        <w:rPr>
          <w:sz w:val="20"/>
          <w:szCs w:val="20"/>
          <w:color w:val="auto"/>
        </w:rPr>
        <w:tab/>
      </w:r>
      <w:r>
        <w:rPr>
          <w:rFonts w:ascii="Times New Roman" w:cs="Times New Roman" w:eastAsia="Times New Roman" w:hAnsi="Times New Roman"/>
          <w:sz w:val="11"/>
          <w:szCs w:val="11"/>
          <w:b w:val="1"/>
          <w:bCs w:val="1"/>
          <w:color w:val="auto"/>
        </w:rPr>
        <w:t>Exhibits</w:t>
      </w:r>
    </w:p>
    <w:p>
      <w:pPr>
        <w:spacing w:after="0" w:line="145" w:lineRule="exact"/>
        <w:rPr>
          <w:sz w:val="20"/>
          <w:szCs w:val="20"/>
          <w:color w:val="auto"/>
        </w:rPr>
      </w:pPr>
    </w:p>
    <w:p>
      <w:pPr>
        <w:jc w:val="both"/>
        <w:ind w:firstLine="240"/>
        <w:spacing w:after="0" w:line="241" w:lineRule="auto"/>
        <w:rPr>
          <w:sz w:val="20"/>
          <w:szCs w:val="20"/>
          <w:color w:val="auto"/>
        </w:rPr>
      </w:pPr>
      <w:r>
        <w:rPr>
          <w:rFonts w:ascii="Times New Roman" w:cs="Times New Roman" w:eastAsia="Times New Roman" w:hAnsi="Times New Roman"/>
          <w:sz w:val="12"/>
          <w:szCs w:val="12"/>
          <w:color w:val="auto"/>
        </w:rPr>
        <w:t>The agreements and other documents filed as exhibits to this Annual Report are not intended to provide factual information or other disclosure other than with respect to the terms of the agreements or other documents themselves, and you should not rely on them for that purpose. In particular, any representations and warranties made by the registrant in these agreements or other documents were made solely within the specific context of the relevant agreement or document and may not describe the actual state of affairs as of the date they were made or at any other time.</w:t>
      </w:r>
    </w:p>
    <w:p>
      <w:pPr>
        <w:spacing w:after="0" w:line="11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following exhibits are filed as part of this Annual Report:</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2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Number</w:t>
            </w:r>
          </w:p>
        </w:tc>
        <w:tc>
          <w:tcPr>
            <w:tcW w:w="480" w:type="dxa"/>
            <w:vAlign w:val="bottom"/>
          </w:tcPr>
          <w:p>
            <w:pPr>
              <w:spacing w:after="0"/>
              <w:rPr>
                <w:sz w:val="13"/>
                <w:szCs w:val="13"/>
                <w:color w:val="auto"/>
              </w:rPr>
            </w:pPr>
          </w:p>
        </w:tc>
        <w:tc>
          <w:tcPr>
            <w:tcW w:w="9900" w:type="dxa"/>
            <w:vAlign w:val="bottom"/>
            <w:gridSpan w:val="8"/>
            <w:vMerge w:val="restart"/>
          </w:tcPr>
          <w:p>
            <w:pPr>
              <w:ind w:left="4400"/>
              <w:spacing w:after="0"/>
              <w:rPr>
                <w:sz w:val="20"/>
                <w:szCs w:val="20"/>
                <w:color w:val="auto"/>
              </w:rPr>
            </w:pPr>
            <w:r>
              <w:rPr>
                <w:rFonts w:ascii="Times New Roman" w:cs="Times New Roman" w:eastAsia="Times New Roman" w:hAnsi="Times New Roman"/>
                <w:sz w:val="12"/>
                <w:szCs w:val="12"/>
                <w:b w:val="1"/>
                <w:bCs w:val="1"/>
                <w:color w:val="auto"/>
              </w:rPr>
              <w:t>Description</w:t>
            </w:r>
          </w:p>
        </w:tc>
        <w:tc>
          <w:tcPr>
            <w:tcW w:w="0" w:type="dxa"/>
            <w:vAlign w:val="bottom"/>
          </w:tcPr>
          <w:p>
            <w:pPr>
              <w:spacing w:after="0"/>
              <w:rPr>
                <w:sz w:val="1"/>
                <w:szCs w:val="1"/>
                <w:color w:val="auto"/>
              </w:rPr>
            </w:pPr>
          </w:p>
        </w:tc>
      </w:tr>
      <w:tr>
        <w:trPr>
          <w:trHeight w:val="142"/>
        </w:trPr>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9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380" w:type="dxa"/>
            <w:vAlign w:val="bottom"/>
            <w:tcBorders>
              <w:bottom w:val="single" w:sz="8" w:color="0000EE"/>
            </w:tcBorders>
            <w:gridSpan w:val="9"/>
          </w:tcPr>
          <w:p>
            <w:pPr>
              <w:spacing w:after="0" w:line="128" w:lineRule="exact"/>
              <w:rPr>
                <w:rFonts w:ascii="Times New Roman" w:cs="Times New Roman" w:eastAsia="Times New Roman" w:hAnsi="Times New Roman"/>
                <w:sz w:val="12"/>
                <w:szCs w:val="12"/>
                <w:color w:val="0000EE"/>
                <w:w w:val="99"/>
              </w:rPr>
            </w:pPr>
            <w:hyperlink r:id="rId106">
              <w:r>
                <w:rPr>
                  <w:rFonts w:ascii="Times New Roman" w:cs="Times New Roman" w:eastAsia="Times New Roman" w:hAnsi="Times New Roman"/>
                  <w:sz w:val="12"/>
                  <w:szCs w:val="12"/>
                  <w:color w:val="0000EE"/>
                  <w:w w:val="99"/>
                </w:rPr>
                <w:t>Amended and Restated Articles of Incorporation of GSL Holdings, Inc. (incorporated by reference to Exhibit 3.1 to Global Ship Lease, Inc.’s Registration Statement on Form 8-A (File No. 001-34153) filed on March</w:t>
              </w:r>
            </w:hyperlink>
          </w:p>
        </w:tc>
        <w:tc>
          <w:tcPr>
            <w:tcW w:w="0" w:type="dxa"/>
            <w:vAlign w:val="bottom"/>
          </w:tcPr>
          <w:p>
            <w:pPr>
              <w:spacing w:after="0"/>
              <w:rPr>
                <w:sz w:val="1"/>
                <w:szCs w:val="1"/>
                <w:color w:val="auto"/>
              </w:rPr>
            </w:pPr>
          </w:p>
        </w:tc>
      </w:tr>
      <w:tr>
        <w:trPr>
          <w:trHeight w:val="124"/>
        </w:trPr>
        <w:tc>
          <w:tcPr>
            <w:tcW w:w="220" w:type="dxa"/>
            <w:vAlign w:val="bottom"/>
            <w:gridSpan w:val="2"/>
          </w:tcPr>
          <w:p>
            <w:pPr>
              <w:jc w:val="right"/>
              <w:spacing w:after="0" w:line="124" w:lineRule="exact"/>
              <w:rPr>
                <w:rFonts w:ascii="Times New Roman" w:cs="Times New Roman" w:eastAsia="Times New Roman" w:hAnsi="Times New Roman"/>
                <w:sz w:val="12"/>
                <w:szCs w:val="12"/>
                <w:color w:val="0000EE"/>
              </w:rPr>
            </w:pPr>
            <w:hyperlink r:id="rId106">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1</w:t>
              </w:r>
            </w:hyperlink>
          </w:p>
        </w:tc>
        <w:tc>
          <w:tcPr>
            <w:tcW w:w="700" w:type="dxa"/>
            <w:vAlign w:val="bottom"/>
          </w:tcPr>
          <w:p>
            <w:pPr>
              <w:spacing w:after="0"/>
              <w:rPr>
                <w:sz w:val="10"/>
                <w:szCs w:val="10"/>
                <w:color w:val="auto"/>
              </w:rPr>
            </w:pPr>
          </w:p>
        </w:tc>
        <w:tc>
          <w:tcPr>
            <w:tcW w:w="6420" w:type="dxa"/>
            <w:vAlign w:val="bottom"/>
            <w:gridSpan w:val="2"/>
          </w:tcPr>
          <w:p>
            <w:pPr>
              <w:spacing w:after="0" w:line="124" w:lineRule="exact"/>
              <w:rPr>
                <w:rFonts w:ascii="Times New Roman" w:cs="Times New Roman" w:eastAsia="Times New Roman" w:hAnsi="Times New Roman"/>
                <w:sz w:val="12"/>
                <w:szCs w:val="12"/>
                <w:color w:val="0000EE"/>
              </w:rPr>
            </w:pPr>
            <w:hyperlink r:id="rId106">
              <w:r>
                <w:rPr>
                  <w:rFonts w:ascii="Times New Roman" w:cs="Times New Roman" w:eastAsia="Times New Roman" w:hAnsi="Times New Roman"/>
                  <w:sz w:val="12"/>
                  <w:szCs w:val="12"/>
                  <w:color w:val="0000EE"/>
                </w:rPr>
                <w:t>26, 2019).</w:t>
              </w:r>
            </w:hyperlink>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gridSpan w:val="2"/>
          </w:tcPr>
          <w:p>
            <w:pPr>
              <w:jc w:val="right"/>
              <w:spacing w:after="0"/>
              <w:rPr>
                <w:rFonts w:ascii="Times New Roman" w:cs="Times New Roman" w:eastAsia="Times New Roman" w:hAnsi="Times New Roman"/>
                <w:sz w:val="12"/>
                <w:szCs w:val="12"/>
                <w:color w:val="0000EE"/>
              </w:rPr>
            </w:pPr>
            <w:hyperlink r:id="rId107">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2</w:t>
              </w:r>
            </w:hyperlink>
          </w:p>
        </w:tc>
        <w:tc>
          <w:tcPr>
            <w:tcW w:w="700" w:type="dxa"/>
            <w:vAlign w:val="bottom"/>
          </w:tcPr>
          <w:p>
            <w:pPr>
              <w:spacing w:after="0"/>
              <w:rPr>
                <w:sz w:val="23"/>
                <w:szCs w:val="23"/>
                <w:color w:val="auto"/>
              </w:rPr>
            </w:pPr>
          </w:p>
        </w:tc>
        <w:tc>
          <w:tcPr>
            <w:tcW w:w="10380" w:type="dxa"/>
            <w:vAlign w:val="bottom"/>
            <w:gridSpan w:val="9"/>
          </w:tcPr>
          <w:p>
            <w:pPr>
              <w:spacing w:after="0"/>
              <w:rPr>
                <w:rFonts w:ascii="Times New Roman" w:cs="Times New Roman" w:eastAsia="Times New Roman" w:hAnsi="Times New Roman"/>
                <w:sz w:val="12"/>
                <w:szCs w:val="12"/>
                <w:color w:val="0000EE"/>
              </w:rPr>
            </w:pPr>
            <w:hyperlink r:id="rId107">
              <w:r>
                <w:rPr>
                  <w:rFonts w:ascii="Times New Roman" w:cs="Times New Roman" w:eastAsia="Times New Roman" w:hAnsi="Times New Roman"/>
                  <w:sz w:val="12"/>
                  <w:szCs w:val="12"/>
                  <w:color w:val="0000EE"/>
                </w:rPr>
                <w:t>Articles of Amendment to the Amended and Restated Articles of Incorporation of Global Ship Lease, Inc. (incorporated by reference to Exhibit 3.3 to the Company’s Report on Form 6-K, filed on March 25, 2019).</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gridSpan w:val="2"/>
          </w:tcPr>
          <w:p>
            <w:pPr>
              <w:jc w:val="right"/>
              <w:spacing w:after="0"/>
              <w:rPr>
                <w:rFonts w:ascii="Times New Roman" w:cs="Times New Roman" w:eastAsia="Times New Roman" w:hAnsi="Times New Roman"/>
                <w:sz w:val="12"/>
                <w:szCs w:val="12"/>
                <w:color w:val="0000EE"/>
              </w:rPr>
            </w:pPr>
            <w:hyperlink r:id="rId108">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3</w:t>
              </w:r>
            </w:hyperlink>
          </w:p>
        </w:tc>
        <w:tc>
          <w:tcPr>
            <w:tcW w:w="700" w:type="dxa"/>
            <w:vAlign w:val="bottom"/>
          </w:tcPr>
          <w:p>
            <w:pPr>
              <w:spacing w:after="0"/>
              <w:rPr>
                <w:sz w:val="23"/>
                <w:szCs w:val="23"/>
                <w:color w:val="auto"/>
              </w:rPr>
            </w:pPr>
          </w:p>
        </w:tc>
        <w:tc>
          <w:tcPr>
            <w:tcW w:w="10380" w:type="dxa"/>
            <w:vAlign w:val="bottom"/>
            <w:gridSpan w:val="9"/>
          </w:tcPr>
          <w:p>
            <w:pPr>
              <w:spacing w:after="0"/>
              <w:rPr>
                <w:rFonts w:ascii="Times New Roman" w:cs="Times New Roman" w:eastAsia="Times New Roman" w:hAnsi="Times New Roman"/>
                <w:sz w:val="12"/>
                <w:szCs w:val="12"/>
                <w:color w:val="0000EE"/>
              </w:rPr>
            </w:pPr>
            <w:hyperlink r:id="rId108">
              <w:r>
                <w:rPr>
                  <w:rFonts w:ascii="Times New Roman" w:cs="Times New Roman" w:eastAsia="Times New Roman" w:hAnsi="Times New Roman"/>
                  <w:sz w:val="12"/>
                  <w:szCs w:val="12"/>
                  <w:color w:val="0000EE"/>
                </w:rPr>
                <w:t>Fourth Amended and Restated Bylaws of Global Ship Lease, Inc. (incorporated by reference to Exhibit 1.3 to the Company’s Annual Report on Form 20-F, filed on March 18, 2025).</w:t>
              </w:r>
            </w:hyperlink>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59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220" w:type="dxa"/>
            <w:vAlign w:val="bottom"/>
            <w:gridSpan w:val="2"/>
          </w:tcPr>
          <w:p>
            <w:pPr>
              <w:jc w:val="right"/>
              <w:spacing w:after="0"/>
              <w:rPr>
                <w:rFonts w:ascii="Times New Roman" w:cs="Times New Roman" w:eastAsia="Times New Roman" w:hAnsi="Times New Roman"/>
                <w:sz w:val="12"/>
                <w:szCs w:val="12"/>
                <w:color w:val="0000EE"/>
              </w:rPr>
            </w:pPr>
            <w:hyperlink r:id="rId109">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4</w:t>
              </w:r>
            </w:hyperlink>
          </w:p>
        </w:tc>
        <w:tc>
          <w:tcPr>
            <w:tcW w:w="700" w:type="dxa"/>
            <w:vAlign w:val="bottom"/>
          </w:tcPr>
          <w:p>
            <w:pPr>
              <w:spacing w:after="0"/>
              <w:rPr>
                <w:sz w:val="24"/>
                <w:szCs w:val="24"/>
                <w:color w:val="auto"/>
              </w:rPr>
            </w:pPr>
          </w:p>
        </w:tc>
        <w:tc>
          <w:tcPr>
            <w:tcW w:w="10380" w:type="dxa"/>
            <w:vAlign w:val="bottom"/>
            <w:gridSpan w:val="9"/>
          </w:tcPr>
          <w:p>
            <w:pPr>
              <w:spacing w:after="0"/>
              <w:rPr>
                <w:rFonts w:ascii="Times New Roman" w:cs="Times New Roman" w:eastAsia="Times New Roman" w:hAnsi="Times New Roman"/>
                <w:sz w:val="12"/>
                <w:szCs w:val="12"/>
                <w:color w:val="0000EE"/>
              </w:rPr>
            </w:pPr>
            <w:hyperlink r:id="rId109">
              <w:r>
                <w:rPr>
                  <w:rFonts w:ascii="Times New Roman" w:cs="Times New Roman" w:eastAsia="Times New Roman" w:hAnsi="Times New Roman"/>
                  <w:sz w:val="12"/>
                  <w:szCs w:val="12"/>
                  <w:color w:val="0000EE"/>
                </w:rPr>
                <w:t>Certificate of Designation of the 8.75% Series B Cumulative Redeemable Perpetual Preferred Shares of Global Ship Lease, Inc., filed with the Registrar of Corporations of the Republic of the Marshall Islands and</w:t>
              </w:r>
            </w:hyperlink>
          </w:p>
        </w:tc>
        <w:tc>
          <w:tcPr>
            <w:tcW w:w="0" w:type="dxa"/>
            <w:vAlign w:val="bottom"/>
          </w:tcPr>
          <w:p>
            <w:pPr>
              <w:spacing w:after="0"/>
              <w:rPr>
                <w:sz w:val="1"/>
                <w:szCs w:val="1"/>
                <w:color w:val="auto"/>
              </w:rPr>
            </w:pPr>
          </w:p>
        </w:tc>
      </w:tr>
      <w:tr>
        <w:trPr>
          <w:trHeight w:val="104"/>
        </w:trPr>
        <w:tc>
          <w:tcPr>
            <w:tcW w:w="80" w:type="dxa"/>
            <w:vAlign w:val="bottom"/>
          </w:tcPr>
          <w:p>
            <w:pPr>
              <w:spacing w:after="0"/>
              <w:rPr>
                <w:sz w:val="9"/>
                <w:szCs w:val="9"/>
                <w:color w:val="auto"/>
              </w:rPr>
            </w:pPr>
          </w:p>
        </w:tc>
        <w:tc>
          <w:tcPr>
            <w:tcW w:w="140" w:type="dxa"/>
            <w:vAlign w:val="bottom"/>
            <w:tcBorders>
              <w:top w:val="single" w:sz="8" w:color="0000EE"/>
            </w:tcBorders>
          </w:tcPr>
          <w:p>
            <w:pPr>
              <w:spacing w:after="0"/>
              <w:rPr>
                <w:sz w:val="9"/>
                <w:szCs w:val="9"/>
                <w:color w:val="auto"/>
              </w:rPr>
            </w:pPr>
          </w:p>
        </w:tc>
        <w:tc>
          <w:tcPr>
            <w:tcW w:w="700" w:type="dxa"/>
            <w:vAlign w:val="bottom"/>
          </w:tcPr>
          <w:p>
            <w:pPr>
              <w:spacing w:after="0"/>
              <w:rPr>
                <w:sz w:val="9"/>
                <w:szCs w:val="9"/>
                <w:color w:val="auto"/>
              </w:rPr>
            </w:pPr>
          </w:p>
        </w:tc>
        <w:tc>
          <w:tcPr>
            <w:tcW w:w="6420" w:type="dxa"/>
            <w:vAlign w:val="bottom"/>
            <w:tcBorders>
              <w:top w:val="single" w:sz="8" w:color="0000EE"/>
              <w:bottom w:val="single" w:sz="8" w:color="0000EE"/>
            </w:tcBorders>
            <w:gridSpan w:val="2"/>
          </w:tcPr>
          <w:p>
            <w:pPr>
              <w:spacing w:after="0" w:line="104" w:lineRule="exact"/>
              <w:rPr>
                <w:rFonts w:ascii="Times New Roman" w:cs="Times New Roman" w:eastAsia="Times New Roman" w:hAnsi="Times New Roman"/>
                <w:sz w:val="12"/>
                <w:szCs w:val="12"/>
                <w:color w:val="0000EE"/>
                <w:w w:val="99"/>
              </w:rPr>
            </w:pPr>
            <w:hyperlink r:id="rId109">
              <w:r>
                <w:rPr>
                  <w:rFonts w:ascii="Times New Roman" w:cs="Times New Roman" w:eastAsia="Times New Roman" w:hAnsi="Times New Roman"/>
                  <w:sz w:val="12"/>
                  <w:szCs w:val="12"/>
                  <w:color w:val="0000EE"/>
                  <w:w w:val="99"/>
                </w:rPr>
                <w:t>effective August 19, 2014 (incorporated by reference to Exhibit 3.1 of the Company’s Report on Form 6-K filed on August 20, 2014).</w:t>
              </w:r>
            </w:hyperlink>
          </w:p>
        </w:tc>
        <w:tc>
          <w:tcPr>
            <w:tcW w:w="3960" w:type="dxa"/>
            <w:vAlign w:val="bottom"/>
            <w:tcBorders>
              <w:top w:val="single" w:sz="8" w:color="0000EE"/>
            </w:tcBorders>
            <w:gridSpan w:val="7"/>
          </w:tcPr>
          <w:p>
            <w:pPr>
              <w:spacing w:after="0"/>
              <w:rPr>
                <w:sz w:val="9"/>
                <w:szCs w:val="9"/>
                <w:color w:val="auto"/>
              </w:rPr>
            </w:pPr>
          </w:p>
        </w:tc>
        <w:tc>
          <w:tcPr>
            <w:tcW w:w="0" w:type="dxa"/>
            <w:vAlign w:val="bottom"/>
          </w:tcPr>
          <w:p>
            <w:pPr>
              <w:spacing w:after="0"/>
              <w:rPr>
                <w:sz w:val="1"/>
                <w:szCs w:val="1"/>
                <w:color w:val="auto"/>
              </w:rPr>
            </w:pPr>
          </w:p>
        </w:tc>
      </w:tr>
      <w:tr>
        <w:trPr>
          <w:trHeight w:val="268"/>
        </w:trPr>
        <w:tc>
          <w:tcPr>
            <w:tcW w:w="220" w:type="dxa"/>
            <w:vAlign w:val="bottom"/>
            <w:gridSpan w:val="2"/>
          </w:tcPr>
          <w:p>
            <w:pPr>
              <w:jc w:val="right"/>
              <w:spacing w:after="0"/>
              <w:rPr>
                <w:rFonts w:ascii="Times New Roman" w:cs="Times New Roman" w:eastAsia="Times New Roman" w:hAnsi="Times New Roman"/>
                <w:sz w:val="12"/>
                <w:szCs w:val="12"/>
                <w:color w:val="0000EE"/>
              </w:rPr>
            </w:pPr>
            <w:hyperlink r:id="rId110">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5</w:t>
              </w:r>
            </w:hyperlink>
          </w:p>
        </w:tc>
        <w:tc>
          <w:tcPr>
            <w:tcW w:w="700" w:type="dxa"/>
            <w:vAlign w:val="bottom"/>
          </w:tcPr>
          <w:p>
            <w:pPr>
              <w:spacing w:after="0"/>
              <w:rPr>
                <w:sz w:val="23"/>
                <w:szCs w:val="23"/>
                <w:color w:val="auto"/>
              </w:rPr>
            </w:pPr>
          </w:p>
        </w:tc>
        <w:tc>
          <w:tcPr>
            <w:tcW w:w="10380" w:type="dxa"/>
            <w:vAlign w:val="bottom"/>
            <w:gridSpan w:val="9"/>
          </w:tcPr>
          <w:p>
            <w:pPr>
              <w:spacing w:after="0"/>
              <w:rPr>
                <w:rFonts w:ascii="Times New Roman" w:cs="Times New Roman" w:eastAsia="Times New Roman" w:hAnsi="Times New Roman"/>
                <w:sz w:val="12"/>
                <w:szCs w:val="12"/>
                <w:color w:val="0000EE"/>
              </w:rPr>
            </w:pPr>
            <w:hyperlink r:id="rId110">
              <w:r>
                <w:rPr>
                  <w:rFonts w:ascii="Times New Roman" w:cs="Times New Roman" w:eastAsia="Times New Roman" w:hAnsi="Times New Roman"/>
                  <w:sz w:val="12"/>
                  <w:szCs w:val="12"/>
                  <w:color w:val="0000EE"/>
                </w:rPr>
                <w:t>Certificate of Amendment to Certificate of Designation of the 8.75% Series B Cumulative Redeemable Perpetual Preferred Shares of Global Ship Lease, Inc., filed with the Registrar of Corporations of the Republic</w:t>
              </w:r>
            </w:hyperlink>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00" w:type="dxa"/>
            <w:vAlign w:val="bottom"/>
          </w:tcPr>
          <w:p>
            <w:pPr>
              <w:spacing w:after="0"/>
              <w:rPr>
                <w:sz w:val="10"/>
                <w:szCs w:val="10"/>
                <w:color w:val="auto"/>
              </w:rPr>
            </w:pPr>
          </w:p>
        </w:tc>
        <w:tc>
          <w:tcPr>
            <w:tcW w:w="10360" w:type="dxa"/>
            <w:vAlign w:val="bottom"/>
            <w:tcBorders>
              <w:top w:val="single" w:sz="8" w:color="0000EE"/>
            </w:tcBorders>
            <w:gridSpan w:val="8"/>
          </w:tcPr>
          <w:p>
            <w:pPr>
              <w:spacing w:after="0" w:line="124" w:lineRule="exact"/>
              <w:rPr>
                <w:rFonts w:ascii="Times New Roman" w:cs="Times New Roman" w:eastAsia="Times New Roman" w:hAnsi="Times New Roman"/>
                <w:sz w:val="12"/>
                <w:szCs w:val="12"/>
                <w:color w:val="0000EE"/>
              </w:rPr>
            </w:pPr>
            <w:hyperlink r:id="rId110">
              <w:r>
                <w:rPr>
                  <w:rFonts w:ascii="Times New Roman" w:cs="Times New Roman" w:eastAsia="Times New Roman" w:hAnsi="Times New Roman"/>
                  <w:sz w:val="12"/>
                  <w:szCs w:val="12"/>
                  <w:color w:val="0000EE"/>
                </w:rPr>
                <w:t>of the Marshall Islands and effective December 9, 2019 (incorporated by reference to Exhibit 3.1 of the Company’s Report on Form 6-K filed on December 10, 2019).</w:t>
              </w:r>
            </w:hyperlink>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5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4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20" w:type="dxa"/>
            <w:vAlign w:val="bottom"/>
            <w:gridSpan w:val="2"/>
          </w:tcPr>
          <w:p>
            <w:pPr>
              <w:jc w:val="right"/>
              <w:spacing w:after="0"/>
              <w:rPr>
                <w:rFonts w:ascii="Times New Roman" w:cs="Times New Roman" w:eastAsia="Times New Roman" w:hAnsi="Times New Roman"/>
                <w:sz w:val="12"/>
                <w:szCs w:val="12"/>
                <w:color w:val="0000EE"/>
              </w:rPr>
            </w:pPr>
            <w:hyperlink r:id="rId111">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6</w:t>
              </w:r>
            </w:hyperlink>
          </w:p>
        </w:tc>
        <w:tc>
          <w:tcPr>
            <w:tcW w:w="700" w:type="dxa"/>
            <w:vAlign w:val="bottom"/>
          </w:tcPr>
          <w:p>
            <w:pPr>
              <w:spacing w:after="0"/>
              <w:rPr>
                <w:sz w:val="23"/>
                <w:szCs w:val="23"/>
                <w:color w:val="auto"/>
              </w:rPr>
            </w:pPr>
          </w:p>
        </w:tc>
        <w:tc>
          <w:tcPr>
            <w:tcW w:w="10380" w:type="dxa"/>
            <w:vAlign w:val="bottom"/>
            <w:gridSpan w:val="9"/>
          </w:tcPr>
          <w:p>
            <w:pPr>
              <w:spacing w:after="0"/>
              <w:rPr>
                <w:rFonts w:ascii="Times New Roman" w:cs="Times New Roman" w:eastAsia="Times New Roman" w:hAnsi="Times New Roman"/>
                <w:sz w:val="12"/>
                <w:szCs w:val="12"/>
                <w:color w:val="0000EE"/>
              </w:rPr>
            </w:pPr>
            <w:hyperlink r:id="rId111">
              <w:r>
                <w:rPr>
                  <w:rFonts w:ascii="Times New Roman" w:cs="Times New Roman" w:eastAsia="Times New Roman" w:hAnsi="Times New Roman"/>
                  <w:sz w:val="12"/>
                  <w:szCs w:val="12"/>
                  <w:color w:val="0000EE"/>
                </w:rPr>
                <w:t>Certificate of Amendment to Certificate of Designation of the 8.75% Series B Cumulative Redeemable Perpetual Preferred Shares of Global Ship Lease, Inc., filed with the Registrar of Corporations of the Republic</w:t>
              </w:r>
            </w:hyperlink>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00" w:type="dxa"/>
            <w:vAlign w:val="bottom"/>
          </w:tcPr>
          <w:p>
            <w:pPr>
              <w:spacing w:after="0"/>
              <w:rPr>
                <w:sz w:val="10"/>
                <w:szCs w:val="10"/>
                <w:color w:val="auto"/>
              </w:rPr>
            </w:pPr>
          </w:p>
        </w:tc>
        <w:tc>
          <w:tcPr>
            <w:tcW w:w="7080" w:type="dxa"/>
            <w:vAlign w:val="bottom"/>
            <w:tcBorders>
              <w:top w:val="single" w:sz="8" w:color="0000EE"/>
              <w:bottom w:val="single" w:sz="8" w:color="0000EE"/>
            </w:tcBorders>
            <w:gridSpan w:val="4"/>
          </w:tcPr>
          <w:p>
            <w:pPr>
              <w:spacing w:after="0" w:line="124" w:lineRule="exact"/>
              <w:rPr>
                <w:rFonts w:ascii="Times New Roman" w:cs="Times New Roman" w:eastAsia="Times New Roman" w:hAnsi="Times New Roman"/>
                <w:sz w:val="12"/>
                <w:szCs w:val="12"/>
                <w:color w:val="0000EE"/>
                <w:w w:val="99"/>
              </w:rPr>
            </w:pPr>
            <w:hyperlink r:id="rId111">
              <w:r>
                <w:rPr>
                  <w:rFonts w:ascii="Times New Roman" w:cs="Times New Roman" w:eastAsia="Times New Roman" w:hAnsi="Times New Roman"/>
                  <w:sz w:val="12"/>
                  <w:szCs w:val="12"/>
                  <w:color w:val="0000EE"/>
                  <w:w w:val="99"/>
                </w:rPr>
                <w:t>of the Marshall Islands and effective (incorporated by reference to Exhibit 3.1 of the Company’s Report on Form 6-K filed on December 29, 2022).</w:t>
              </w:r>
            </w:hyperlink>
          </w:p>
        </w:tc>
        <w:tc>
          <w:tcPr>
            <w:tcW w:w="3280" w:type="dxa"/>
            <w:vAlign w:val="bottom"/>
            <w:tcBorders>
              <w:top w:val="single" w:sz="8" w:color="0000EE"/>
            </w:tcBorders>
            <w:gridSpan w:val="4"/>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8"/>
        </w:trPr>
        <w:tc>
          <w:tcPr>
            <w:tcW w:w="220" w:type="dxa"/>
            <w:vAlign w:val="bottom"/>
            <w:gridSpan w:val="2"/>
          </w:tcPr>
          <w:p>
            <w:pPr>
              <w:jc w:val="right"/>
              <w:spacing w:after="0"/>
              <w:rPr>
                <w:rFonts w:ascii="Times New Roman" w:cs="Times New Roman" w:eastAsia="Times New Roman" w:hAnsi="Times New Roman"/>
                <w:sz w:val="12"/>
                <w:szCs w:val="12"/>
                <w:color w:val="0000EE"/>
              </w:rPr>
            </w:pPr>
            <w:hyperlink r:id="rId112">
              <w:r>
                <w:rPr>
                  <w:rFonts w:ascii="Times New Roman" w:cs="Times New Roman" w:eastAsia="Times New Roman" w:hAnsi="Times New Roman"/>
                  <w:sz w:val="12"/>
                  <w:szCs w:val="12"/>
                  <w:color w:val="0000EE"/>
                </w:rPr>
                <w:t>1.</w:t>
              </w:r>
              <w:r>
                <w:rPr>
                  <w:rFonts w:ascii="Times New Roman" w:cs="Times New Roman" w:eastAsia="Times New Roman" w:hAnsi="Times New Roman"/>
                  <w:sz w:val="12"/>
                  <w:szCs w:val="12"/>
                  <w:u w:val="single" w:color="auto"/>
                  <w:color w:val="0000EE"/>
                </w:rPr>
                <w:t>7</w:t>
              </w:r>
            </w:hyperlink>
          </w:p>
        </w:tc>
        <w:tc>
          <w:tcPr>
            <w:tcW w:w="700" w:type="dxa"/>
            <w:vAlign w:val="bottom"/>
          </w:tcPr>
          <w:p>
            <w:pPr>
              <w:spacing w:after="0"/>
              <w:rPr>
                <w:sz w:val="23"/>
                <w:szCs w:val="23"/>
                <w:color w:val="auto"/>
              </w:rPr>
            </w:pPr>
          </w:p>
        </w:tc>
        <w:tc>
          <w:tcPr>
            <w:tcW w:w="10380" w:type="dxa"/>
            <w:vAlign w:val="bottom"/>
            <w:gridSpan w:val="9"/>
          </w:tcPr>
          <w:p>
            <w:pPr>
              <w:spacing w:after="0"/>
              <w:rPr>
                <w:rFonts w:ascii="Times New Roman" w:cs="Times New Roman" w:eastAsia="Times New Roman" w:hAnsi="Times New Roman"/>
                <w:sz w:val="12"/>
                <w:szCs w:val="12"/>
                <w:color w:val="0000EE"/>
              </w:rPr>
            </w:pPr>
            <w:hyperlink r:id="rId112">
              <w:r>
                <w:rPr>
                  <w:rFonts w:ascii="Times New Roman" w:cs="Times New Roman" w:eastAsia="Times New Roman" w:hAnsi="Times New Roman"/>
                  <w:sz w:val="12"/>
                  <w:szCs w:val="12"/>
                  <w:color w:val="0000EE"/>
                </w:rPr>
                <w:t>Certificate of Designation of the Series C Perpetual Preferred Shares of Global Ship Lease, Inc. filed with the Registrar or Deputy Registrar of Corporations of the Republic of the Marshall Islands and effective</w:t>
              </w:r>
            </w:hyperlink>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700" w:type="dxa"/>
            <w:vAlign w:val="bottom"/>
          </w:tcPr>
          <w:p>
            <w:pPr>
              <w:spacing w:after="0"/>
              <w:rPr>
                <w:sz w:val="10"/>
                <w:szCs w:val="10"/>
                <w:color w:val="auto"/>
              </w:rPr>
            </w:pPr>
          </w:p>
        </w:tc>
        <w:tc>
          <w:tcPr>
            <w:tcW w:w="10380" w:type="dxa"/>
            <w:vAlign w:val="bottom"/>
            <w:tcBorders>
              <w:top w:val="single" w:sz="8" w:color="0000EE"/>
            </w:tcBorders>
            <w:gridSpan w:val="9"/>
          </w:tcPr>
          <w:p>
            <w:pPr>
              <w:spacing w:after="0" w:line="124" w:lineRule="exact"/>
              <w:rPr>
                <w:rFonts w:ascii="Times New Roman" w:cs="Times New Roman" w:eastAsia="Times New Roman" w:hAnsi="Times New Roman"/>
                <w:sz w:val="12"/>
                <w:szCs w:val="12"/>
                <w:color w:val="0000EE"/>
              </w:rPr>
            </w:pPr>
            <w:hyperlink r:id="rId112">
              <w:r>
                <w:rPr>
                  <w:rFonts w:ascii="Times New Roman" w:cs="Times New Roman" w:eastAsia="Times New Roman" w:hAnsi="Times New Roman"/>
                  <w:sz w:val="12"/>
                  <w:szCs w:val="12"/>
                  <w:color w:val="0000EE"/>
                </w:rPr>
                <w:t>November 12, 2018 (incorporated by reference to Exhibit 1.5 of the Company’s Annual Report on Form 20-F filed on March 29, 2019).</w:t>
              </w:r>
            </w:hyperlink>
          </w:p>
        </w:tc>
        <w:tc>
          <w:tcPr>
            <w:tcW w:w="0" w:type="dxa"/>
            <w:vAlign w:val="bottom"/>
          </w:tcPr>
          <w:p>
            <w:pPr>
              <w:spacing w:after="0"/>
              <w:rPr>
                <w:sz w:val="1"/>
                <w:szCs w:val="1"/>
                <w:color w:val="auto"/>
              </w:rPr>
            </w:pPr>
          </w:p>
        </w:tc>
      </w:tr>
      <w:tr>
        <w:trPr>
          <w:trHeight w:val="313"/>
        </w:trPr>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420" w:type="dxa"/>
            <w:vAlign w:val="bottom"/>
            <w:tcBorders>
              <w:top w:val="single" w:sz="8" w:color="0000EE"/>
              <w:bottom w:val="single" w:sz="8" w:color="auto"/>
            </w:tcBorders>
            <w:gridSpan w:val="2"/>
          </w:tcPr>
          <w:p>
            <w:pPr>
              <w:ind w:left="4660"/>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Borders>
              <w:top w:val="single" w:sz="8" w:color="0000EE"/>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01" w:right="2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8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140" w:type="dxa"/>
            <w:vAlign w:val="bottom"/>
          </w:tcPr>
          <w:p>
            <w:pPr>
              <w:spacing w:after="0"/>
              <w:rPr>
                <w:rFonts w:ascii="Times New Roman" w:cs="Times New Roman" w:eastAsia="Times New Roman" w:hAnsi="Times New Roman"/>
                <w:sz w:val="12"/>
                <w:szCs w:val="12"/>
                <w:color w:val="0000EE"/>
                <w:w w:val="79"/>
              </w:rPr>
            </w:pPr>
            <w:hyperlink r:id="rId113">
              <w:r>
                <w:rPr>
                  <w:rFonts w:ascii="Times New Roman" w:cs="Times New Roman" w:eastAsia="Times New Roman" w:hAnsi="Times New Roman"/>
                  <w:sz w:val="12"/>
                  <w:szCs w:val="12"/>
                  <w:color w:val="0000EE"/>
                  <w:w w:val="79"/>
                </w:rPr>
                <w:t>2.</w:t>
              </w:r>
              <w:r>
                <w:rPr>
                  <w:rFonts w:ascii="Times New Roman" w:cs="Times New Roman" w:eastAsia="Times New Roman" w:hAnsi="Times New Roman"/>
                  <w:sz w:val="12"/>
                  <w:szCs w:val="12"/>
                  <w:u w:val="single" w:color="auto"/>
                  <w:color w:val="0000EE"/>
                  <w:w w:val="79"/>
                </w:rPr>
                <w:t>1</w:t>
              </w:r>
            </w:hyperlink>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60" w:type="dxa"/>
            <w:vAlign w:val="bottom"/>
            <w:gridSpan w:val="31"/>
          </w:tcPr>
          <w:p>
            <w:pPr>
              <w:spacing w:after="0"/>
              <w:rPr>
                <w:rFonts w:ascii="Times New Roman" w:cs="Times New Roman" w:eastAsia="Times New Roman" w:hAnsi="Times New Roman"/>
                <w:sz w:val="12"/>
                <w:szCs w:val="12"/>
                <w:color w:val="0000EE"/>
              </w:rPr>
            </w:pPr>
            <w:hyperlink r:id="rId113">
              <w:r>
                <w:rPr>
                  <w:rFonts w:ascii="Times New Roman" w:cs="Times New Roman" w:eastAsia="Times New Roman" w:hAnsi="Times New Roman"/>
                  <w:sz w:val="12"/>
                  <w:szCs w:val="12"/>
                  <w:color w:val="0000EE"/>
                </w:rPr>
                <w:t>Form of Common Share Certificate of the Company (incorporated by reference to Exhibit 4.1 of the Company’s Form 6-K (File No. 001-34153) filed on March 25, 2019).</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14">
              <w:r>
                <w:rPr>
                  <w:rFonts w:ascii="Times New Roman" w:cs="Times New Roman" w:eastAsia="Times New Roman" w:hAnsi="Times New Roman"/>
                  <w:sz w:val="12"/>
                  <w:szCs w:val="12"/>
                  <w:color w:val="0000EE"/>
                  <w:w w:val="79"/>
                </w:rPr>
                <w:t>2.</w:t>
              </w:r>
              <w:r>
                <w:rPr>
                  <w:rFonts w:ascii="Times New Roman" w:cs="Times New Roman" w:eastAsia="Times New Roman" w:hAnsi="Times New Roman"/>
                  <w:sz w:val="12"/>
                  <w:szCs w:val="12"/>
                  <w:u w:val="single" w:color="auto"/>
                  <w:color w:val="0000EE"/>
                  <w:w w:val="79"/>
                </w:rPr>
                <w:t>2</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14">
              <w:r>
                <w:rPr>
                  <w:rFonts w:ascii="Times New Roman" w:cs="Times New Roman" w:eastAsia="Times New Roman" w:hAnsi="Times New Roman"/>
                  <w:sz w:val="12"/>
                  <w:szCs w:val="12"/>
                  <w:color w:val="0000EE"/>
                </w:rPr>
                <w:t>Deposit Agreement, dated as of August 20, 2014, by and among Global Ship Lease, Inc., Computershare Inc. and Computershare Trust Company, N.A., as applicable, as depositary, registrar and transfer agent, and the</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60" w:type="dxa"/>
            <w:vAlign w:val="bottom"/>
            <w:gridSpan w:val="31"/>
          </w:tcPr>
          <w:p>
            <w:pPr>
              <w:spacing w:after="0" w:line="124" w:lineRule="exact"/>
              <w:rPr>
                <w:rFonts w:ascii="Times New Roman" w:cs="Times New Roman" w:eastAsia="Times New Roman" w:hAnsi="Times New Roman"/>
                <w:sz w:val="12"/>
                <w:szCs w:val="12"/>
                <w:color w:val="0000EE"/>
              </w:rPr>
            </w:pPr>
            <w:hyperlink r:id="rId114">
              <w:r>
                <w:rPr>
                  <w:rFonts w:ascii="Times New Roman" w:cs="Times New Roman" w:eastAsia="Times New Roman" w:hAnsi="Times New Roman"/>
                  <w:sz w:val="12"/>
                  <w:szCs w:val="12"/>
                  <w:color w:val="0000EE"/>
                </w:rPr>
                <w:t>holders from time to time of the depositary receipts described therein (incorporated by reference to Exhibit 4.1 of the Company’s Report on Form 6-K filed on August 20, 2014).</w:t>
              </w:r>
            </w:hyperlink>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15">
              <w:r>
                <w:rPr>
                  <w:rFonts w:ascii="Times New Roman" w:cs="Times New Roman" w:eastAsia="Times New Roman" w:hAnsi="Times New Roman"/>
                  <w:sz w:val="12"/>
                  <w:szCs w:val="12"/>
                  <w:color w:val="0000EE"/>
                  <w:w w:val="79"/>
                </w:rPr>
                <w:t>2.</w:t>
              </w:r>
              <w:r>
                <w:rPr>
                  <w:rFonts w:ascii="Times New Roman" w:cs="Times New Roman" w:eastAsia="Times New Roman" w:hAnsi="Times New Roman"/>
                  <w:sz w:val="12"/>
                  <w:szCs w:val="12"/>
                  <w:u w:val="single" w:color="auto"/>
                  <w:color w:val="0000EE"/>
                  <w:w w:val="79"/>
                </w:rPr>
                <w:t>3</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340" w:type="dxa"/>
            <w:vAlign w:val="bottom"/>
            <w:tcBorders>
              <w:bottom w:val="single" w:sz="8" w:color="0000EE"/>
            </w:tcBorders>
            <w:gridSpan w:val="29"/>
          </w:tcPr>
          <w:p>
            <w:pPr>
              <w:spacing w:after="0"/>
              <w:rPr>
                <w:rFonts w:ascii="Times New Roman" w:cs="Times New Roman" w:eastAsia="Times New Roman" w:hAnsi="Times New Roman"/>
                <w:sz w:val="12"/>
                <w:szCs w:val="12"/>
                <w:color w:val="0000EE"/>
                <w:w w:val="99"/>
              </w:rPr>
            </w:pPr>
            <w:hyperlink r:id="rId115">
              <w:r>
                <w:rPr>
                  <w:rFonts w:ascii="Times New Roman" w:cs="Times New Roman" w:eastAsia="Times New Roman" w:hAnsi="Times New Roman"/>
                  <w:sz w:val="12"/>
                  <w:szCs w:val="12"/>
                  <w:color w:val="0000EE"/>
                  <w:w w:val="99"/>
                </w:rPr>
                <w:t>Description of Securities Registered Pursuant to Section 12 of the Securities Exchange Act of 1934 (incorporated by reference to Exhibit 2.3 of the Company’s Annual Report on Form 20-F filed on March 20, 2024).</w:t>
              </w:r>
            </w:hyperlink>
          </w:p>
        </w:tc>
        <w:tc>
          <w:tcPr>
            <w:tcW w:w="320" w:type="dxa"/>
            <w:vAlign w:val="bottom"/>
            <w:gridSpan w:val="2"/>
          </w:tcPr>
          <w:p>
            <w:pPr>
              <w:spacing w:after="0"/>
              <w:rPr>
                <w:sz w:val="23"/>
                <w:szCs w:val="23"/>
                <w:color w:val="auto"/>
              </w:rPr>
            </w:pPr>
          </w:p>
        </w:tc>
      </w:tr>
      <w:tr>
        <w:trPr>
          <w:trHeight w:val="268"/>
        </w:trPr>
        <w:tc>
          <w:tcPr>
            <w:tcW w:w="140" w:type="dxa"/>
            <w:vAlign w:val="bottom"/>
          </w:tcPr>
          <w:p>
            <w:pPr>
              <w:spacing w:after="0"/>
              <w:rPr>
                <w:rFonts w:ascii="Times New Roman" w:cs="Times New Roman" w:eastAsia="Times New Roman" w:hAnsi="Times New Roman"/>
                <w:sz w:val="12"/>
                <w:szCs w:val="12"/>
                <w:color w:val="0000EE"/>
                <w:w w:val="79"/>
              </w:rPr>
            </w:pPr>
            <w:hyperlink r:id="rId116">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1</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60" w:type="dxa"/>
            <w:vAlign w:val="bottom"/>
            <w:gridSpan w:val="31"/>
          </w:tcPr>
          <w:p>
            <w:pPr>
              <w:spacing w:after="0"/>
              <w:rPr>
                <w:rFonts w:ascii="Times New Roman" w:cs="Times New Roman" w:eastAsia="Times New Roman" w:hAnsi="Times New Roman"/>
                <w:sz w:val="12"/>
                <w:szCs w:val="12"/>
                <w:color w:val="0000EE"/>
                <w:w w:val="99"/>
              </w:rPr>
            </w:pPr>
            <w:hyperlink r:id="rId116">
              <w:r>
                <w:rPr>
                  <w:rFonts w:ascii="Times New Roman" w:cs="Times New Roman" w:eastAsia="Times New Roman" w:hAnsi="Times New Roman"/>
                  <w:sz w:val="12"/>
                  <w:szCs w:val="12"/>
                  <w:color w:val="0000EE"/>
                  <w:w w:val="99"/>
                </w:rPr>
                <w:t>Deed of Accession, Amendment and Restatement, dated December 10, 2019, by and among Global Ship Lease 30 LLC, Global Ship Lease 31 LLC and Global Ship Lease 32 LLC, as original borrowers, Global Ship Lease</w:t>
              </w:r>
            </w:hyperlink>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60" w:type="dxa"/>
            <w:vAlign w:val="bottom"/>
            <w:tcBorders>
              <w:bottom w:val="single" w:sz="8" w:color="0000EE"/>
            </w:tcBorders>
            <w:gridSpan w:val="31"/>
          </w:tcPr>
          <w:p>
            <w:pPr>
              <w:spacing w:after="0" w:line="124" w:lineRule="exact"/>
              <w:rPr>
                <w:rFonts w:ascii="Times New Roman" w:cs="Times New Roman" w:eastAsia="Times New Roman" w:hAnsi="Times New Roman"/>
                <w:sz w:val="12"/>
                <w:szCs w:val="12"/>
                <w:color w:val="0000EE"/>
              </w:rPr>
            </w:pPr>
            <w:hyperlink r:id="rId116">
              <w:r>
                <w:rPr>
                  <w:rFonts w:ascii="Times New Roman" w:cs="Times New Roman" w:eastAsia="Times New Roman" w:hAnsi="Times New Roman"/>
                  <w:sz w:val="12"/>
                  <w:szCs w:val="12"/>
                  <w:color w:val="0000EE"/>
                </w:rPr>
                <w:t>33 LLC and Global Ship Lease 34 LLC, as additional borrowers, Global Ship Lease, Inc., as parent guarantor, and Hellenic Bank Public Company Limited, as arranger, facility agent and security agent, relating to the</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380" w:type="dxa"/>
            <w:vAlign w:val="bottom"/>
            <w:tcBorders>
              <w:bottom w:val="single" w:sz="8" w:color="0000EE"/>
            </w:tcBorders>
            <w:gridSpan w:val="20"/>
          </w:tcPr>
          <w:p>
            <w:pPr>
              <w:spacing w:after="0" w:line="124" w:lineRule="exact"/>
              <w:rPr>
                <w:rFonts w:ascii="Times New Roman" w:cs="Times New Roman" w:eastAsia="Times New Roman" w:hAnsi="Times New Roman"/>
                <w:sz w:val="12"/>
                <w:szCs w:val="12"/>
                <w:color w:val="0000EE"/>
                <w:w w:val="99"/>
              </w:rPr>
            </w:pPr>
            <w:hyperlink r:id="rId116">
              <w:r>
                <w:rPr>
                  <w:rFonts w:ascii="Times New Roman" w:cs="Times New Roman" w:eastAsia="Times New Roman" w:hAnsi="Times New Roman"/>
                  <w:sz w:val="12"/>
                  <w:szCs w:val="12"/>
                  <w:color w:val="0000EE"/>
                  <w:w w:val="99"/>
                </w:rPr>
                <w:t>facility agreement dated May 23, 2019 (incorporated by reference to Exhibit 4.19 of the Company’s Annual Report on Form 20-F filed on April 2, 2020).</w:t>
              </w:r>
            </w:hyperlink>
          </w:p>
        </w:tc>
        <w:tc>
          <w:tcPr>
            <w:tcW w:w="3280" w:type="dxa"/>
            <w:vAlign w:val="bottom"/>
            <w:gridSpan w:val="11"/>
          </w:tcPr>
          <w:p>
            <w:pPr>
              <w:spacing w:after="0"/>
              <w:rPr>
                <w:sz w:val="10"/>
                <w:szCs w:val="10"/>
                <w:color w:val="auto"/>
              </w:rPr>
            </w:pPr>
          </w:p>
        </w:tc>
      </w:tr>
      <w:tr>
        <w:trPr>
          <w:trHeight w:val="26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17">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2</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17">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253 Leasing Co. Limited as Lessor and Global Ship Lease 70 LLC as Lessee (incorporated by reference to Exhibit 4.16 of the</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117">
              <w:r>
                <w:rPr>
                  <w:rFonts w:ascii="Times New Roman" w:cs="Times New Roman" w:eastAsia="Times New Roman" w:hAnsi="Times New Roman"/>
                  <w:sz w:val="12"/>
                  <w:szCs w:val="12"/>
                  <w:color w:val="0000EE"/>
                </w:rPr>
                <w:t>Company’s Annual Report on Form 20-F filed on March 24, 2022).</w:t>
              </w:r>
            </w:hyperlink>
          </w:p>
        </w:tc>
        <w:tc>
          <w:tcPr>
            <w:tcW w:w="7380" w:type="dxa"/>
            <w:vAlign w:val="bottom"/>
            <w:gridSpan w:val="19"/>
          </w:tcPr>
          <w:p>
            <w:pPr>
              <w:spacing w:after="0"/>
              <w:rPr>
                <w:sz w:val="10"/>
                <w:szCs w:val="10"/>
                <w:color w:val="auto"/>
              </w:rPr>
            </w:pPr>
          </w:p>
        </w:tc>
      </w:tr>
      <w:tr>
        <w:trPr>
          <w:trHeight w:val="26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18">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3</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18">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254 Leasing Co. Limited as Lessor and Global Ship Lease 71 LLC as Lessee (incorporated by reference to Exhibit 4.17 of the</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118">
              <w:r>
                <w:rPr>
                  <w:rFonts w:ascii="Times New Roman" w:cs="Times New Roman" w:eastAsia="Times New Roman" w:hAnsi="Times New Roman"/>
                  <w:sz w:val="12"/>
                  <w:szCs w:val="12"/>
                  <w:color w:val="0000EE"/>
                </w:rPr>
                <w:t>Company’s Annual Report on Form 20-F filed on March 24, 2022).</w:t>
              </w:r>
            </w:hyperlink>
          </w:p>
        </w:tc>
        <w:tc>
          <w:tcPr>
            <w:tcW w:w="7380" w:type="dxa"/>
            <w:vAlign w:val="bottom"/>
            <w:gridSpan w:val="19"/>
          </w:tcPr>
          <w:p>
            <w:pPr>
              <w:spacing w:after="0"/>
              <w:rPr>
                <w:sz w:val="10"/>
                <w:szCs w:val="10"/>
                <w:color w:val="auto"/>
              </w:rPr>
            </w:pPr>
          </w:p>
        </w:tc>
      </w:tr>
      <w:tr>
        <w:trPr>
          <w:trHeight w:val="26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19">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4</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19">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251 Leasing Co. Limited as Lessor and Global Ship Lease 68 LLC as Lessee (incorporated by reference to Exhibit 4.18 of the</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119">
              <w:r>
                <w:rPr>
                  <w:rFonts w:ascii="Times New Roman" w:cs="Times New Roman" w:eastAsia="Times New Roman" w:hAnsi="Times New Roman"/>
                  <w:sz w:val="12"/>
                  <w:szCs w:val="12"/>
                  <w:color w:val="0000EE"/>
                </w:rPr>
                <w:t>Company’s Annual Report on Form 20-F filed on March 24, 2022).</w:t>
              </w:r>
            </w:hyperlink>
          </w:p>
        </w:tc>
        <w:tc>
          <w:tcPr>
            <w:tcW w:w="7380" w:type="dxa"/>
            <w:vAlign w:val="bottom"/>
            <w:gridSpan w:val="19"/>
          </w:tcPr>
          <w:p>
            <w:pPr>
              <w:spacing w:after="0"/>
              <w:rPr>
                <w:sz w:val="10"/>
                <w:szCs w:val="10"/>
                <w:color w:val="auto"/>
              </w:rPr>
            </w:pPr>
          </w:p>
        </w:tc>
      </w:tr>
      <w:tr>
        <w:trPr>
          <w:trHeight w:val="26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20">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5</w:t>
              </w:r>
            </w:hyperlink>
          </w:p>
        </w:tc>
        <w:tc>
          <w:tcPr>
            <w:tcW w:w="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0">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 Million Sale and Leaseback Agreement, dated August 26, 2021, by and among SEA 252 Leasing Co. Limited as Lessor and Global Ship Lease 69 LLC as Lessee (incorporated by reference to Exhibit 4.19 of the</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280" w:type="dxa"/>
            <w:vAlign w:val="bottom"/>
            <w:tcBorders>
              <w:bottom w:val="single" w:sz="8" w:color="0000EE"/>
            </w:tcBorders>
            <w:gridSpan w:val="12"/>
          </w:tcPr>
          <w:p>
            <w:pPr>
              <w:spacing w:after="0" w:line="124" w:lineRule="exact"/>
              <w:rPr>
                <w:rFonts w:ascii="Times New Roman" w:cs="Times New Roman" w:eastAsia="Times New Roman" w:hAnsi="Times New Roman"/>
                <w:sz w:val="12"/>
                <w:szCs w:val="12"/>
                <w:color w:val="0000EE"/>
              </w:rPr>
            </w:pPr>
            <w:hyperlink r:id="rId120">
              <w:r>
                <w:rPr>
                  <w:rFonts w:ascii="Times New Roman" w:cs="Times New Roman" w:eastAsia="Times New Roman" w:hAnsi="Times New Roman"/>
                  <w:sz w:val="12"/>
                  <w:szCs w:val="12"/>
                  <w:color w:val="0000EE"/>
                </w:rPr>
                <w:t>Company’s Annual Report on Form 20-F filed on March 24, 2022).</w:t>
              </w:r>
            </w:hyperlink>
          </w:p>
        </w:tc>
        <w:tc>
          <w:tcPr>
            <w:tcW w:w="7380" w:type="dxa"/>
            <w:vAlign w:val="bottom"/>
            <w:gridSpan w:val="19"/>
          </w:tcPr>
          <w:p>
            <w:pPr>
              <w:spacing w:after="0"/>
              <w:rPr>
                <w:sz w:val="10"/>
                <w:szCs w:val="10"/>
                <w:color w:val="auto"/>
              </w:rPr>
            </w:pPr>
          </w:p>
        </w:tc>
      </w:tr>
      <w:tr>
        <w:trPr>
          <w:trHeight w:val="28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21">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6</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1">
              <w:r>
                <w:rPr>
                  <w:rFonts w:ascii="Times New Roman" w:cs="Times New Roman" w:eastAsia="Times New Roman" w:hAnsi="Times New Roman"/>
                  <w:sz w:val="12"/>
                  <w:szCs w:val="12"/>
                  <w:color w:val="0000EE"/>
                </w:rPr>
                <w:t>Note Purchase Agreement, dated June 14, 2022, by and among Knausen Holding LLC and the purchasers named therein, relating to the 5.69% Senior Secured Notes due 2027 (incorporated by reference to Exhibit 99.4 of</w:t>
              </w:r>
            </w:hyperlink>
          </w:p>
        </w:tc>
      </w:tr>
      <w:tr>
        <w:trPr>
          <w:trHeight w:val="104"/>
        </w:trPr>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920" w:type="dxa"/>
            <w:vAlign w:val="bottom"/>
            <w:tcBorders>
              <w:bottom w:val="single" w:sz="8" w:color="0000EE"/>
            </w:tcBorders>
            <w:gridSpan w:val="10"/>
          </w:tcPr>
          <w:p>
            <w:pPr>
              <w:spacing w:after="0" w:line="104" w:lineRule="exact"/>
              <w:rPr>
                <w:rFonts w:ascii="Times New Roman" w:cs="Times New Roman" w:eastAsia="Times New Roman" w:hAnsi="Times New Roman"/>
                <w:sz w:val="12"/>
                <w:szCs w:val="12"/>
                <w:color w:val="0000EE"/>
                <w:w w:val="99"/>
              </w:rPr>
            </w:pPr>
            <w:hyperlink r:id="rId121">
              <w:r>
                <w:rPr>
                  <w:rFonts w:ascii="Times New Roman" w:cs="Times New Roman" w:eastAsia="Times New Roman" w:hAnsi="Times New Roman"/>
                  <w:sz w:val="12"/>
                  <w:szCs w:val="12"/>
                  <w:color w:val="0000EE"/>
                  <w:w w:val="99"/>
                </w:rPr>
                <w:t>the Company’s Report on Form 6-K filed on June 21, 2022).</w:t>
              </w:r>
            </w:hyperlink>
          </w:p>
        </w:tc>
        <w:tc>
          <w:tcPr>
            <w:tcW w:w="7740" w:type="dxa"/>
            <w:vAlign w:val="bottom"/>
            <w:gridSpan w:val="21"/>
          </w:tcPr>
          <w:p>
            <w:pPr>
              <w:spacing w:after="0"/>
              <w:rPr>
                <w:sz w:val="9"/>
                <w:szCs w:val="9"/>
                <w:color w:val="auto"/>
              </w:rPr>
            </w:pPr>
          </w:p>
        </w:tc>
      </w:tr>
      <w:tr>
        <w:trPr>
          <w:trHeight w:val="28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22">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7</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2">
              <w:r>
                <w:rPr>
                  <w:rFonts w:ascii="Times New Roman" w:cs="Times New Roman" w:eastAsia="Times New Roman" w:hAnsi="Times New Roman"/>
                  <w:sz w:val="12"/>
                  <w:szCs w:val="12"/>
                  <w:color w:val="0000EE"/>
                </w:rPr>
                <w:t>Form of Indemnification Agreement entered into between Global Ship Lease, Inc. and each of its directors and officers (incorporated by reference to Exhibit 10.17 of the Company’s Registration Statement on Form F-1</w:t>
              </w:r>
            </w:hyperlink>
          </w:p>
        </w:tc>
      </w:tr>
      <w:tr>
        <w:trPr>
          <w:trHeight w:val="104"/>
        </w:trPr>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60" w:type="dxa"/>
            <w:vAlign w:val="bottom"/>
            <w:gridSpan w:val="31"/>
          </w:tcPr>
          <w:p>
            <w:pPr>
              <w:spacing w:after="0" w:line="104" w:lineRule="exact"/>
              <w:rPr>
                <w:rFonts w:ascii="Times New Roman" w:cs="Times New Roman" w:eastAsia="Times New Roman" w:hAnsi="Times New Roman"/>
                <w:sz w:val="12"/>
                <w:szCs w:val="12"/>
                <w:color w:val="0000EE"/>
              </w:rPr>
            </w:pPr>
            <w:hyperlink r:id="rId122">
              <w:r>
                <w:rPr>
                  <w:rFonts w:ascii="Times New Roman" w:cs="Times New Roman" w:eastAsia="Times New Roman" w:hAnsi="Times New Roman"/>
                  <w:sz w:val="12"/>
                  <w:szCs w:val="12"/>
                  <w:color w:val="0000EE"/>
                </w:rPr>
                <w:t>(File No. 333-147070) filed on November 1, 2007).</w:t>
              </w:r>
            </w:hyperlink>
          </w:p>
        </w:tc>
      </w:tr>
      <w:tr>
        <w:trPr>
          <w:trHeight w:val="20"/>
        </w:trPr>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8*</w:t>
            </w:r>
          </w:p>
        </w:tc>
        <w:tc>
          <w:tcPr>
            <w:tcW w:w="360" w:type="dxa"/>
            <w:vAlign w:val="bottom"/>
          </w:tcPr>
          <w:p>
            <w:pPr>
              <w:spacing w:after="0"/>
              <w:rPr>
                <w:sz w:val="23"/>
                <w:szCs w:val="23"/>
                <w:color w:val="auto"/>
              </w:rPr>
            </w:pPr>
          </w:p>
        </w:tc>
        <w:tc>
          <w:tcPr>
            <w:tcW w:w="682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2"/>
                <w:szCs w:val="12"/>
                <w:color w:val="0000EE"/>
                <w:w w:val="99"/>
              </w:rPr>
              <w:t>2019 Omnibus Incentive Plan (as amended and restated on September 29, 2021, and as further amended and restated on September 25, 2025).</w:t>
            </w:r>
          </w:p>
        </w:tc>
        <w:tc>
          <w:tcPr>
            <w:tcW w:w="3840" w:type="dxa"/>
            <w:vAlign w:val="bottom"/>
            <w:gridSpan w:val="12"/>
          </w:tcPr>
          <w:p>
            <w:pPr>
              <w:spacing w:after="0"/>
              <w:rPr>
                <w:sz w:val="23"/>
                <w:szCs w:val="23"/>
                <w:color w:val="auto"/>
              </w:rPr>
            </w:pPr>
          </w:p>
        </w:tc>
      </w:tr>
      <w:tr>
        <w:trPr>
          <w:trHeight w:val="288"/>
        </w:trPr>
        <w:tc>
          <w:tcPr>
            <w:tcW w:w="140" w:type="dxa"/>
            <w:vAlign w:val="bottom"/>
            <w:tcBorders>
              <w:bottom w:val="single" w:sz="8" w:color="0000EE"/>
            </w:tcBorders>
          </w:tcPr>
          <w:p>
            <w:pPr>
              <w:spacing w:after="0"/>
              <w:rPr>
                <w:rFonts w:ascii="Times New Roman" w:cs="Times New Roman" w:eastAsia="Times New Roman" w:hAnsi="Times New Roman"/>
                <w:sz w:val="12"/>
                <w:szCs w:val="12"/>
                <w:color w:val="0000EE"/>
                <w:w w:val="79"/>
              </w:rPr>
            </w:pPr>
            <w:hyperlink r:id="rId123">
              <w:r>
                <w:rPr>
                  <w:rFonts w:ascii="Times New Roman" w:cs="Times New Roman" w:eastAsia="Times New Roman" w:hAnsi="Times New Roman"/>
                  <w:sz w:val="12"/>
                  <w:szCs w:val="12"/>
                  <w:color w:val="0000EE"/>
                  <w:w w:val="79"/>
                </w:rPr>
                <w:t>4.</w:t>
              </w:r>
              <w:r>
                <w:rPr>
                  <w:rFonts w:ascii="Times New Roman" w:cs="Times New Roman" w:eastAsia="Times New Roman" w:hAnsi="Times New Roman"/>
                  <w:sz w:val="12"/>
                  <w:szCs w:val="12"/>
                  <w:u w:val="single" w:color="auto"/>
                  <w:color w:val="0000EE"/>
                  <w:w w:val="79"/>
                </w:rPr>
                <w:t>9</w:t>
              </w:r>
            </w:hyperlink>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w w:val="99"/>
              </w:rPr>
            </w:pPr>
            <w:hyperlink r:id="rId123">
              <w:r>
                <w:rPr>
                  <w:rFonts w:ascii="Times New Roman" w:cs="Times New Roman" w:eastAsia="Times New Roman" w:hAnsi="Times New Roman"/>
                  <w:sz w:val="12"/>
                  <w:szCs w:val="12"/>
                  <w:color w:val="0000EE"/>
                  <w:w w:val="99"/>
                </w:rPr>
                <w:t>Amended and Restated Non-Compete Agreement, dated as of March 12, 2025, by and among Global Ship Lease, Inc., Georgios Giouroukos and Conchart Commercial, Inc. (incorporated by reference to Exhibit 4.18 of the</w:t>
              </w:r>
            </w:hyperlink>
          </w:p>
        </w:tc>
      </w:tr>
      <w:tr>
        <w:trPr>
          <w:trHeight w:val="104"/>
        </w:trPr>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tcBorders>
              <w:bottom w:val="single" w:sz="8" w:color="0000EE"/>
            </w:tcBorders>
            <w:gridSpan w:val="11"/>
          </w:tcPr>
          <w:p>
            <w:pPr>
              <w:spacing w:after="0" w:line="104" w:lineRule="exact"/>
              <w:rPr>
                <w:rFonts w:ascii="Times New Roman" w:cs="Times New Roman" w:eastAsia="Times New Roman" w:hAnsi="Times New Roman"/>
                <w:sz w:val="12"/>
                <w:szCs w:val="12"/>
                <w:color w:val="0000EE"/>
                <w:w w:val="99"/>
              </w:rPr>
            </w:pPr>
            <w:hyperlink r:id="rId123">
              <w:r>
                <w:rPr>
                  <w:rFonts w:ascii="Times New Roman" w:cs="Times New Roman" w:eastAsia="Times New Roman" w:hAnsi="Times New Roman"/>
                  <w:sz w:val="12"/>
                  <w:szCs w:val="12"/>
                  <w:color w:val="0000EE"/>
                  <w:w w:val="99"/>
                </w:rPr>
                <w:t>Company’s Annual Report on Form 20-F filed on March 18, 2025).</w:t>
              </w:r>
            </w:hyperlink>
          </w:p>
        </w:tc>
        <w:tc>
          <w:tcPr>
            <w:tcW w:w="7400" w:type="dxa"/>
            <w:vAlign w:val="bottom"/>
            <w:gridSpan w:val="20"/>
          </w:tcPr>
          <w:p>
            <w:pPr>
              <w:spacing w:after="0"/>
              <w:rPr>
                <w:sz w:val="9"/>
                <w:szCs w:val="9"/>
                <w:color w:val="auto"/>
              </w:rPr>
            </w:pPr>
          </w:p>
        </w:tc>
      </w:tr>
      <w:tr>
        <w:trPr>
          <w:trHeight w:val="26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24">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10</w:t>
              </w:r>
            </w:hyperlink>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Amended and Restated Registration Rights Agreement, dated as of October 29, 2018, by and among Global Ship Lease, Inc., KEP VI (Newco Marine), Ltd., KIA VIII (Newco Marine), Ltd., CMA CGM S.A.,</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60" w:type="dxa"/>
            <w:vAlign w:val="bottom"/>
            <w:tcBorders>
              <w:bottom w:val="single" w:sz="8" w:color="0000EE"/>
            </w:tcBorders>
            <w:gridSpan w:val="31"/>
          </w:tcPr>
          <w:p>
            <w:pPr>
              <w:spacing w:after="0" w:line="124" w:lineRule="exact"/>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Management Investor Co., Anmani Consulting Inc., Marathon Founders, LLC, Michael S. Gross and Maas Capital Investments B.V. (incorporated by reference to Exhibit 10.1 of the Company’s Report on Form 6-K filed</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60" w:type="dxa"/>
            <w:vAlign w:val="bottom"/>
            <w:gridSpan w:val="31"/>
          </w:tcPr>
          <w:p>
            <w:pPr>
              <w:spacing w:after="0" w:line="124" w:lineRule="exact"/>
              <w:rPr>
                <w:rFonts w:ascii="Times New Roman" w:cs="Times New Roman" w:eastAsia="Times New Roman" w:hAnsi="Times New Roman"/>
                <w:sz w:val="12"/>
                <w:szCs w:val="12"/>
                <w:color w:val="0000EE"/>
              </w:rPr>
            </w:pPr>
            <w:hyperlink r:id="rId124">
              <w:r>
                <w:rPr>
                  <w:rFonts w:ascii="Times New Roman" w:cs="Times New Roman" w:eastAsia="Times New Roman" w:hAnsi="Times New Roman"/>
                  <w:sz w:val="12"/>
                  <w:szCs w:val="12"/>
                  <w:color w:val="0000EE"/>
                </w:rPr>
                <w:t>on October 30, 2018).</w:t>
              </w:r>
            </w:hyperlink>
          </w:p>
        </w:tc>
      </w:tr>
      <w:tr>
        <w:trPr>
          <w:trHeight w:val="20"/>
        </w:trPr>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25">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11</w:t>
              </w:r>
            </w:hyperlink>
          </w:p>
        </w:tc>
        <w:tc>
          <w:tcPr>
            <w:tcW w:w="360" w:type="dxa"/>
            <w:vAlign w:val="bottom"/>
          </w:tcPr>
          <w:p>
            <w:pPr>
              <w:spacing w:after="0"/>
              <w:rPr>
                <w:sz w:val="24"/>
                <w:szCs w:val="24"/>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5">
              <w:r>
                <w:rPr>
                  <w:rFonts w:ascii="Times New Roman" w:cs="Times New Roman" w:eastAsia="Times New Roman" w:hAnsi="Times New Roman"/>
                  <w:sz w:val="12"/>
                  <w:szCs w:val="12"/>
                  <w:color w:val="0000EE"/>
                </w:rPr>
                <w:t>Agreement and Plan of Merger, dated as of October 29, 2018, by and among Poseidon Containers Holdings LLC, K&amp;T Marine LLC, Global Ship Lease, Inc., GSL Sub One LLC, GSL Sub Two LLC and, solely for</w:t>
              </w:r>
            </w:hyperlink>
          </w:p>
        </w:tc>
      </w:tr>
      <w:tr>
        <w:trPr>
          <w:trHeight w:val="104"/>
        </w:trPr>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60" w:type="dxa"/>
            <w:vAlign w:val="bottom"/>
            <w:gridSpan w:val="31"/>
          </w:tcPr>
          <w:p>
            <w:pPr>
              <w:spacing w:after="0" w:line="104" w:lineRule="exact"/>
              <w:rPr>
                <w:rFonts w:ascii="Times New Roman" w:cs="Times New Roman" w:eastAsia="Times New Roman" w:hAnsi="Times New Roman"/>
                <w:sz w:val="12"/>
                <w:szCs w:val="12"/>
                <w:color w:val="0000EE"/>
              </w:rPr>
            </w:pPr>
            <w:hyperlink r:id="rId125">
              <w:r>
                <w:rPr>
                  <w:rFonts w:ascii="Times New Roman" w:cs="Times New Roman" w:eastAsia="Times New Roman" w:hAnsi="Times New Roman"/>
                  <w:sz w:val="12"/>
                  <w:szCs w:val="12"/>
                  <w:color w:val="0000EE"/>
                </w:rPr>
                <w:t>purposes of Article III, Article XI and Sections 5.2, 6.2 and 6.9 therein, KEP VI (Newco Marine), Ltd., KIA VIII (Newco Marine), Ltd., Maas Capital Investments B.V., Management Investor Co. and Anmani Consulting</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40" w:type="dxa"/>
            <w:vAlign w:val="bottom"/>
            <w:tcBorders>
              <w:top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25">
              <w:r>
                <w:rPr>
                  <w:rFonts w:ascii="Times New Roman" w:cs="Times New Roman" w:eastAsia="Times New Roman" w:hAnsi="Times New Roman"/>
                  <w:sz w:val="12"/>
                  <w:szCs w:val="12"/>
                  <w:color w:val="0000EE"/>
                </w:rPr>
                <w:t>Inc. (incorporated by reference to Exhibit 2.1 of the Company’s Report on Form 6-K filed on October 30, 2018).</w:t>
              </w:r>
            </w:hyperlink>
          </w:p>
        </w:tc>
        <w:tc>
          <w:tcPr>
            <w:tcW w:w="2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0"/>
              </w:rPr>
              <w:t>4.</w:t>
            </w:r>
            <w:r>
              <w:rPr>
                <w:rFonts w:ascii="Times New Roman" w:cs="Times New Roman" w:eastAsia="Times New Roman" w:hAnsi="Times New Roman"/>
                <w:sz w:val="10"/>
                <w:szCs w:val="10"/>
                <w:u w:val="single" w:color="auto"/>
                <w:color w:val="0000EE"/>
                <w:w w:val="70"/>
              </w:rPr>
              <w:t>12*</w:t>
            </w:r>
          </w:p>
        </w:tc>
        <w:tc>
          <w:tcPr>
            <w:tcW w:w="360" w:type="dxa"/>
            <w:vAlign w:val="bottom"/>
          </w:tcPr>
          <w:p>
            <w:pPr>
              <w:spacing w:after="0"/>
              <w:rPr>
                <w:sz w:val="23"/>
                <w:szCs w:val="23"/>
                <w:color w:val="auto"/>
              </w:rPr>
            </w:pPr>
          </w:p>
        </w:tc>
        <w:tc>
          <w:tcPr>
            <w:tcW w:w="78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2"/>
                <w:szCs w:val="12"/>
                <w:color w:val="0000EE"/>
                <w:w w:val="99"/>
              </w:rPr>
              <w:t>Form of Technical Management Agreement by and between Technomar Shipping Inc., on the one hand, and vessel-owning subsidiaries of Global Ship Lease, Inc.</w:t>
            </w:r>
          </w:p>
        </w:tc>
        <w:tc>
          <w:tcPr>
            <w:tcW w:w="2860" w:type="dxa"/>
            <w:vAlign w:val="bottom"/>
            <w:gridSpan w:val="10"/>
          </w:tcPr>
          <w:p>
            <w:pPr>
              <w:spacing w:after="0"/>
              <w:rPr>
                <w:sz w:val="23"/>
                <w:szCs w:val="23"/>
                <w:color w:val="auto"/>
              </w:rPr>
            </w:pPr>
          </w:p>
        </w:tc>
      </w:tr>
      <w:tr>
        <w:trPr>
          <w:trHeight w:val="26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26">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13</w:t>
              </w:r>
            </w:hyperlink>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6">
              <w:r>
                <w:rPr>
                  <w:rFonts w:ascii="Times New Roman" w:cs="Times New Roman" w:eastAsia="Times New Roman" w:hAnsi="Times New Roman"/>
                  <w:sz w:val="12"/>
                  <w:szCs w:val="12"/>
                  <w:color w:val="0000EE"/>
                </w:rPr>
                <w:t>Form of Commercial Management Agreement by and between Conchart Commercial Inc., and vessel-owning subsidiaries of Global Ship Lease, Inc. (incorporated by reference to Exhibit 4.24 of the Company’s Annual</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300" w:type="dxa"/>
            <w:vAlign w:val="bottom"/>
            <w:tcBorders>
              <w:bottom w:val="single" w:sz="8" w:color="0000EE"/>
            </w:tcBorders>
            <w:gridSpan w:val="7"/>
          </w:tcPr>
          <w:p>
            <w:pPr>
              <w:spacing w:after="0" w:line="124" w:lineRule="exact"/>
              <w:rPr>
                <w:rFonts w:ascii="Times New Roman" w:cs="Times New Roman" w:eastAsia="Times New Roman" w:hAnsi="Times New Roman"/>
                <w:sz w:val="12"/>
                <w:szCs w:val="12"/>
                <w:color w:val="0000EE"/>
                <w:w w:val="99"/>
              </w:rPr>
            </w:pPr>
            <w:hyperlink r:id="rId126">
              <w:r>
                <w:rPr>
                  <w:rFonts w:ascii="Times New Roman" w:cs="Times New Roman" w:eastAsia="Times New Roman" w:hAnsi="Times New Roman"/>
                  <w:sz w:val="12"/>
                  <w:szCs w:val="12"/>
                  <w:color w:val="0000EE"/>
                  <w:w w:val="99"/>
                </w:rPr>
                <w:t>Report on Form 20-F filed on March 23, 2023).</w:t>
              </w:r>
            </w:hyperlink>
          </w:p>
        </w:tc>
        <w:tc>
          <w:tcPr>
            <w:tcW w:w="8360" w:type="dxa"/>
            <w:vAlign w:val="bottom"/>
            <w:gridSpan w:val="24"/>
          </w:tcPr>
          <w:p>
            <w:pPr>
              <w:spacing w:after="0"/>
              <w:rPr>
                <w:sz w:val="10"/>
                <w:szCs w:val="10"/>
                <w:color w:val="auto"/>
              </w:rPr>
            </w:pPr>
          </w:p>
        </w:tc>
      </w:tr>
      <w:tr>
        <w:trPr>
          <w:trHeight w:val="28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27">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14</w:t>
              </w:r>
            </w:hyperlink>
          </w:p>
        </w:tc>
        <w:tc>
          <w:tcPr>
            <w:tcW w:w="360" w:type="dxa"/>
            <w:vAlign w:val="bottom"/>
          </w:tcPr>
          <w:p>
            <w:pPr>
              <w:spacing w:after="0"/>
              <w:rPr>
                <w:sz w:val="24"/>
                <w:szCs w:val="24"/>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300.0 Million Credit Facility, dated August 7, 2024, by and among Ikaros Marine LLC, Leonidas Marine LLC, Hector Marine LLC, Aristoteles Marine LLC, Menelaos Marine LLC, Philippos Marine LLC, Alexander</w:t>
              </w:r>
            </w:hyperlink>
          </w:p>
        </w:tc>
      </w:tr>
      <w:tr>
        <w:trPr>
          <w:trHeight w:val="104"/>
        </w:trPr>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660" w:type="dxa"/>
            <w:vAlign w:val="bottom"/>
            <w:gridSpan w:val="31"/>
          </w:tcPr>
          <w:p>
            <w:pPr>
              <w:spacing w:after="0" w:line="10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Marine LLC, Penelope Marine LLC, Laertis Marine LLC, Telemachus Marine LLC, as joint and several borrowers, the Company as guarantor and the banks and financial institutions listed in Part B of Schedule 1 as</w:t>
              </w:r>
            </w:hyperlink>
          </w:p>
        </w:tc>
      </w:tr>
      <w:tr>
        <w:trPr>
          <w:trHeight w:val="20"/>
        </w:trPr>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60" w:type="dxa"/>
            <w:vAlign w:val="bottom"/>
            <w:gridSpan w:val="31"/>
          </w:tcPr>
          <w:p>
            <w:pPr>
              <w:spacing w:after="0" w:line="12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lenders, Crédit Agricole Corporate and Investment Bank, ABN AMRO BANK N.V. and Bank of America N.A., as mandated lead arrangers, Crédit Agricole Corporate and Investment Bank as facility agent and security</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40" w:type="dxa"/>
            <w:vAlign w:val="bottom"/>
            <w:tcBorders>
              <w:top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27">
              <w:r>
                <w:rPr>
                  <w:rFonts w:ascii="Times New Roman" w:cs="Times New Roman" w:eastAsia="Times New Roman" w:hAnsi="Times New Roman"/>
                  <w:sz w:val="12"/>
                  <w:szCs w:val="12"/>
                  <w:color w:val="0000EE"/>
                </w:rPr>
                <w:t>agent. (incorporated by reference to Exhibit 4.26 of the Company’s Annual Report on Form 20-F filed on March 18, 2025).</w:t>
              </w:r>
            </w:hyperlink>
          </w:p>
        </w:tc>
        <w:tc>
          <w:tcPr>
            <w:tcW w:w="2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80" w:type="dxa"/>
            <w:vAlign w:val="bottom"/>
            <w:gridSpan w:val="2"/>
            <w:shd w:val="clear" w:color="auto" w:fill="0000EE"/>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8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28">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15</w:t>
              </w:r>
            </w:hyperlink>
          </w:p>
        </w:tc>
        <w:tc>
          <w:tcPr>
            <w:tcW w:w="360" w:type="dxa"/>
            <w:vAlign w:val="bottom"/>
          </w:tcPr>
          <w:p>
            <w:pPr>
              <w:spacing w:after="0"/>
              <w:rPr>
                <w:sz w:val="24"/>
                <w:szCs w:val="24"/>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8">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44.5 Million Sale and Leaseback Agreement, dated December 23, 2024, by and among Ocean Jing Shipping Limited as Lessor and Global Ship Lease 77 LLC as Lessee. (incorporated by reference to Exhibit 4.27 of the</w:t>
              </w:r>
            </w:hyperlink>
          </w:p>
        </w:tc>
      </w:tr>
      <w:tr>
        <w:trPr>
          <w:trHeight w:val="104"/>
        </w:trPr>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80" w:type="dxa"/>
            <w:vAlign w:val="bottom"/>
            <w:tcBorders>
              <w:bottom w:val="single" w:sz="8" w:color="0000EE"/>
            </w:tcBorders>
            <w:gridSpan w:val="12"/>
          </w:tcPr>
          <w:p>
            <w:pPr>
              <w:spacing w:after="0" w:line="104" w:lineRule="exact"/>
              <w:rPr>
                <w:rFonts w:ascii="Times New Roman" w:cs="Times New Roman" w:eastAsia="Times New Roman" w:hAnsi="Times New Roman"/>
                <w:sz w:val="12"/>
                <w:szCs w:val="12"/>
                <w:color w:val="0000EE"/>
              </w:rPr>
            </w:pPr>
            <w:hyperlink r:id="rId128">
              <w:r>
                <w:rPr>
                  <w:rFonts w:ascii="Times New Roman" w:cs="Times New Roman" w:eastAsia="Times New Roman" w:hAnsi="Times New Roman"/>
                  <w:sz w:val="12"/>
                  <w:szCs w:val="12"/>
                  <w:color w:val="0000EE"/>
                </w:rPr>
                <w:t>Company’s Annual Report on Form 20-F filed on March 18, 2025).</w:t>
              </w:r>
            </w:hyperlink>
          </w:p>
        </w:tc>
        <w:tc>
          <w:tcPr>
            <w:tcW w:w="7380" w:type="dxa"/>
            <w:vAlign w:val="bottom"/>
            <w:gridSpan w:val="19"/>
          </w:tcPr>
          <w:p>
            <w:pPr>
              <w:spacing w:after="0"/>
              <w:rPr>
                <w:sz w:val="9"/>
                <w:szCs w:val="9"/>
                <w:color w:val="auto"/>
              </w:rPr>
            </w:pPr>
          </w:p>
        </w:tc>
      </w:tr>
      <w:tr>
        <w:trPr>
          <w:trHeight w:val="26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29">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16</w:t>
              </w:r>
            </w:hyperlink>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44.5 Million Sale and Leaseback Agreement, dated December 24, 2024, by and among Ocean Dance Shipping Limited as Lessor and Global Ship Lease 76 LLC as Lessee. (incorporated by reference to Exhibit 4.28 of</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660" w:type="dxa"/>
            <w:vAlign w:val="bottom"/>
            <w:gridSpan w:val="31"/>
          </w:tcPr>
          <w:p>
            <w:pPr>
              <w:spacing w:after="0" w:line="124" w:lineRule="exact"/>
              <w:rPr>
                <w:rFonts w:ascii="Times New Roman" w:cs="Times New Roman" w:eastAsia="Times New Roman" w:hAnsi="Times New Roman"/>
                <w:sz w:val="12"/>
                <w:szCs w:val="12"/>
                <w:color w:val="0000EE"/>
              </w:rPr>
            </w:pPr>
            <w:hyperlink r:id="rId129">
              <w:r>
                <w:rPr>
                  <w:rFonts w:ascii="Times New Roman" w:cs="Times New Roman" w:eastAsia="Times New Roman" w:hAnsi="Times New Roman"/>
                  <w:sz w:val="12"/>
                  <w:szCs w:val="12"/>
                  <w:color w:val="0000EE"/>
                </w:rPr>
                <w:t>the Company’s Annual Report on Form 20-F filed on March 18, 2025).</w:t>
              </w:r>
            </w:hyperlink>
          </w:p>
        </w:tc>
      </w:tr>
      <w:tr>
        <w:trPr>
          <w:trHeight w:val="20"/>
        </w:trPr>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7"/>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color w:val="0000EE"/>
                <w:w w:val="70"/>
              </w:rPr>
              <w:t>4.</w:t>
            </w:r>
            <w:r>
              <w:rPr>
                <w:rFonts w:ascii="Times New Roman" w:cs="Times New Roman" w:eastAsia="Times New Roman" w:hAnsi="Times New Roman"/>
                <w:sz w:val="10"/>
                <w:szCs w:val="10"/>
                <w:u w:val="single" w:color="auto"/>
                <w:color w:val="0000EE"/>
                <w:w w:val="70"/>
              </w:rPr>
              <w:t>17*</w:t>
            </w:r>
          </w:p>
        </w:tc>
        <w:tc>
          <w:tcPr>
            <w:tcW w:w="360" w:type="dxa"/>
            <w:vAlign w:val="bottom"/>
          </w:tcPr>
          <w:p>
            <w:pPr>
              <w:spacing w:after="0"/>
              <w:rPr>
                <w:sz w:val="23"/>
                <w:szCs w:val="23"/>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44.5 Million Sale and Leaseback Agreement, dated January 22, 2025, by and among Ocean Tianxiu Shipping Limited as Lessor and Global Ship Lease 79 LLC as Lessee.</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18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0" w:type="dxa"/>
            <w:vAlign w:val="bottom"/>
            <w:gridSpan w:val="7"/>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0"/>
              </w:rPr>
              <w:t>4.</w:t>
            </w:r>
            <w:r>
              <w:rPr>
                <w:rFonts w:ascii="Times New Roman" w:cs="Times New Roman" w:eastAsia="Times New Roman" w:hAnsi="Times New Roman"/>
                <w:sz w:val="10"/>
                <w:szCs w:val="10"/>
                <w:u w:val="single" w:color="auto"/>
                <w:color w:val="0000EE"/>
                <w:w w:val="70"/>
              </w:rPr>
              <w:t>18*</w:t>
            </w:r>
          </w:p>
        </w:tc>
        <w:tc>
          <w:tcPr>
            <w:tcW w:w="360" w:type="dxa"/>
            <w:vAlign w:val="bottom"/>
          </w:tcPr>
          <w:p>
            <w:pPr>
              <w:spacing w:after="0"/>
              <w:rPr>
                <w:sz w:val="23"/>
                <w:szCs w:val="23"/>
                <w:color w:val="auto"/>
              </w:rPr>
            </w:pPr>
          </w:p>
        </w:tc>
        <w:tc>
          <w:tcPr>
            <w:tcW w:w="832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2"/>
                <w:szCs w:val="12"/>
                <w:u w:val="single" w:color="auto"/>
                <w:color w:val="0000EE"/>
                <w:w w:val="99"/>
              </w:rPr>
              <w:t>$</w:t>
            </w:r>
            <w:r>
              <w:rPr>
                <w:rFonts w:ascii="Times New Roman" w:cs="Times New Roman" w:eastAsia="Times New Roman" w:hAnsi="Times New Roman"/>
                <w:sz w:val="12"/>
                <w:szCs w:val="12"/>
                <w:color w:val="0000EE"/>
                <w:w w:val="99"/>
              </w:rPr>
              <w:t>44.5 Million Sale and Leaseback Agreement, dated January 22, 2025, by and among Ocean Rainbow Shipping Limited as Lessor and Global Ship Lease 78 LLC as Lessee.</w:t>
            </w:r>
          </w:p>
        </w:tc>
        <w:tc>
          <w:tcPr>
            <w:tcW w:w="2340" w:type="dxa"/>
            <w:vAlign w:val="bottom"/>
            <w:gridSpan w:val="7"/>
          </w:tcPr>
          <w:p>
            <w:pPr>
              <w:spacing w:after="0"/>
              <w:rPr>
                <w:sz w:val="23"/>
                <w:szCs w:val="23"/>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color w:val="0000EE"/>
                <w:w w:val="70"/>
              </w:rPr>
              <w:t>4.</w:t>
            </w:r>
            <w:r>
              <w:rPr>
                <w:rFonts w:ascii="Times New Roman" w:cs="Times New Roman" w:eastAsia="Times New Roman" w:hAnsi="Times New Roman"/>
                <w:sz w:val="10"/>
                <w:szCs w:val="10"/>
                <w:u w:val="single" w:color="auto"/>
                <w:color w:val="0000EE"/>
                <w:w w:val="70"/>
              </w:rPr>
              <w:t>19*</w:t>
            </w:r>
          </w:p>
        </w:tc>
        <w:tc>
          <w:tcPr>
            <w:tcW w:w="360" w:type="dxa"/>
            <w:vAlign w:val="bottom"/>
          </w:tcPr>
          <w:p>
            <w:pPr>
              <w:spacing w:after="0"/>
              <w:rPr>
                <w:sz w:val="23"/>
                <w:szCs w:val="23"/>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u w:val="single" w:color="auto"/>
                <w:color w:val="0000EE"/>
              </w:rPr>
              <w:t>$</w:t>
            </w:r>
            <w:r>
              <w:rPr>
                <w:rFonts w:ascii="Times New Roman" w:cs="Times New Roman" w:eastAsia="Times New Roman" w:hAnsi="Times New Roman"/>
                <w:sz w:val="12"/>
                <w:szCs w:val="12"/>
                <w:color w:val="0000EE"/>
              </w:rPr>
              <w:t>85.0 Million UBS AG Credit Facility Agreement, dated March 26, 2025.</w:t>
            </w: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00" w:type="dxa"/>
            <w:vAlign w:val="bottom"/>
            <w:gridSpan w:val="2"/>
          </w:tcPr>
          <w:p>
            <w:pPr>
              <w:spacing w:after="0"/>
              <w:rPr>
                <w:rFonts w:ascii="Times New Roman" w:cs="Times New Roman" w:eastAsia="Times New Roman" w:hAnsi="Times New Roman"/>
                <w:sz w:val="12"/>
                <w:szCs w:val="12"/>
                <w:color w:val="0000EE"/>
                <w:w w:val="75"/>
              </w:rPr>
            </w:pPr>
            <w:hyperlink r:id="rId130">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20</w:t>
              </w:r>
            </w:hyperlink>
          </w:p>
        </w:tc>
        <w:tc>
          <w:tcPr>
            <w:tcW w:w="360" w:type="dxa"/>
            <w:vAlign w:val="bottom"/>
          </w:tcPr>
          <w:p>
            <w:pPr>
              <w:spacing w:after="0"/>
              <w:rPr>
                <w:sz w:val="23"/>
                <w:szCs w:val="23"/>
                <w:color w:val="auto"/>
              </w:rPr>
            </w:pPr>
          </w:p>
        </w:tc>
        <w:tc>
          <w:tcPr>
            <w:tcW w:w="10660" w:type="dxa"/>
            <w:vAlign w:val="bottom"/>
            <w:gridSpan w:val="31"/>
          </w:tcPr>
          <w:p>
            <w:pPr>
              <w:spacing w:after="0"/>
              <w:rPr>
                <w:rFonts w:ascii="Times New Roman" w:cs="Times New Roman" w:eastAsia="Times New Roman" w:hAnsi="Times New Roman"/>
                <w:sz w:val="12"/>
                <w:szCs w:val="12"/>
                <w:color w:val="0000EE"/>
              </w:rPr>
            </w:pPr>
            <w:hyperlink r:id="rId130">
              <w:r>
                <w:rPr>
                  <w:rFonts w:ascii="Times New Roman" w:cs="Times New Roman" w:eastAsia="Times New Roman" w:hAnsi="Times New Roman"/>
                  <w:sz w:val="12"/>
                  <w:szCs w:val="12"/>
                  <w:color w:val="0000EE"/>
                </w:rPr>
                <w:t>Equity Distribution Agreement, dated September 23, 2025, by and among the Company and Evercore Group L.L.C. and Jefferies LLC. (incorporated by reference to Exhibit 1.1 of the Company’s Report on Form 6-K filed</w:t>
              </w:r>
            </w:hyperlink>
          </w:p>
        </w:tc>
      </w:tr>
      <w:tr>
        <w:trPr>
          <w:trHeight w:val="124"/>
        </w:trPr>
        <w:tc>
          <w:tcPr>
            <w:tcW w:w="140" w:type="dxa"/>
            <w:vAlign w:val="bottom"/>
            <w:tcBorders>
              <w:top w:val="single" w:sz="8" w:color="0000EE"/>
            </w:tcBorders>
          </w:tcPr>
          <w:p>
            <w:pPr>
              <w:spacing w:after="0"/>
              <w:rPr>
                <w:sz w:val="10"/>
                <w:szCs w:val="10"/>
                <w:color w:val="auto"/>
              </w:rPr>
            </w:pPr>
          </w:p>
        </w:tc>
        <w:tc>
          <w:tcPr>
            <w:tcW w:w="60" w:type="dxa"/>
            <w:vAlign w:val="bottom"/>
            <w:tcBorders>
              <w:top w:val="single" w:sz="8" w:color="0000EE"/>
            </w:tcBorders>
          </w:tcPr>
          <w:p>
            <w:pPr>
              <w:spacing w:after="0"/>
              <w:rPr>
                <w:sz w:val="10"/>
                <w:szCs w:val="10"/>
                <w:color w:val="auto"/>
              </w:rPr>
            </w:pPr>
          </w:p>
        </w:tc>
        <w:tc>
          <w:tcPr>
            <w:tcW w:w="360" w:type="dxa"/>
            <w:vAlign w:val="bottom"/>
          </w:tcPr>
          <w:p>
            <w:pPr>
              <w:spacing w:after="0"/>
              <w:rPr>
                <w:sz w:val="10"/>
                <w:szCs w:val="10"/>
                <w:color w:val="auto"/>
              </w:rPr>
            </w:pPr>
          </w:p>
        </w:tc>
        <w:tc>
          <w:tcPr>
            <w:tcW w:w="10640" w:type="dxa"/>
            <w:vAlign w:val="bottom"/>
            <w:tcBorders>
              <w:top w:val="single" w:sz="8" w:color="0000EE"/>
            </w:tcBorders>
            <w:gridSpan w:val="30"/>
          </w:tcPr>
          <w:p>
            <w:pPr>
              <w:spacing w:after="0" w:line="124" w:lineRule="exact"/>
              <w:rPr>
                <w:rFonts w:ascii="Times New Roman" w:cs="Times New Roman" w:eastAsia="Times New Roman" w:hAnsi="Times New Roman"/>
                <w:sz w:val="12"/>
                <w:szCs w:val="12"/>
                <w:color w:val="0000EE"/>
              </w:rPr>
            </w:pPr>
            <w:hyperlink r:id="rId130">
              <w:r>
                <w:rPr>
                  <w:rFonts w:ascii="Times New Roman" w:cs="Times New Roman" w:eastAsia="Times New Roman" w:hAnsi="Times New Roman"/>
                  <w:sz w:val="12"/>
                  <w:szCs w:val="12"/>
                  <w:color w:val="0000EE"/>
                </w:rPr>
                <w:t>on September 23, 2025).</w:t>
              </w:r>
            </w:hyperlink>
          </w:p>
        </w:tc>
        <w:tc>
          <w:tcPr>
            <w:tcW w:w="20" w:type="dxa"/>
            <w:vAlign w:val="bottom"/>
          </w:tcPr>
          <w:p>
            <w:pPr>
              <w:spacing w:after="0"/>
              <w:rPr>
                <w:sz w:val="10"/>
                <w:szCs w:val="10"/>
                <w:color w:val="auto"/>
              </w:rPr>
            </w:pPr>
          </w:p>
        </w:tc>
      </w:tr>
      <w:tr>
        <w:trPr>
          <w:trHeight w:val="20"/>
        </w:trPr>
        <w:tc>
          <w:tcPr>
            <w:tcW w:w="2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31">
              <w:r>
                <w:rPr>
                  <w:rFonts w:ascii="Times New Roman" w:cs="Times New Roman" w:eastAsia="Times New Roman" w:hAnsi="Times New Roman"/>
                  <w:sz w:val="12"/>
                  <w:szCs w:val="12"/>
                  <w:color w:val="0000EE"/>
                  <w:w w:val="75"/>
                </w:rPr>
                <w:t>4.</w:t>
              </w:r>
              <w:r>
                <w:rPr>
                  <w:rFonts w:ascii="Times New Roman" w:cs="Times New Roman" w:eastAsia="Times New Roman" w:hAnsi="Times New Roman"/>
                  <w:sz w:val="12"/>
                  <w:szCs w:val="12"/>
                  <w:u w:val="single" w:color="auto"/>
                  <w:color w:val="0000EE"/>
                  <w:w w:val="75"/>
                </w:rPr>
                <w:t>21</w:t>
              </w:r>
            </w:hyperlink>
          </w:p>
        </w:tc>
        <w:tc>
          <w:tcPr>
            <w:tcW w:w="360" w:type="dxa"/>
            <w:vAlign w:val="bottom"/>
          </w:tcPr>
          <w:p>
            <w:pPr>
              <w:spacing w:after="0"/>
              <w:rPr>
                <w:sz w:val="23"/>
                <w:szCs w:val="23"/>
                <w:color w:val="auto"/>
              </w:rPr>
            </w:pPr>
          </w:p>
        </w:tc>
        <w:tc>
          <w:tcPr>
            <w:tcW w:w="10660" w:type="dxa"/>
            <w:vAlign w:val="bottom"/>
            <w:tcBorders>
              <w:bottom w:val="single" w:sz="8" w:color="0000EE"/>
            </w:tcBorders>
            <w:gridSpan w:val="31"/>
          </w:tcPr>
          <w:p>
            <w:pPr>
              <w:spacing w:after="0"/>
              <w:rPr>
                <w:rFonts w:ascii="Times New Roman" w:cs="Times New Roman" w:eastAsia="Times New Roman" w:hAnsi="Times New Roman"/>
                <w:sz w:val="12"/>
                <w:szCs w:val="12"/>
                <w:color w:val="0000EE"/>
              </w:rPr>
            </w:pPr>
            <w:hyperlink r:id="rId131">
              <w:r>
                <w:rPr>
                  <w:rFonts w:ascii="Times New Roman" w:cs="Times New Roman" w:eastAsia="Times New Roman" w:hAnsi="Times New Roman"/>
                  <w:sz w:val="12"/>
                  <w:szCs w:val="12"/>
                  <w:color w:val="0000EE"/>
                </w:rPr>
                <w:t>At Market Issuance Sales Agreement, dated September 23, 2025, by and among the Company and B. Riley Securities, Inc. and Evercore Group L.L.C. (incorporated by reference to Exhibit 1.2 of the Company’s Report on</w:t>
              </w:r>
            </w:hyperlink>
          </w:p>
        </w:tc>
      </w:tr>
      <w:tr>
        <w:trPr>
          <w:trHeight w:val="124"/>
        </w:trPr>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920" w:type="dxa"/>
            <w:vAlign w:val="bottom"/>
            <w:tcBorders>
              <w:bottom w:val="single" w:sz="8" w:color="0000EE"/>
            </w:tcBorders>
            <w:gridSpan w:val="3"/>
          </w:tcPr>
          <w:p>
            <w:pPr>
              <w:spacing w:after="0" w:line="124" w:lineRule="exact"/>
              <w:rPr>
                <w:rFonts w:ascii="Times New Roman" w:cs="Times New Roman" w:eastAsia="Times New Roman" w:hAnsi="Times New Roman"/>
                <w:sz w:val="12"/>
                <w:szCs w:val="12"/>
                <w:color w:val="0000EE"/>
                <w:w w:val="99"/>
              </w:rPr>
            </w:pPr>
            <w:hyperlink r:id="rId131">
              <w:r>
                <w:rPr>
                  <w:rFonts w:ascii="Times New Roman" w:cs="Times New Roman" w:eastAsia="Times New Roman" w:hAnsi="Times New Roman"/>
                  <w:sz w:val="12"/>
                  <w:szCs w:val="12"/>
                  <w:color w:val="0000EE"/>
                  <w:w w:val="99"/>
                </w:rPr>
                <w:t>Form 6-K filed on September 23, 2025)</w:t>
              </w:r>
            </w:hyperlink>
          </w:p>
        </w:tc>
        <w:tc>
          <w:tcPr>
            <w:tcW w:w="8740" w:type="dxa"/>
            <w:vAlign w:val="bottom"/>
            <w:gridSpan w:val="28"/>
          </w:tcPr>
          <w:p>
            <w:pPr>
              <w:spacing w:after="0"/>
              <w:rPr>
                <w:sz w:val="10"/>
                <w:szCs w:val="10"/>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2"/>
                <w:szCs w:val="12"/>
                <w:color w:val="0000EE"/>
                <w:w w:val="75"/>
              </w:rPr>
              <w:t>8.</w:t>
            </w:r>
            <w:r>
              <w:rPr>
                <w:rFonts w:ascii="Times New Roman" w:cs="Times New Roman" w:eastAsia="Times New Roman" w:hAnsi="Times New Roman"/>
                <w:sz w:val="12"/>
                <w:szCs w:val="12"/>
                <w:u w:val="single" w:color="auto"/>
                <w:color w:val="0000EE"/>
                <w:w w:val="75"/>
              </w:rPr>
              <w:t>1*</w:t>
            </w:r>
          </w:p>
        </w:tc>
        <w:tc>
          <w:tcPr>
            <w:tcW w:w="360" w:type="dxa"/>
            <w:vAlign w:val="bottom"/>
          </w:tcPr>
          <w:p>
            <w:pPr>
              <w:spacing w:after="0"/>
              <w:rPr>
                <w:sz w:val="23"/>
                <w:szCs w:val="23"/>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color w:val="0000EE"/>
              </w:rPr>
              <w:t>List of Subsidiaries of Global Ship Lease, Inc.</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68"/>
        </w:trPr>
        <w:tc>
          <w:tcPr>
            <w:tcW w:w="200" w:type="dxa"/>
            <w:vAlign w:val="bottom"/>
            <w:tcBorders>
              <w:bottom w:val="single" w:sz="8" w:color="0000EE"/>
            </w:tcBorders>
            <w:gridSpan w:val="2"/>
          </w:tcPr>
          <w:p>
            <w:pPr>
              <w:spacing w:after="0"/>
              <w:rPr>
                <w:rFonts w:ascii="Times New Roman" w:cs="Times New Roman" w:eastAsia="Times New Roman" w:hAnsi="Times New Roman"/>
                <w:sz w:val="12"/>
                <w:szCs w:val="12"/>
                <w:color w:val="0000EE"/>
                <w:w w:val="75"/>
              </w:rPr>
            </w:pPr>
            <w:hyperlink r:id="rId132">
              <w:r>
                <w:rPr>
                  <w:rFonts w:ascii="Times New Roman" w:cs="Times New Roman" w:eastAsia="Times New Roman" w:hAnsi="Times New Roman"/>
                  <w:sz w:val="12"/>
                  <w:szCs w:val="12"/>
                  <w:color w:val="0000EE"/>
                  <w:w w:val="75"/>
                </w:rPr>
                <w:t>11.</w:t>
              </w:r>
              <w:r>
                <w:rPr>
                  <w:rFonts w:ascii="Times New Roman" w:cs="Times New Roman" w:eastAsia="Times New Roman" w:hAnsi="Times New Roman"/>
                  <w:sz w:val="12"/>
                  <w:szCs w:val="12"/>
                  <w:u w:val="single" w:color="auto"/>
                  <w:color w:val="0000EE"/>
                  <w:w w:val="75"/>
                </w:rPr>
                <w:t>1</w:t>
              </w:r>
            </w:hyperlink>
          </w:p>
        </w:tc>
        <w:tc>
          <w:tcPr>
            <w:tcW w:w="360" w:type="dxa"/>
            <w:vAlign w:val="bottom"/>
          </w:tcPr>
          <w:p>
            <w:pPr>
              <w:spacing w:after="0"/>
              <w:rPr>
                <w:sz w:val="23"/>
                <w:szCs w:val="23"/>
                <w:color w:val="auto"/>
              </w:rPr>
            </w:pPr>
          </w:p>
        </w:tc>
        <w:tc>
          <w:tcPr>
            <w:tcW w:w="8620" w:type="dxa"/>
            <w:vAlign w:val="bottom"/>
            <w:tcBorders>
              <w:bottom w:val="single" w:sz="8" w:color="0000EE"/>
            </w:tcBorders>
            <w:gridSpan w:val="27"/>
          </w:tcPr>
          <w:p>
            <w:pPr>
              <w:spacing w:after="0"/>
              <w:rPr>
                <w:rFonts w:ascii="Times New Roman" w:cs="Times New Roman" w:eastAsia="Times New Roman" w:hAnsi="Times New Roman"/>
                <w:sz w:val="12"/>
                <w:szCs w:val="12"/>
                <w:color w:val="0000EE"/>
                <w:w w:val="99"/>
              </w:rPr>
            </w:pPr>
            <w:hyperlink r:id="rId132">
              <w:r>
                <w:rPr>
                  <w:rFonts w:ascii="Times New Roman" w:cs="Times New Roman" w:eastAsia="Times New Roman" w:hAnsi="Times New Roman"/>
                  <w:sz w:val="12"/>
                  <w:szCs w:val="12"/>
                  <w:color w:val="0000EE"/>
                  <w:w w:val="99"/>
                </w:rPr>
                <w:t>Policies and Procedures to Detect and Prevent Insider Trading (incorporated by reference to Exhibit 11.1 of the Company’s Annual Report on Form 20-F filed on March 20, 2024).</w:t>
              </w:r>
            </w:hyperlink>
          </w:p>
        </w:tc>
        <w:tc>
          <w:tcPr>
            <w:tcW w:w="2040" w:type="dxa"/>
            <w:vAlign w:val="bottom"/>
            <w:gridSpan w:val="4"/>
          </w:tcPr>
          <w:p>
            <w:pPr>
              <w:spacing w:after="0"/>
              <w:rPr>
                <w:sz w:val="23"/>
                <w:szCs w:val="23"/>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color w:val="0000EE"/>
                <w:w w:val="70"/>
              </w:rPr>
              <w:t>12.</w:t>
            </w:r>
            <w:r>
              <w:rPr>
                <w:rFonts w:ascii="Times New Roman" w:cs="Times New Roman" w:eastAsia="Times New Roman" w:hAnsi="Times New Roman"/>
                <w:sz w:val="10"/>
                <w:szCs w:val="10"/>
                <w:u w:val="single" w:color="auto"/>
                <w:color w:val="0000EE"/>
                <w:w w:val="70"/>
              </w:rPr>
              <w:t>1*</w:t>
            </w:r>
          </w:p>
        </w:tc>
        <w:tc>
          <w:tcPr>
            <w:tcW w:w="360" w:type="dxa"/>
            <w:vAlign w:val="bottom"/>
          </w:tcPr>
          <w:p>
            <w:pPr>
              <w:spacing w:after="0"/>
              <w:rPr>
                <w:sz w:val="23"/>
                <w:szCs w:val="23"/>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color w:val="0000EE"/>
              </w:rPr>
              <w:t>Rule 13a-14(a)/15d-14(a) Certification of Global Ship Lease, Inc.’s Chief Executive Officer.</w:t>
            </w:r>
          </w:p>
        </w:tc>
      </w:tr>
      <w:tr>
        <w:trPr>
          <w:trHeight w:val="268"/>
        </w:trPr>
        <w:tc>
          <w:tcPr>
            <w:tcW w:w="2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0"/>
              </w:rPr>
              <w:t>12.</w:t>
            </w:r>
            <w:r>
              <w:rPr>
                <w:rFonts w:ascii="Times New Roman" w:cs="Times New Roman" w:eastAsia="Times New Roman" w:hAnsi="Times New Roman"/>
                <w:sz w:val="10"/>
                <w:szCs w:val="10"/>
                <w:u w:val="single" w:color="auto"/>
                <w:color w:val="0000EE"/>
                <w:w w:val="70"/>
              </w:rPr>
              <w:t>2*</w:t>
            </w:r>
          </w:p>
        </w:tc>
        <w:tc>
          <w:tcPr>
            <w:tcW w:w="360" w:type="dxa"/>
            <w:vAlign w:val="bottom"/>
          </w:tcPr>
          <w:p>
            <w:pPr>
              <w:spacing w:after="0"/>
              <w:rPr>
                <w:sz w:val="23"/>
                <w:szCs w:val="23"/>
                <w:color w:val="auto"/>
              </w:rPr>
            </w:pPr>
          </w:p>
        </w:tc>
        <w:tc>
          <w:tcPr>
            <w:tcW w:w="44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2"/>
                <w:szCs w:val="12"/>
                <w:color w:val="0000EE"/>
                <w:w w:val="99"/>
              </w:rPr>
              <w:t>Rule 13a-14(a)/15d-14(a) Certification of Global Ship Lease, Inc.’s Chief Financial Officer.</w:t>
            </w:r>
          </w:p>
        </w:tc>
        <w:tc>
          <w:tcPr>
            <w:tcW w:w="6220" w:type="dxa"/>
            <w:vAlign w:val="bottom"/>
            <w:gridSpan w:val="15"/>
          </w:tcPr>
          <w:p>
            <w:pPr>
              <w:spacing w:after="0"/>
              <w:rPr>
                <w:sz w:val="23"/>
                <w:szCs w:val="23"/>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color w:val="0000EE"/>
                <w:w w:val="70"/>
              </w:rPr>
              <w:t>13.</w:t>
            </w:r>
            <w:r>
              <w:rPr>
                <w:rFonts w:ascii="Times New Roman" w:cs="Times New Roman" w:eastAsia="Times New Roman" w:hAnsi="Times New Roman"/>
                <w:sz w:val="10"/>
                <w:szCs w:val="10"/>
                <w:u w:val="single" w:color="auto"/>
                <w:color w:val="0000EE"/>
                <w:w w:val="70"/>
              </w:rPr>
              <w:t>1*</w:t>
            </w:r>
          </w:p>
        </w:tc>
        <w:tc>
          <w:tcPr>
            <w:tcW w:w="360" w:type="dxa"/>
            <w:vAlign w:val="bottom"/>
          </w:tcPr>
          <w:p>
            <w:pPr>
              <w:spacing w:after="0"/>
              <w:rPr>
                <w:sz w:val="23"/>
                <w:szCs w:val="23"/>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color w:val="0000EE"/>
              </w:rPr>
              <w:t>Global Ship Lease, Inc. Certification of the Chief Executive Officer, pursuant to 18 U.S.C. Section 1350, as adopted pursuant to Section 906 of the Sarbanes-Oxley Act of 2002.</w:t>
            </w:r>
          </w:p>
        </w:tc>
      </w:tr>
      <w:tr>
        <w:trPr>
          <w:trHeight w:val="268"/>
        </w:trPr>
        <w:tc>
          <w:tcPr>
            <w:tcW w:w="2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0"/>
              </w:rPr>
              <w:t>13.</w:t>
            </w:r>
            <w:r>
              <w:rPr>
                <w:rFonts w:ascii="Times New Roman" w:cs="Times New Roman" w:eastAsia="Times New Roman" w:hAnsi="Times New Roman"/>
                <w:sz w:val="10"/>
                <w:szCs w:val="10"/>
                <w:u w:val="single" w:color="auto"/>
                <w:color w:val="0000EE"/>
                <w:w w:val="70"/>
              </w:rPr>
              <w:t>2*</w:t>
            </w:r>
          </w:p>
        </w:tc>
        <w:tc>
          <w:tcPr>
            <w:tcW w:w="360" w:type="dxa"/>
            <w:vAlign w:val="bottom"/>
          </w:tcPr>
          <w:p>
            <w:pPr>
              <w:spacing w:after="0"/>
              <w:rPr>
                <w:sz w:val="23"/>
                <w:szCs w:val="23"/>
                <w:color w:val="auto"/>
              </w:rPr>
            </w:pPr>
          </w:p>
        </w:tc>
        <w:tc>
          <w:tcPr>
            <w:tcW w:w="8500" w:type="dxa"/>
            <w:vAlign w:val="bottom"/>
            <w:tcBorders>
              <w:top w:val="single" w:sz="8" w:color="0000EE"/>
            </w:tcBorders>
            <w:gridSpan w:val="26"/>
          </w:tcPr>
          <w:p>
            <w:pPr>
              <w:spacing w:after="0"/>
              <w:rPr>
                <w:sz w:val="20"/>
                <w:szCs w:val="20"/>
                <w:color w:val="auto"/>
              </w:rPr>
            </w:pPr>
            <w:r>
              <w:rPr>
                <w:rFonts w:ascii="Times New Roman" w:cs="Times New Roman" w:eastAsia="Times New Roman" w:hAnsi="Times New Roman"/>
                <w:sz w:val="12"/>
                <w:szCs w:val="12"/>
                <w:color w:val="0000EE"/>
              </w:rPr>
              <w:t>Global Ship Lease, Inc. Certification of the Chief Financial Officer, pursuant to 18 U.S.C. Section 1350, as adopted pursuant to Section 906 of the Sarbanes-Oxley Act of 2002.</w:t>
            </w:r>
          </w:p>
        </w:tc>
        <w:tc>
          <w:tcPr>
            <w:tcW w:w="2160" w:type="dxa"/>
            <w:vAlign w:val="bottom"/>
            <w:gridSpan w:val="5"/>
          </w:tcPr>
          <w:p>
            <w:pPr>
              <w:spacing w:after="0"/>
              <w:rPr>
                <w:sz w:val="23"/>
                <w:szCs w:val="23"/>
                <w:color w:val="auto"/>
              </w:rPr>
            </w:pPr>
          </w:p>
        </w:tc>
      </w:tr>
      <w:tr>
        <w:trPr>
          <w:trHeight w:val="268"/>
        </w:trPr>
        <w:tc>
          <w:tcPr>
            <w:tcW w:w="2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0"/>
              </w:rPr>
              <w:t>15.</w:t>
            </w:r>
            <w:r>
              <w:rPr>
                <w:rFonts w:ascii="Times New Roman" w:cs="Times New Roman" w:eastAsia="Times New Roman" w:hAnsi="Times New Roman"/>
                <w:sz w:val="10"/>
                <w:szCs w:val="10"/>
                <w:u w:val="single" w:color="auto"/>
                <w:color w:val="0000EE"/>
                <w:w w:val="70"/>
              </w:rPr>
              <w:t>1*</w:t>
            </w:r>
          </w:p>
        </w:tc>
        <w:tc>
          <w:tcPr>
            <w:tcW w:w="360" w:type="dxa"/>
            <w:vAlign w:val="bottom"/>
          </w:tcPr>
          <w:p>
            <w:pPr>
              <w:spacing w:after="0"/>
              <w:rPr>
                <w:sz w:val="23"/>
                <w:szCs w:val="23"/>
                <w:color w:val="auto"/>
              </w:rPr>
            </w:pPr>
          </w:p>
        </w:tc>
        <w:tc>
          <w:tcPr>
            <w:tcW w:w="20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2"/>
                <w:szCs w:val="12"/>
                <w:color w:val="0000EE"/>
                <w:w w:val="99"/>
              </w:rPr>
              <w:t>Consent of PricewaterhouseCoopers S.A.</w:t>
            </w:r>
          </w:p>
        </w:tc>
        <w:tc>
          <w:tcPr>
            <w:tcW w:w="6440" w:type="dxa"/>
            <w:vAlign w:val="bottom"/>
            <w:tcBorders>
              <w:top w:val="single" w:sz="8" w:color="0000EE"/>
            </w:tcBorders>
            <w:gridSpan w:val="21"/>
          </w:tcPr>
          <w:p>
            <w:pPr>
              <w:spacing w:after="0"/>
              <w:rPr>
                <w:sz w:val="23"/>
                <w:szCs w:val="23"/>
                <w:color w:val="auto"/>
              </w:rPr>
            </w:pPr>
          </w:p>
        </w:tc>
        <w:tc>
          <w:tcPr>
            <w:tcW w:w="2220" w:type="dxa"/>
            <w:vAlign w:val="bottom"/>
            <w:gridSpan w:val="6"/>
          </w:tcPr>
          <w:p>
            <w:pPr>
              <w:spacing w:after="0"/>
              <w:rPr>
                <w:sz w:val="23"/>
                <w:szCs w:val="23"/>
                <w:color w:val="auto"/>
              </w:rPr>
            </w:pPr>
          </w:p>
        </w:tc>
      </w:tr>
      <w:tr>
        <w:trPr>
          <w:trHeight w:val="268"/>
        </w:trPr>
        <w:tc>
          <w:tcPr>
            <w:tcW w:w="2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0"/>
                <w:szCs w:val="10"/>
                <w:color w:val="0000EE"/>
                <w:w w:val="70"/>
              </w:rPr>
              <w:t>15.</w:t>
            </w:r>
            <w:r>
              <w:rPr>
                <w:rFonts w:ascii="Times New Roman" w:cs="Times New Roman" w:eastAsia="Times New Roman" w:hAnsi="Times New Roman"/>
                <w:sz w:val="10"/>
                <w:szCs w:val="10"/>
                <w:u w:val="single" w:color="auto"/>
                <w:color w:val="0000EE"/>
                <w:w w:val="70"/>
              </w:rPr>
              <w:t>2*</w:t>
            </w:r>
          </w:p>
        </w:tc>
        <w:tc>
          <w:tcPr>
            <w:tcW w:w="360" w:type="dxa"/>
            <w:vAlign w:val="bottom"/>
          </w:tcPr>
          <w:p>
            <w:pPr>
              <w:spacing w:after="0"/>
              <w:rPr>
                <w:sz w:val="23"/>
                <w:szCs w:val="23"/>
                <w:color w:val="auto"/>
              </w:rPr>
            </w:pPr>
          </w:p>
        </w:tc>
        <w:tc>
          <w:tcPr>
            <w:tcW w:w="2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2"/>
                <w:szCs w:val="12"/>
                <w:color w:val="0000EE"/>
                <w:w w:val="99"/>
              </w:rPr>
              <w:t>Consent of Maritime Strategies International Ltd.</w:t>
            </w:r>
          </w:p>
        </w:tc>
        <w:tc>
          <w:tcPr>
            <w:tcW w:w="8280" w:type="dxa"/>
            <w:vAlign w:val="bottom"/>
            <w:gridSpan w:val="23"/>
          </w:tcPr>
          <w:p>
            <w:pPr>
              <w:spacing w:after="0"/>
              <w:rPr>
                <w:sz w:val="23"/>
                <w:szCs w:val="23"/>
                <w:color w:val="auto"/>
              </w:rPr>
            </w:pPr>
          </w:p>
        </w:tc>
      </w:tr>
      <w:tr>
        <w:trPr>
          <w:trHeight w:val="268"/>
        </w:trPr>
        <w:tc>
          <w:tcPr>
            <w:tcW w:w="200" w:type="dxa"/>
            <w:vAlign w:val="bottom"/>
            <w:gridSpan w:val="2"/>
          </w:tcPr>
          <w:p>
            <w:pPr>
              <w:spacing w:after="0"/>
              <w:rPr>
                <w:sz w:val="20"/>
                <w:szCs w:val="20"/>
                <w:color w:val="auto"/>
              </w:rPr>
            </w:pPr>
            <w:r>
              <w:rPr>
                <w:rFonts w:ascii="Times New Roman" w:cs="Times New Roman" w:eastAsia="Times New Roman" w:hAnsi="Times New Roman"/>
                <w:sz w:val="10"/>
                <w:szCs w:val="10"/>
                <w:color w:val="0000EE"/>
                <w:w w:val="70"/>
              </w:rPr>
              <w:t>15.</w:t>
            </w:r>
            <w:r>
              <w:rPr>
                <w:rFonts w:ascii="Times New Roman" w:cs="Times New Roman" w:eastAsia="Times New Roman" w:hAnsi="Times New Roman"/>
                <w:sz w:val="10"/>
                <w:szCs w:val="10"/>
                <w:u w:val="single" w:color="auto"/>
                <w:color w:val="0000EE"/>
                <w:w w:val="70"/>
              </w:rPr>
              <w:t>3*</w:t>
            </w:r>
          </w:p>
        </w:tc>
        <w:tc>
          <w:tcPr>
            <w:tcW w:w="360" w:type="dxa"/>
            <w:vAlign w:val="bottom"/>
          </w:tcPr>
          <w:p>
            <w:pPr>
              <w:spacing w:after="0"/>
              <w:rPr>
                <w:sz w:val="23"/>
                <w:szCs w:val="23"/>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color w:val="0000EE"/>
              </w:rPr>
              <w:t>Consent of Watson Farley &amp; Williams LLP</w:t>
            </w:r>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c>
          <w:tcPr>
            <w:tcW w:w="2080" w:type="dxa"/>
            <w:vAlign w:val="bottom"/>
            <w:gridSpan w:val="5"/>
            <w:shd w:val="clear" w:color="auto" w:fill="0000EE"/>
          </w:tcPr>
          <w:p>
            <w:pPr>
              <w:spacing w:after="0" w:line="20" w:lineRule="exact"/>
              <w:rPr>
                <w:sz w:val="1"/>
                <w:szCs w:val="1"/>
                <w:color w:val="auto"/>
              </w:rPr>
            </w:pPr>
          </w:p>
        </w:tc>
        <w:tc>
          <w:tcPr>
            <w:tcW w:w="7100" w:type="dxa"/>
            <w:vAlign w:val="bottom"/>
            <w:gridSpan w:val="23"/>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68"/>
        </w:trPr>
        <w:tc>
          <w:tcPr>
            <w:tcW w:w="200" w:type="dxa"/>
            <w:vAlign w:val="bottom"/>
            <w:gridSpan w:val="2"/>
          </w:tcPr>
          <w:p>
            <w:pPr>
              <w:spacing w:after="0"/>
              <w:rPr>
                <w:rFonts w:ascii="Times New Roman" w:cs="Times New Roman" w:eastAsia="Times New Roman" w:hAnsi="Times New Roman"/>
                <w:sz w:val="12"/>
                <w:szCs w:val="12"/>
                <w:color w:val="0000EE"/>
                <w:w w:val="75"/>
              </w:rPr>
            </w:pPr>
            <w:hyperlink r:id="rId133">
              <w:r>
                <w:rPr>
                  <w:rFonts w:ascii="Times New Roman" w:cs="Times New Roman" w:eastAsia="Times New Roman" w:hAnsi="Times New Roman"/>
                  <w:sz w:val="12"/>
                  <w:szCs w:val="12"/>
                  <w:color w:val="0000EE"/>
                  <w:w w:val="75"/>
                </w:rPr>
                <w:t>97.</w:t>
              </w:r>
              <w:r>
                <w:rPr>
                  <w:rFonts w:ascii="Times New Roman" w:cs="Times New Roman" w:eastAsia="Times New Roman" w:hAnsi="Times New Roman"/>
                  <w:sz w:val="12"/>
                  <w:szCs w:val="12"/>
                  <w:u w:val="single" w:color="auto"/>
                  <w:color w:val="0000EE"/>
                  <w:w w:val="75"/>
                </w:rPr>
                <w:t>1</w:t>
              </w:r>
            </w:hyperlink>
          </w:p>
        </w:tc>
        <w:tc>
          <w:tcPr>
            <w:tcW w:w="360" w:type="dxa"/>
            <w:vAlign w:val="bottom"/>
          </w:tcPr>
          <w:p>
            <w:pPr>
              <w:spacing w:after="0"/>
              <w:rPr>
                <w:sz w:val="23"/>
                <w:szCs w:val="23"/>
                <w:color w:val="auto"/>
              </w:rPr>
            </w:pPr>
          </w:p>
        </w:tc>
        <w:tc>
          <w:tcPr>
            <w:tcW w:w="10660" w:type="dxa"/>
            <w:vAlign w:val="bottom"/>
            <w:gridSpan w:val="31"/>
          </w:tcPr>
          <w:p>
            <w:pPr>
              <w:spacing w:after="0"/>
              <w:rPr>
                <w:rFonts w:ascii="Times New Roman" w:cs="Times New Roman" w:eastAsia="Times New Roman" w:hAnsi="Times New Roman"/>
                <w:sz w:val="12"/>
                <w:szCs w:val="12"/>
                <w:color w:val="0000EE"/>
              </w:rPr>
            </w:pPr>
            <w:hyperlink r:id="rId133">
              <w:r>
                <w:rPr>
                  <w:rFonts w:ascii="Times New Roman" w:cs="Times New Roman" w:eastAsia="Times New Roman" w:hAnsi="Times New Roman"/>
                  <w:sz w:val="12"/>
                  <w:szCs w:val="12"/>
                  <w:color w:val="0000EE"/>
                </w:rPr>
                <w:t>Policy for the Recovery of Erroneously Awarded Incentive Compensation (incorporated by reference to Exhibit 97.1 of the Company’s Annual Report on Form 20-F filed on March 20, 2024).</w:t>
              </w:r>
            </w:hyperlink>
          </w:p>
        </w:tc>
      </w:tr>
      <w:tr>
        <w:trPr>
          <w:trHeight w:val="20"/>
        </w:trPr>
        <w:tc>
          <w:tcPr>
            <w:tcW w:w="20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180" w:type="dxa"/>
            <w:vAlign w:val="bottom"/>
            <w:gridSpan w:val="28"/>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r>
      <w:tr>
        <w:trPr>
          <w:trHeight w:val="295"/>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101*</w:t>
            </w:r>
          </w:p>
        </w:tc>
        <w:tc>
          <w:tcPr>
            <w:tcW w:w="360" w:type="dxa"/>
            <w:vAlign w:val="bottom"/>
          </w:tcPr>
          <w:p>
            <w:pPr>
              <w:spacing w:after="0"/>
              <w:rPr>
                <w:sz w:val="24"/>
                <w:szCs w:val="24"/>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color w:val="auto"/>
              </w:rPr>
              <w:t>Interactive Data Files (formatted as Inline XBRL).</w:t>
            </w:r>
          </w:p>
        </w:tc>
      </w:tr>
      <w:tr>
        <w:trPr>
          <w:trHeight w:val="288"/>
        </w:trPr>
        <w:tc>
          <w:tcPr>
            <w:tcW w:w="200" w:type="dxa"/>
            <w:vAlign w:val="bottom"/>
            <w:gridSpan w:val="2"/>
          </w:tcPr>
          <w:p>
            <w:pPr>
              <w:spacing w:after="0"/>
              <w:rPr>
                <w:sz w:val="20"/>
                <w:szCs w:val="20"/>
                <w:color w:val="auto"/>
              </w:rPr>
            </w:pPr>
            <w:r>
              <w:rPr>
                <w:rFonts w:ascii="Times New Roman" w:cs="Times New Roman" w:eastAsia="Times New Roman" w:hAnsi="Times New Roman"/>
                <w:sz w:val="11"/>
                <w:szCs w:val="11"/>
                <w:color w:val="auto"/>
                <w:w w:val="72"/>
              </w:rPr>
              <w:t>104*</w:t>
            </w:r>
          </w:p>
        </w:tc>
        <w:tc>
          <w:tcPr>
            <w:tcW w:w="360" w:type="dxa"/>
            <w:vAlign w:val="bottom"/>
          </w:tcPr>
          <w:p>
            <w:pPr>
              <w:spacing w:after="0"/>
              <w:rPr>
                <w:sz w:val="24"/>
                <w:szCs w:val="24"/>
                <w:color w:val="auto"/>
              </w:rPr>
            </w:pPr>
          </w:p>
        </w:tc>
        <w:tc>
          <w:tcPr>
            <w:tcW w:w="10660" w:type="dxa"/>
            <w:vAlign w:val="bottom"/>
            <w:gridSpan w:val="31"/>
          </w:tcPr>
          <w:p>
            <w:pPr>
              <w:spacing w:after="0"/>
              <w:rPr>
                <w:sz w:val="20"/>
                <w:szCs w:val="20"/>
                <w:color w:val="auto"/>
              </w:rPr>
            </w:pPr>
            <w:r>
              <w:rPr>
                <w:rFonts w:ascii="Times New Roman" w:cs="Times New Roman" w:eastAsia="Times New Roman" w:hAnsi="Times New Roman"/>
                <w:sz w:val="12"/>
                <w:szCs w:val="12"/>
                <w:color w:val="auto"/>
              </w:rPr>
              <w:t>Cover Page Interactive Data File (formatted as Inline XBRL and contained in Exhibit 101).</w:t>
            </w:r>
          </w:p>
        </w:tc>
      </w:tr>
    </w:tbl>
    <w:p>
      <w:pPr>
        <w:spacing w:after="0" w:line="133" w:lineRule="exact"/>
        <w:rPr>
          <w:sz w:val="20"/>
          <w:szCs w:val="20"/>
          <w:color w:val="auto"/>
        </w:rPr>
      </w:pPr>
    </w:p>
    <w:p>
      <w:pPr>
        <w:ind w:left="640" w:hanging="351"/>
        <w:spacing w:after="0"/>
        <w:tabs>
          <w:tab w:leader="none" w:pos="64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Filed herewith.</w:t>
      </w:r>
    </w:p>
    <w:p>
      <w:pPr>
        <w:sectPr>
          <w:pgSz w:w="11900" w:h="16838" w:orient="portrait"/>
          <w:cols w:equalWidth="0" w:num="1">
            <w:col w:w="11300"/>
          </w:cols>
          <w:pgMar w:left="300" w:top="201" w:right="299" w:bottom="1440" w:gutter="0" w:footer="0" w:header="0"/>
        </w:sectPr>
      </w:pP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4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The registrant hereby certifies that it meets all of the requirements for filing on Form 20-F and that it has duly caused and authorized the undersigned to sign this Annual Report on its behalf.</w:t>
      </w:r>
    </w:p>
    <w:p>
      <w:pPr>
        <w:spacing w:after="0" w:line="132"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2"/>
          <w:szCs w:val="12"/>
          <w:color w:val="auto"/>
        </w:rPr>
        <w:t>GLOBAL SHIP LEASE, INC.</w:t>
      </w:r>
    </w:p>
    <w:p>
      <w:pPr>
        <w:spacing w:after="0" w:line="150"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2"/>
          <w:szCs w:val="12"/>
          <w:color w:val="auto"/>
        </w:rPr>
        <w:t>By:/s/Thomas A. 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5812790</wp:posOffset>
            </wp:positionH>
            <wp:positionV relativeFrom="paragraph">
              <wp:posOffset>10795</wp:posOffset>
            </wp:positionV>
            <wp:extent cx="136017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1360170" cy="5715"/>
                    </a:xfrm>
                    <a:prstGeom prst="rect">
                      <a:avLst/>
                    </a:prstGeom>
                    <a:noFill/>
                  </pic:spPr>
                </pic:pic>
              </a:graphicData>
            </a:graphic>
          </wp:anchor>
        </w:drawing>
      </w:r>
    </w:p>
    <w:p>
      <w:pPr>
        <w:ind w:left="9160"/>
        <w:spacing w:after="0"/>
        <w:rPr>
          <w:sz w:val="20"/>
          <w:szCs w:val="20"/>
          <w:color w:val="auto"/>
        </w:rPr>
      </w:pPr>
      <w:r>
        <w:rPr>
          <w:rFonts w:ascii="Times New Roman" w:cs="Times New Roman" w:eastAsia="Times New Roman" w:hAnsi="Times New Roman"/>
          <w:sz w:val="12"/>
          <w:szCs w:val="12"/>
          <w:b w:val="1"/>
          <w:bCs w:val="1"/>
          <w:color w:val="auto"/>
        </w:rPr>
        <w:t>Thomas A. Lister</w:t>
      </w:r>
    </w:p>
    <w:p>
      <w:pPr>
        <w:spacing w:after="0" w:line="15"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2"/>
          <w:szCs w:val="12"/>
          <w:b w:val="1"/>
          <w:bCs w:val="1"/>
          <w:color w:val="auto"/>
        </w:rPr>
        <w:t>Chief Executive Officer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16, 2026</w:t>
      </w:r>
    </w:p>
    <w:p>
      <w:pPr>
        <w:spacing w:after="0" w:line="23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60"/>
          </w:cols>
          <w:pgMar w:left="300" w:top="201" w:right="11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45"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b w:val="1"/>
          <w:bCs w:val="1"/>
          <w:color w:val="auto"/>
        </w:rPr>
        <w:t>GLOSSARY OF SHIPPING TERMS</w:t>
      </w:r>
    </w:p>
    <w:p>
      <w:pPr>
        <w:spacing w:after="0" w:line="14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color w:val="auto"/>
        </w:rPr>
        <w:t>Unless otherwise stated, references to the following terms have the following meaning as used in this Annual Report:</w:t>
      </w:r>
    </w:p>
    <w:p>
      <w:pPr>
        <w:spacing w:after="0" w:line="1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Address commission. </w:t>
      </w:r>
      <w:r>
        <w:rPr>
          <w:rFonts w:ascii="Times New Roman" w:cs="Times New Roman" w:eastAsia="Times New Roman" w:hAnsi="Times New Roman"/>
          <w:sz w:val="12"/>
          <w:szCs w:val="12"/>
          <w:color w:val="auto"/>
        </w:rPr>
        <w:t>A discount provided directly to a charterer based on a fixed percentage of the agreed upon charter rate.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Annual survey</w:t>
      </w:r>
      <w:r>
        <w:rPr>
          <w:rFonts w:ascii="Times New Roman" w:cs="Times New Roman" w:eastAsia="Times New Roman" w:hAnsi="Times New Roman"/>
          <w:sz w:val="12"/>
          <w:szCs w:val="12"/>
          <w:color w:val="auto"/>
        </w:rPr>
        <w:t>. The inspection of a ship pursuant to international conventions, by a classification society surveyor, on behalf of the flag state, that takes place every year.</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Ballast</w:t>
      </w:r>
      <w:r>
        <w:rPr>
          <w:rFonts w:ascii="Times New Roman" w:cs="Times New Roman" w:eastAsia="Times New Roman" w:hAnsi="Times New Roman"/>
          <w:sz w:val="12"/>
          <w:szCs w:val="12"/>
          <w:color w:val="auto"/>
        </w:rPr>
        <w:t>. Weight in solid or liquid form, such as seawater, taken on a ship to increase draught, to change trim, or to improve stability or a voyage in which a ship is not laden with cargo.</w:t>
      </w:r>
    </w:p>
    <w:p>
      <w:pPr>
        <w:spacing w:after="0" w:line="132" w:lineRule="exact"/>
        <w:rPr>
          <w:sz w:val="20"/>
          <w:szCs w:val="20"/>
          <w:color w:val="auto"/>
        </w:rPr>
      </w:pPr>
    </w:p>
    <w:p>
      <w:pPr>
        <w:ind w:firstLine="240"/>
        <w:spacing w:after="0" w:line="252" w:lineRule="auto"/>
        <w:rPr>
          <w:sz w:val="20"/>
          <w:szCs w:val="20"/>
          <w:color w:val="auto"/>
        </w:rPr>
      </w:pPr>
      <w:r>
        <w:rPr>
          <w:rFonts w:ascii="Times New Roman" w:cs="Times New Roman" w:eastAsia="Times New Roman" w:hAnsi="Times New Roman"/>
          <w:sz w:val="12"/>
          <w:szCs w:val="12"/>
          <w:i w:val="1"/>
          <w:iCs w:val="1"/>
          <w:color w:val="auto"/>
        </w:rPr>
        <w:t xml:space="preserve">Bareboat charter. </w:t>
      </w:r>
      <w:r>
        <w:rPr>
          <w:rFonts w:ascii="Times New Roman" w:cs="Times New Roman" w:eastAsia="Times New Roman" w:hAnsi="Times New Roman"/>
          <w:sz w:val="12"/>
          <w:szCs w:val="12"/>
          <w:color w:val="auto"/>
        </w:rPr>
        <w:t>A charter of a ship under which the ship-owner is usually paid a fixed amount of charter hire for a certain period of time during which the charterer is responsible for all ship operating expenses, including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expenses for crewing, lubricating oil, insurance, maintenance and drydockings, and for all voyage expenses such as bunker fuel. A bareboat charter is also known as a “demise charter” or a “time charter by demise.”</w:t>
      </w:r>
    </w:p>
    <w:p>
      <w:pPr>
        <w:spacing w:after="0" w:line="10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Bunkers</w:t>
      </w:r>
      <w:r>
        <w:rPr>
          <w:rFonts w:ascii="Times New Roman" w:cs="Times New Roman" w:eastAsia="Times New Roman" w:hAnsi="Times New Roman"/>
          <w:sz w:val="12"/>
          <w:szCs w:val="12"/>
          <w:color w:val="auto"/>
        </w:rPr>
        <w:t>. Heavy fuel and diesel oil used to power a ship’s engines and generators.</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Capacity. </w:t>
      </w:r>
      <w:r>
        <w:rPr>
          <w:rFonts w:ascii="Times New Roman" w:cs="Times New Roman" w:eastAsia="Times New Roman" w:hAnsi="Times New Roman"/>
          <w:sz w:val="12"/>
          <w:szCs w:val="12"/>
          <w:color w:val="auto"/>
        </w:rPr>
        <w:t>The nominal carrying capacity of the ship, measured in TEU.</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w:t>
      </w:r>
      <w:r>
        <w:rPr>
          <w:rFonts w:ascii="Times New Roman" w:cs="Times New Roman" w:eastAsia="Times New Roman" w:hAnsi="Times New Roman"/>
          <w:sz w:val="12"/>
          <w:szCs w:val="12"/>
          <w:color w:val="auto"/>
        </w:rPr>
        <w:t>. The hire of a ship for a specified period of time or a particular voyage to carry a cargo from a loading port to a discharging port.</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Charterer. </w:t>
      </w:r>
      <w:r>
        <w:rPr>
          <w:rFonts w:ascii="Times New Roman" w:cs="Times New Roman" w:eastAsia="Times New Roman" w:hAnsi="Times New Roman"/>
          <w:sz w:val="12"/>
          <w:szCs w:val="12"/>
          <w:color w:val="auto"/>
        </w:rPr>
        <w:t>The party that hires a ship for a period of time or for a voyage.</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Charter hire. </w:t>
      </w:r>
      <w:r>
        <w:rPr>
          <w:rFonts w:ascii="Times New Roman" w:cs="Times New Roman" w:eastAsia="Times New Roman" w:hAnsi="Times New Roman"/>
          <w:sz w:val="12"/>
          <w:szCs w:val="12"/>
          <w:color w:val="auto"/>
        </w:rPr>
        <w:t>A sum of money paid to the ship-owner by a charterer for the use of a ship.</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 owner</w:t>
      </w:r>
      <w:r>
        <w:rPr>
          <w:rFonts w:ascii="Times New Roman" w:cs="Times New Roman" w:eastAsia="Times New Roman" w:hAnsi="Times New Roman"/>
          <w:sz w:val="12"/>
          <w:szCs w:val="12"/>
          <w:color w:val="auto"/>
        </w:rPr>
        <w:t>. A company that owns containerships and charters out its ships to container shipping companies rather than operating the ships for liner services; also known as ship-owner or lessor.</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Charter rate</w:t>
      </w:r>
      <w:r>
        <w:rPr>
          <w:rFonts w:ascii="Times New Roman" w:cs="Times New Roman" w:eastAsia="Times New Roman" w:hAnsi="Times New Roman"/>
          <w:sz w:val="12"/>
          <w:szCs w:val="12"/>
          <w:color w:val="auto"/>
        </w:rPr>
        <w:t>. The rate charged by a Charter owner normally as a daily rate for the use of its containerships by a charterer. Charter rates can be on a time charter or bareboat charter basis.</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An independent organization that certifies that a ship has been built and maintained according to the organization’s rules for that type of ship and complies with the applicable rules and regulations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country of the ship’s registry and the international conventions of which that country is a member. A ship that receives its certification is referred to as being “in-class.”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Container shipping company</w:t>
      </w:r>
      <w:r>
        <w:rPr>
          <w:rFonts w:ascii="Times New Roman" w:cs="Times New Roman" w:eastAsia="Times New Roman" w:hAnsi="Times New Roman"/>
          <w:sz w:val="12"/>
          <w:szCs w:val="12"/>
          <w:color w:val="auto"/>
        </w:rPr>
        <w:t>. A shipping company operating liner services using owned or chartered ships with fixed port of call schedules. Also known as a carrier, liner company or an operator.</w:t>
      </w:r>
    </w:p>
    <w:p>
      <w:pPr>
        <w:spacing w:after="0" w:line="132"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Drydocking. </w:t>
      </w:r>
      <w:r>
        <w:rPr>
          <w:rFonts w:ascii="Times New Roman" w:cs="Times New Roman" w:eastAsia="Times New Roman" w:hAnsi="Times New Roman"/>
          <w:sz w:val="12"/>
          <w:szCs w:val="12"/>
          <w:color w:val="auto"/>
        </w:rPr>
        <w:t>Placing the ship in a drydock in order to check and repair areas and parts below the water line. During drydockings, which are required to be carried out periodically, certain mandatory classification society inspections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are carried out and relevant certifications are issued. Under Classification Society rules, drydockings for containerships are generally required once every three to five years or after an accident resulting in under-water damage.</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Freight rate</w:t>
      </w:r>
      <w:r>
        <w:rPr>
          <w:rFonts w:ascii="Times New Roman" w:cs="Times New Roman" w:eastAsia="Times New Roman" w:hAnsi="Times New Roman"/>
          <w:sz w:val="12"/>
          <w:szCs w:val="12"/>
          <w:color w:val="auto"/>
        </w:rPr>
        <w:t>. The amount charged by container shipping companies for transporting cargo, normally as a rate per 20-foot or 40-foot container.</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3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Gross tonnage</w:t>
      </w:r>
      <w:r>
        <w:rPr>
          <w:rFonts w:ascii="Times New Roman" w:cs="Times New Roman" w:eastAsia="Times New Roman" w:hAnsi="Times New Roman"/>
          <w:sz w:val="12"/>
          <w:szCs w:val="12"/>
          <w:color w:val="auto"/>
        </w:rPr>
        <w:t>. A unit of measurement of the entire internal cubic capacity of the ship expressed in tons at 100 cubic feet to the ton.</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Hull</w:t>
      </w:r>
      <w:r>
        <w:rPr>
          <w:rFonts w:ascii="Times New Roman" w:cs="Times New Roman" w:eastAsia="Times New Roman" w:hAnsi="Times New Roman"/>
          <w:sz w:val="12"/>
          <w:szCs w:val="12"/>
          <w:color w:val="auto"/>
        </w:rPr>
        <w:t>. The main body of the ship without engines, buildings and cranes.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Liner company or liner</w:t>
      </w:r>
      <w:r>
        <w:rPr>
          <w:rFonts w:ascii="Times New Roman" w:cs="Times New Roman" w:eastAsia="Times New Roman" w:hAnsi="Times New Roman"/>
          <w:sz w:val="12"/>
          <w:szCs w:val="12"/>
          <w:color w:val="auto"/>
        </w:rPr>
        <w:t>. A container shipping company (also referred to as lines or operators).</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KG</w:t>
      </w:r>
      <w:r>
        <w:rPr>
          <w:rFonts w:ascii="Times New Roman" w:cs="Times New Roman" w:eastAsia="Times New Roman" w:hAnsi="Times New Roman"/>
          <w:sz w:val="12"/>
          <w:szCs w:val="12"/>
          <w:color w:val="auto"/>
        </w:rPr>
        <w:t>. Kommanditgesellschaft, a closed end fund construct broadly analogous to a limited partnership. It has been employed as an investment vehicle for high net worth individuals (primarily German) in various types of assets,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including shipping assets.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IMO</w:t>
      </w:r>
      <w:r>
        <w:rPr>
          <w:rFonts w:ascii="Times New Roman" w:cs="Times New Roman" w:eastAsia="Times New Roman" w:hAnsi="Times New Roman"/>
          <w:sz w:val="12"/>
          <w:szCs w:val="12"/>
          <w:color w:val="auto"/>
        </w:rPr>
        <w:t>. International Maritime Organization, a United Nations agency that issues international standards for shipping.</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Intermediate survey</w:t>
      </w:r>
      <w:r>
        <w:rPr>
          <w:rFonts w:ascii="Times New Roman" w:cs="Times New Roman" w:eastAsia="Times New Roman" w:hAnsi="Times New Roman"/>
          <w:sz w:val="12"/>
          <w:szCs w:val="12"/>
          <w:color w:val="auto"/>
        </w:rPr>
        <w:t>. The inspection of a ship by a classification society surveyor that takes place 24 to 36 months after each special survey.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 xml:space="preserve">Newbuilding. </w:t>
      </w:r>
      <w:r>
        <w:rPr>
          <w:rFonts w:ascii="Times New Roman" w:cs="Times New Roman" w:eastAsia="Times New Roman" w:hAnsi="Times New Roman"/>
          <w:sz w:val="12"/>
          <w:szCs w:val="12"/>
          <w:color w:val="auto"/>
        </w:rPr>
        <w:t>A ship on order, under construction or just delivered.</w:t>
      </w:r>
    </w:p>
    <w:p>
      <w:pPr>
        <w:spacing w:after="0" w:line="132"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Off-hire. </w:t>
      </w:r>
      <w:r>
        <w:rPr>
          <w:rFonts w:ascii="Times New Roman" w:cs="Times New Roman" w:eastAsia="Times New Roman" w:hAnsi="Times New Roman"/>
          <w:sz w:val="12"/>
          <w:szCs w:val="12"/>
          <w:color w:val="auto"/>
        </w:rPr>
        <w:t>The period in which a ship is not available for service under a charter and, accordingly, the charterer generally is not required to pay the hire. Off-hire periods can include days spent on repairs, drydocking and surveys,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whether or not scheduled.</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Orderbook-to-fleet ratio</w:t>
      </w:r>
      <w:r>
        <w:rPr>
          <w:rFonts w:ascii="Times New Roman" w:cs="Times New Roman" w:eastAsia="Times New Roman" w:hAnsi="Times New Roman"/>
          <w:sz w:val="12"/>
          <w:szCs w:val="12"/>
          <w:color w:val="auto"/>
        </w:rPr>
        <w:t>. The ratio of the orderbook for new vessels yet to be delivered to the existing on-the-water fleet determined on the basis of TEU capacity and expressed as a percentage.</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Scrapping</w:t>
      </w:r>
      <w:r>
        <w:rPr>
          <w:rFonts w:ascii="Times New Roman" w:cs="Times New Roman" w:eastAsia="Times New Roman" w:hAnsi="Times New Roman"/>
          <w:sz w:val="12"/>
          <w:szCs w:val="12"/>
          <w:color w:val="auto"/>
        </w:rPr>
        <w:t>. The sale of a ship for conversion into scrap metal.</w:t>
      </w:r>
    </w:p>
    <w:p>
      <w:pPr>
        <w:spacing w:after="0" w:line="132"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Ship management</w:t>
      </w:r>
      <w:r>
        <w:rPr>
          <w:rFonts w:ascii="Times New Roman" w:cs="Times New Roman" w:eastAsia="Times New Roman" w:hAnsi="Times New Roman"/>
          <w:sz w:val="12"/>
          <w:szCs w:val="12"/>
          <w:color w:val="auto"/>
        </w:rPr>
        <w:t>. The provision of shore-based ship management services related to crewing, technical and safety management and the compliance with all government, flag state, class certification and international rules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regulations.</w:t>
      </w:r>
    </w:p>
    <w:p>
      <w:pPr>
        <w:spacing w:after="0" w:line="8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Shipper</w:t>
      </w:r>
      <w:r>
        <w:rPr>
          <w:rFonts w:ascii="Times New Roman" w:cs="Times New Roman" w:eastAsia="Times New Roman" w:hAnsi="Times New Roman"/>
          <w:sz w:val="12"/>
          <w:szCs w:val="12"/>
          <w:color w:val="auto"/>
        </w:rPr>
        <w:t>. Someone who prepares goods for shipment or arranges seaborne transportation; essentially a customer of a container shipping company.</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Special survey</w:t>
      </w:r>
      <w:r>
        <w:rPr>
          <w:rFonts w:ascii="Times New Roman" w:cs="Times New Roman" w:eastAsia="Times New Roman" w:hAnsi="Times New Roman"/>
          <w:sz w:val="12"/>
          <w:szCs w:val="12"/>
          <w:color w:val="auto"/>
        </w:rPr>
        <w:t>. The inspection of a ship by a classification society surveyor that takes place every five years, as part of the recertification of the ship by a classification society.</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Spot market</w:t>
      </w:r>
      <w:r>
        <w:rPr>
          <w:rFonts w:ascii="Times New Roman" w:cs="Times New Roman" w:eastAsia="Times New Roman" w:hAnsi="Times New Roman"/>
          <w:sz w:val="12"/>
          <w:szCs w:val="12"/>
          <w:color w:val="auto"/>
        </w:rPr>
        <w:t>. The market for immediate chartering of a ship, usually for single voyages or for short periods of time, up to 12 months.</w:t>
      </w:r>
    </w:p>
    <w:p>
      <w:pPr>
        <w:spacing w:after="0" w:line="1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2"/>
          <w:szCs w:val="12"/>
          <w:i w:val="1"/>
          <w:iCs w:val="1"/>
          <w:color w:val="auto"/>
        </w:rPr>
        <w:t>TEU</w:t>
      </w:r>
      <w:r>
        <w:rPr>
          <w:rFonts w:ascii="Times New Roman" w:cs="Times New Roman" w:eastAsia="Times New Roman" w:hAnsi="Times New Roman"/>
          <w:sz w:val="12"/>
          <w:szCs w:val="12"/>
          <w:color w:val="auto"/>
        </w:rPr>
        <w:t>. A 20-foot equivalent unit, the international standard measure for containers and containership capacity.</w:t>
      </w:r>
    </w:p>
    <w:p>
      <w:pPr>
        <w:spacing w:after="0" w:line="123"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Time charter</w:t>
      </w:r>
      <w:r>
        <w:rPr>
          <w:rFonts w:ascii="Times New Roman" w:cs="Times New Roman" w:eastAsia="Times New Roman" w:hAnsi="Times New Roman"/>
          <w:sz w:val="12"/>
          <w:szCs w:val="12"/>
          <w:color w:val="auto"/>
        </w:rPr>
        <w:t>. A charter under which the ship-owner hires out a ship for a specified period of time. The ship-owner is responsible for providing the crew and paying vessel operating expenses while the charterer is responsible for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paying the voyage expenses such as fuel and additional voyage insurance. The ship-owner is paid charter hire, which accrues on a daily basis.</w:t>
      </w:r>
    </w:p>
    <w:p>
      <w:pPr>
        <w:spacing w:after="0" w:line="89"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Time charter and voyage expenses</w:t>
      </w:r>
      <w:r>
        <w:rPr>
          <w:rFonts w:ascii="Times New Roman" w:cs="Times New Roman" w:eastAsia="Times New Roman" w:hAnsi="Times New Roman"/>
          <w:sz w:val="12"/>
          <w:szCs w:val="12"/>
          <w:color w:val="auto"/>
        </w:rPr>
        <w:t>. Expenses incurred including brokerage commission and those for owner’s account attributable to a ship’s voyage, such as bunkers costs when the vessel is idle or off-hire and expenses incurred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due to a ship’s voyage from a loading port to a discharging port, such as bunkers costs, port expenses, stevedoring costs, agents’ fees, canal dues, extra war risk insurance and commissions.</w:t>
      </w:r>
    </w:p>
    <w:p>
      <w:pPr>
        <w:spacing w:after="0" w:line="107" w:lineRule="exact"/>
        <w:rPr>
          <w:sz w:val="20"/>
          <w:szCs w:val="20"/>
          <w:color w:val="auto"/>
        </w:rPr>
      </w:pPr>
    </w:p>
    <w:p>
      <w:pPr>
        <w:ind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Utilization. </w:t>
      </w:r>
      <w:r>
        <w:rPr>
          <w:rFonts w:ascii="Times New Roman" w:cs="Times New Roman" w:eastAsia="Times New Roman" w:hAnsi="Times New Roman"/>
          <w:sz w:val="12"/>
          <w:szCs w:val="12"/>
          <w:color w:val="auto"/>
        </w:rPr>
        <w:t>The percentage of days for which owner receives charter hire. The difference to 100% or full utilization will be off-hire, both planned for, say, regulatory drydocking, and unplanned for, say, breakdown, and idle time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between charters.</w:t>
      </w:r>
    </w:p>
    <w:p>
      <w:pPr>
        <w:spacing w:after="0" w:line="89" w:lineRule="exact"/>
        <w:rPr>
          <w:sz w:val="20"/>
          <w:szCs w:val="20"/>
          <w:color w:val="auto"/>
        </w:rPr>
      </w:pPr>
    </w:p>
    <w:p>
      <w:pPr>
        <w:ind w:right="20" w:firstLine="240"/>
        <w:spacing w:after="0" w:line="267" w:lineRule="auto"/>
        <w:rPr>
          <w:sz w:val="20"/>
          <w:szCs w:val="20"/>
          <w:color w:val="auto"/>
        </w:rPr>
      </w:pPr>
      <w:r>
        <w:rPr>
          <w:rFonts w:ascii="Times New Roman" w:cs="Times New Roman" w:eastAsia="Times New Roman" w:hAnsi="Times New Roman"/>
          <w:sz w:val="12"/>
          <w:szCs w:val="12"/>
          <w:i w:val="1"/>
          <w:iCs w:val="1"/>
          <w:color w:val="auto"/>
        </w:rPr>
        <w:t>Vessel operating expenses</w:t>
      </w:r>
      <w:r>
        <w:rPr>
          <w:rFonts w:ascii="Times New Roman" w:cs="Times New Roman" w:eastAsia="Times New Roman" w:hAnsi="Times New Roman"/>
          <w:sz w:val="12"/>
          <w:szCs w:val="12"/>
          <w:color w:val="auto"/>
        </w:rPr>
        <w:t>. The costs of operating a ship, primarily consisting of crew wages and associated costs, insurance premiums, ship management fees, costs of lubricants and spare parts, and repair and maintenance costs.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Vessel operating expenses exclude bunker costs, port expenses, stevedoring costs, agents’ fees, canal dues, extra war risk insurance and commissions, which are included in “voyage expenses.”</w:t>
      </w:r>
    </w:p>
    <w:p>
      <w:pPr>
        <w:spacing w:after="0" w:line="8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i w:val="1"/>
          <w:iCs w:val="1"/>
          <w:color w:val="auto"/>
        </w:rPr>
        <w:t>Voyage expenses</w:t>
      </w:r>
      <w:r>
        <w:rPr>
          <w:rFonts w:ascii="Times New Roman" w:cs="Times New Roman" w:eastAsia="Times New Roman" w:hAnsi="Times New Roman"/>
          <w:sz w:val="12"/>
          <w:szCs w:val="12"/>
          <w:color w:val="auto"/>
        </w:rPr>
        <w:t>. Expenses incurred due to a ship’s voyage from a loading port to a discharging port, such as bunkers costs, port expenses, stevedoring costs, agents’ fees, canal dues, extra war risk insurance and commissions.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38"/>
        </w:trPr>
        <w:tc>
          <w:tcPr>
            <w:tcW w:w="10520" w:type="dxa"/>
            <w:vAlign w:val="bottom"/>
            <w:gridSpan w:val="9"/>
          </w:tcPr>
          <w:p>
            <w:pPr>
              <w:spacing w:after="0"/>
              <w:rPr>
                <w:sz w:val="20"/>
                <w:szCs w:val="20"/>
                <w:color w:val="auto"/>
              </w:rPr>
            </w:pPr>
            <w:r>
              <w:rPr>
                <w:rFonts w:ascii="Times New Roman" w:cs="Times New Roman" w:eastAsia="Times New Roman" w:hAnsi="Times New Roman"/>
                <w:sz w:val="12"/>
                <w:szCs w:val="12"/>
                <w:color w:val="0000EE"/>
              </w:rPr>
              <w:t>Table of Contents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02"/>
        </w:trPr>
        <w:tc>
          <w:tcPr>
            <w:tcW w:w="840" w:type="dxa"/>
            <w:vAlign w:val="bottom"/>
            <w:tcBorders>
              <w:top w:val="single" w:sz="8" w:color="0000EE"/>
            </w:tcBorders>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920" w:type="dxa"/>
            <w:vAlign w:val="bottom"/>
            <w:gridSpan w:val="3"/>
          </w:tcPr>
          <w:p>
            <w:pPr>
              <w:jc w:val="center"/>
              <w:ind w:right="384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20" w:type="dxa"/>
            <w:vAlign w:val="bottom"/>
            <w:gridSpan w:val="4"/>
          </w:tcPr>
          <w:p>
            <w:pPr>
              <w:jc w:val="center"/>
              <w:ind w:right="3640"/>
              <w:spacing w:after="0"/>
              <w:rPr>
                <w:sz w:val="20"/>
                <w:szCs w:val="20"/>
                <w:color w:val="auto"/>
              </w:rPr>
            </w:pPr>
            <w:r>
              <w:rPr>
                <w:rFonts w:ascii="Times New Roman" w:cs="Times New Roman" w:eastAsia="Times New Roman" w:hAnsi="Times New Roman"/>
                <w:sz w:val="12"/>
                <w:szCs w:val="12"/>
                <w:b w:val="1"/>
                <w:bCs w:val="1"/>
                <w:color w:val="auto"/>
              </w:rPr>
              <w:t>Index to Consolidated Financial Statements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400" w:type="dxa"/>
            <w:vAlign w:val="bottom"/>
            <w:gridSpan w:val="5"/>
            <w:vMerge w:val="restart"/>
          </w:tcPr>
          <w:p>
            <w:pPr>
              <w:spacing w:after="0"/>
              <w:rPr>
                <w:sz w:val="20"/>
                <w:szCs w:val="20"/>
                <w:color w:val="auto"/>
              </w:rPr>
            </w:pPr>
            <w:r>
              <w:rPr>
                <w:rFonts w:ascii="Times New Roman" w:cs="Times New Roman" w:eastAsia="Times New Roman" w:hAnsi="Times New Roman"/>
                <w:sz w:val="12"/>
                <w:szCs w:val="12"/>
                <w:color w:val="0000EE"/>
              </w:rPr>
              <w:t>Report of Independent Registered Public Accounting Firm (PCAOB ID 1387)</w:t>
            </w:r>
          </w:p>
        </w:tc>
        <w:tc>
          <w:tcPr>
            <w:tcW w:w="6120" w:type="dxa"/>
            <w:vAlign w:val="bottom"/>
            <w:gridSpan w:val="4"/>
            <w:vMerge w:val="restart"/>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4"/>
          </w:tcPr>
          <w:p>
            <w:pPr>
              <w:jc w:val="center"/>
              <w:ind w:right="180"/>
              <w:spacing w:after="0"/>
              <w:rPr>
                <w:sz w:val="20"/>
                <w:szCs w:val="20"/>
                <w:color w:val="auto"/>
              </w:rPr>
            </w:pPr>
            <w:r>
              <w:rPr>
                <w:rFonts w:ascii="Times New Roman" w:cs="Times New Roman" w:eastAsia="Times New Roman" w:hAnsi="Times New Roman"/>
                <w:sz w:val="12"/>
                <w:szCs w:val="12"/>
                <w:b w:val="1"/>
                <w:bCs w:val="1"/>
                <w:color w:val="auto"/>
                <w:w w:val="97"/>
              </w:rPr>
              <w:t>Page</w:t>
            </w:r>
          </w:p>
        </w:tc>
        <w:tc>
          <w:tcPr>
            <w:tcW w:w="0" w:type="dxa"/>
            <w:vAlign w:val="bottom"/>
          </w:tcPr>
          <w:p>
            <w:pPr>
              <w:spacing w:after="0"/>
              <w:rPr>
                <w:sz w:val="1"/>
                <w:szCs w:val="1"/>
                <w:color w:val="auto"/>
              </w:rPr>
            </w:pPr>
          </w:p>
        </w:tc>
      </w:tr>
      <w:tr>
        <w:trPr>
          <w:trHeight w:val="106"/>
        </w:trPr>
        <w:tc>
          <w:tcPr>
            <w:tcW w:w="4400" w:type="dxa"/>
            <w:vAlign w:val="bottom"/>
            <w:gridSpan w:val="5"/>
            <w:vMerge w:val="continue"/>
          </w:tcPr>
          <w:p>
            <w:pPr>
              <w:spacing w:after="0"/>
              <w:rPr>
                <w:sz w:val="9"/>
                <w:szCs w:val="9"/>
                <w:color w:val="auto"/>
              </w:rPr>
            </w:pPr>
          </w:p>
        </w:tc>
        <w:tc>
          <w:tcPr>
            <w:tcW w:w="6120" w:type="dxa"/>
            <w:vAlign w:val="bottom"/>
            <w:gridSpan w:val="4"/>
            <w:vMerge w:val="continue"/>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4"/>
          </w:tcPr>
          <w:p>
            <w:pPr>
              <w:jc w:val="center"/>
              <w:ind w:right="180"/>
              <w:spacing w:after="0" w:line="106" w:lineRule="exact"/>
              <w:rPr>
                <w:sz w:val="20"/>
                <w:szCs w:val="20"/>
                <w:color w:val="auto"/>
              </w:rPr>
            </w:pPr>
            <w:r>
              <w:rPr>
                <w:rFonts w:ascii="Times New Roman" w:cs="Times New Roman" w:eastAsia="Times New Roman" w:hAnsi="Times New Roman"/>
                <w:sz w:val="12"/>
                <w:szCs w:val="12"/>
                <w:color w:val="0000EE"/>
              </w:rPr>
              <w:t>F-2 - F-3</w:t>
            </w:r>
          </w:p>
        </w:tc>
        <w:tc>
          <w:tcPr>
            <w:tcW w:w="0" w:type="dxa"/>
            <w:vAlign w:val="bottom"/>
          </w:tcPr>
          <w:p>
            <w:pPr>
              <w:spacing w:after="0"/>
              <w:rPr>
                <w:sz w:val="1"/>
                <w:szCs w:val="1"/>
                <w:color w:val="auto"/>
              </w:rPr>
            </w:pPr>
          </w:p>
        </w:tc>
      </w:tr>
      <w:tr>
        <w:trPr>
          <w:trHeight w:val="124"/>
        </w:trPr>
        <w:tc>
          <w:tcPr>
            <w:tcW w:w="3080" w:type="dxa"/>
            <w:vAlign w:val="bottom"/>
            <w:tcBorders>
              <w:top w:val="single" w:sz="8" w:color="0000EE"/>
            </w:tcBorders>
            <w:gridSpan w:val="3"/>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Balance Sheets as at December 31, 2025 and 2024</w:t>
            </w:r>
          </w:p>
        </w:tc>
        <w:tc>
          <w:tcPr>
            <w:tcW w:w="1320" w:type="dxa"/>
            <w:vAlign w:val="bottom"/>
            <w:tcBorders>
              <w:top w:val="single" w:sz="8" w:color="0000EE"/>
            </w:tcBorders>
            <w:gridSpan w:val="2"/>
          </w:tcPr>
          <w:p>
            <w:pPr>
              <w:spacing w:after="0"/>
              <w:rPr>
                <w:sz w:val="10"/>
                <w:szCs w:val="10"/>
                <w:color w:val="auto"/>
              </w:rPr>
            </w:pPr>
          </w:p>
        </w:tc>
        <w:tc>
          <w:tcPr>
            <w:tcW w:w="612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0000EE"/>
            </w:tcBorders>
          </w:tcPr>
          <w:p>
            <w:pPr>
              <w:spacing w:after="0"/>
              <w:rPr>
                <w:sz w:val="10"/>
                <w:szCs w:val="10"/>
                <w:color w:val="auto"/>
              </w:rPr>
            </w:pPr>
          </w:p>
        </w:tc>
        <w:tc>
          <w:tcPr>
            <w:tcW w:w="300" w:type="dxa"/>
            <w:vAlign w:val="bottom"/>
            <w:tcBorders>
              <w:top w:val="single" w:sz="8" w:color="0000EE"/>
            </w:tcBorders>
            <w:gridSpan w:val="2"/>
          </w:tcPr>
          <w:p>
            <w:pPr>
              <w:jc w:val="center"/>
              <w:ind w:right="140"/>
              <w:spacing w:after="0" w:line="124" w:lineRule="exact"/>
              <w:rPr>
                <w:sz w:val="20"/>
                <w:szCs w:val="20"/>
                <w:color w:val="auto"/>
              </w:rPr>
            </w:pPr>
            <w:r>
              <w:rPr>
                <w:rFonts w:ascii="Times New Roman" w:cs="Times New Roman" w:eastAsia="Times New Roman" w:hAnsi="Times New Roman"/>
                <w:sz w:val="12"/>
                <w:szCs w:val="12"/>
                <w:color w:val="0000EE"/>
                <w:w w:val="95"/>
              </w:rPr>
              <w:t>F-4</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400" w:type="dxa"/>
            <w:vAlign w:val="bottom"/>
            <w:gridSpan w:val="5"/>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Income for the years ended December 31, 2025, 2024 and 2023</w:t>
            </w:r>
          </w:p>
        </w:tc>
        <w:tc>
          <w:tcPr>
            <w:tcW w:w="6120" w:type="dxa"/>
            <w:vAlign w:val="bottom"/>
            <w:gridSpan w:val="4"/>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F-5</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180" w:type="dxa"/>
            <w:vAlign w:val="bottom"/>
            <w:gridSpan w:val="7"/>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Comprehensive Income for the years ended December 31, 2025, 2024 and 2023</w:t>
            </w:r>
          </w:p>
        </w:tc>
        <w:tc>
          <w:tcPr>
            <w:tcW w:w="53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F-6</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60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w w:val="99"/>
              </w:rPr>
              <w:t>Consolidated Statements of Cash Flows for the years ended December 31, 2025, 2024 and 2023</w:t>
            </w:r>
          </w:p>
        </w:tc>
        <w:tc>
          <w:tcPr>
            <w:tcW w:w="580" w:type="dxa"/>
            <w:vAlign w:val="bottom"/>
          </w:tcPr>
          <w:p>
            <w:pPr>
              <w:spacing w:after="0"/>
              <w:rPr>
                <w:sz w:val="10"/>
                <w:szCs w:val="10"/>
                <w:color w:val="auto"/>
              </w:rPr>
            </w:pPr>
          </w:p>
        </w:tc>
        <w:tc>
          <w:tcPr>
            <w:tcW w:w="5340" w:type="dxa"/>
            <w:vAlign w:val="bottom"/>
            <w:gridSpan w:val="2"/>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gridSpan w:val="3"/>
          </w:tcPr>
          <w:p>
            <w:pPr>
              <w:jc w:val="center"/>
              <w:ind w:right="320"/>
              <w:spacing w:after="0" w:line="124" w:lineRule="exact"/>
              <w:rPr>
                <w:sz w:val="20"/>
                <w:szCs w:val="20"/>
                <w:color w:val="auto"/>
              </w:rPr>
            </w:pPr>
            <w:r>
              <w:rPr>
                <w:rFonts w:ascii="Times New Roman" w:cs="Times New Roman" w:eastAsia="Times New Roman" w:hAnsi="Times New Roman"/>
                <w:sz w:val="12"/>
                <w:szCs w:val="12"/>
                <w:color w:val="0000EE"/>
                <w:w w:val="95"/>
              </w:rPr>
              <w:t>F-7</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2500" w:type="dxa"/>
            <w:vAlign w:val="bottom"/>
            <w:gridSpan w:val="4"/>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10520" w:type="dxa"/>
            <w:vAlign w:val="bottom"/>
            <w:gridSpan w:val="9"/>
          </w:tcPr>
          <w:p>
            <w:pPr>
              <w:spacing w:after="0" w:line="124" w:lineRule="exact"/>
              <w:rPr>
                <w:sz w:val="20"/>
                <w:szCs w:val="20"/>
                <w:color w:val="auto"/>
              </w:rPr>
            </w:pPr>
            <w:r>
              <w:rPr>
                <w:rFonts w:ascii="Times New Roman" w:cs="Times New Roman" w:eastAsia="Times New Roman" w:hAnsi="Times New Roman"/>
                <w:sz w:val="12"/>
                <w:szCs w:val="12"/>
                <w:color w:val="0000EE"/>
              </w:rPr>
              <w:t>Consolidated Statements of Changes in Shareholders’ Equity for the years ended December 31, 2025,2024 and 2023</w:t>
            </w:r>
          </w:p>
        </w:tc>
        <w:tc>
          <w:tcPr>
            <w:tcW w:w="160" w:type="dxa"/>
            <w:vAlign w:val="bottom"/>
          </w:tcPr>
          <w:p>
            <w:pPr>
              <w:spacing w:after="0"/>
              <w:rPr>
                <w:sz w:val="10"/>
                <w:szCs w:val="10"/>
                <w:color w:val="auto"/>
              </w:rPr>
            </w:pPr>
          </w:p>
        </w:tc>
        <w:tc>
          <w:tcPr>
            <w:tcW w:w="620" w:type="dxa"/>
            <w:vAlign w:val="bottom"/>
            <w:gridSpan w:val="4"/>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0000EE"/>
                <w:w w:val="95"/>
              </w:rPr>
              <w:t>F-8</w:t>
            </w:r>
          </w:p>
        </w:tc>
        <w:tc>
          <w:tcPr>
            <w:tcW w:w="0" w:type="dxa"/>
            <w:vAlign w:val="bottom"/>
          </w:tcPr>
          <w:p>
            <w:pPr>
              <w:spacing w:after="0"/>
              <w:rPr>
                <w:sz w:val="1"/>
                <w:szCs w:val="1"/>
                <w:color w:val="auto"/>
              </w:rPr>
            </w:pPr>
          </w:p>
        </w:tc>
      </w:tr>
      <w:tr>
        <w:trPr>
          <w:trHeight w:val="20"/>
        </w:trPr>
        <w:tc>
          <w:tcPr>
            <w:tcW w:w="2100" w:type="dxa"/>
            <w:vAlign w:val="bottom"/>
            <w:gridSpan w:val="2"/>
            <w:shd w:val="clear" w:color="auto" w:fill="0000EE"/>
          </w:tcPr>
          <w:p>
            <w:pPr>
              <w:spacing w:after="0" w:line="20" w:lineRule="exact"/>
              <w:rPr>
                <w:sz w:val="1"/>
                <w:szCs w:val="1"/>
                <w:color w:val="auto"/>
              </w:rPr>
            </w:pPr>
          </w:p>
        </w:tc>
        <w:tc>
          <w:tcPr>
            <w:tcW w:w="3480" w:type="dxa"/>
            <w:vAlign w:val="bottom"/>
            <w:gridSpan w:val="6"/>
            <w:shd w:val="clear" w:color="auto" w:fill="0000EE"/>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580" w:type="dxa"/>
            <w:vAlign w:val="bottom"/>
            <w:gridSpan w:val="8"/>
          </w:tcPr>
          <w:p>
            <w:pPr>
              <w:spacing w:after="0" w:line="124" w:lineRule="exact"/>
              <w:rPr>
                <w:sz w:val="20"/>
                <w:szCs w:val="20"/>
                <w:color w:val="auto"/>
              </w:rPr>
            </w:pPr>
            <w:r>
              <w:rPr>
                <w:rFonts w:ascii="Times New Roman" w:cs="Times New Roman" w:eastAsia="Times New Roman" w:hAnsi="Times New Roman"/>
                <w:sz w:val="12"/>
                <w:szCs w:val="12"/>
                <w:color w:val="0000EE"/>
              </w:rPr>
              <w:t>Notes to Consolidated Financial Statements</w:t>
            </w:r>
          </w:p>
        </w:tc>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4"/>
          </w:tcPr>
          <w:p>
            <w:pPr>
              <w:jc w:val="center"/>
              <w:ind w:right="180"/>
              <w:spacing w:after="0" w:line="124" w:lineRule="exact"/>
              <w:rPr>
                <w:sz w:val="20"/>
                <w:szCs w:val="20"/>
                <w:color w:val="auto"/>
              </w:rPr>
            </w:pPr>
            <w:r>
              <w:rPr>
                <w:rFonts w:ascii="Times New Roman" w:cs="Times New Roman" w:eastAsia="Times New Roman" w:hAnsi="Times New Roman"/>
                <w:sz w:val="12"/>
                <w:szCs w:val="12"/>
                <w:color w:val="0000EE"/>
              </w:rPr>
              <w:t>F-9-F-46</w:t>
            </w:r>
          </w:p>
        </w:tc>
        <w:tc>
          <w:tcPr>
            <w:tcW w:w="0" w:type="dxa"/>
            <w:vAlign w:val="bottom"/>
          </w:tcPr>
          <w:p>
            <w:pPr>
              <w:spacing w:after="0"/>
              <w:rPr>
                <w:sz w:val="1"/>
                <w:szCs w:val="1"/>
                <w:color w:val="auto"/>
              </w:rPr>
            </w:pPr>
          </w:p>
        </w:tc>
      </w:tr>
      <w:tr>
        <w:trPr>
          <w:trHeight w:val="358"/>
        </w:trPr>
        <w:tc>
          <w:tcPr>
            <w:tcW w:w="840" w:type="dxa"/>
            <w:vAlign w:val="bottom"/>
            <w:tcBorders>
              <w:top w:val="single" w:sz="8" w:color="0000EE"/>
              <w:bottom w:val="single" w:sz="8" w:color="auto"/>
            </w:tcBorders>
          </w:tcPr>
          <w:p>
            <w:pPr>
              <w:spacing w:after="0"/>
              <w:rPr>
                <w:sz w:val="24"/>
                <w:szCs w:val="24"/>
                <w:color w:val="auto"/>
              </w:rPr>
            </w:pPr>
          </w:p>
        </w:tc>
        <w:tc>
          <w:tcPr>
            <w:tcW w:w="1260" w:type="dxa"/>
            <w:vAlign w:val="bottom"/>
            <w:tcBorders>
              <w:top w:val="single" w:sz="8" w:color="0000EE"/>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2"/>
          </w:tcPr>
          <w:p>
            <w:pPr>
              <w:jc w:val="center"/>
              <w:ind w:right="4400"/>
              <w:spacing w:after="0"/>
              <w:rPr>
                <w:sz w:val="20"/>
                <w:szCs w:val="20"/>
                <w:color w:val="auto"/>
              </w:rPr>
            </w:pPr>
            <w:r>
              <w:rPr>
                <w:rFonts w:ascii="Times New Roman" w:cs="Times New Roman" w:eastAsia="Times New Roman" w:hAnsi="Times New Roman"/>
                <w:sz w:val="12"/>
                <w:szCs w:val="12"/>
                <w:color w:val="auto"/>
              </w:rPr>
              <w:t>F-1</w:t>
            </w: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191" w:right="2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3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 Global Ship Lease, Inc.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Opinions on the Financial Statements and Internal Control over Financial Reporting</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 xml:space="preserve">We have audited the accompanying consolidated balance sheets of Global Ship Lease, Inc. and its subsidiaries (the “Company”) as of December 31, 2025 and 2024, and the related consolidated statements of income, comprehensive income, changes in shareholders’ equity and cash flows for each of the three years in the period ended December 31, 2025, including the related notes (collectively referred to as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Committee of Sponsoring Organizations of the Treadway Commission (COSO).</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2"/>
          <w:szCs w:val="12"/>
          <w:i w:val="1"/>
          <w:iCs w:val="1"/>
          <w:color w:val="auto"/>
        </w:rPr>
        <w:t>Internal Control - Integrated Framework</w:t>
      </w:r>
      <w:r>
        <w:rPr>
          <w:rFonts w:ascii="Times New Roman" w:cs="Times New Roman" w:eastAsia="Times New Roman" w:hAnsi="Times New Roman"/>
          <w:sz w:val="12"/>
          <w:szCs w:val="12"/>
          <w:color w:val="auto"/>
        </w:rPr>
        <w:t xml:space="preserve"> (2013) issued by the COSO.</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Basis for Opinions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 and Limitations of Internal Control over Financial Reporting</w:t>
      </w:r>
    </w:p>
    <w:p>
      <w:pPr>
        <w:spacing w:after="0" w:line="1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25"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Critical Audit Matters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Impairment Assessment – Long-lived assets</w:t>
      </w:r>
    </w:p>
    <w:p>
      <w:pPr>
        <w:spacing w:after="0" w:line="12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As disclosed in Notes 2 and 4 to the consolidated financial statements, as of December 31, 2025 the Company’s fleet consisted of vessels with a total carrying value of $2 billion. Management reviews vessels held and used or to be disposed of by the Company for impairment whenever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 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 Revenue assumptions are based on contracted time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principal considerations for our determination that performing procedures relating to impairment assessment – long lived assets is a critical audit matter, is the significant judgement by management in the selection of the forecast charter rates in the four years from the date of the impairment test and a reversion to the historical mean of time charter rates for each vessel group thereafter, as a benchmark for the estimated time charter rates for the non-contracted revenue days. A high degree of auditor judgement, subjectivity and significant effort was also required in performing procedures and evaluating audit evidence obtained related to the estimated time charter rates for the non-contracted revenue days, which involved the use of professionals with the specialized skill and knowledge.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vessel impairment assessment. These procedures also included, among others, assessing the step one analysis of the impairment assessments with the relevant accounting framework; testing completeness, accuracy and relevance of underlying data used in the analysis; evaluating the appropriateness of the undiscounted cash flow model and the reasonableness of the significant assumption used by management relating to estimated time charter rates for non-contracted revenue days. The reasonableness of the estimated time charter rates was assessed by (i) comparing them to actual historical average time charter rates of the vessels and (ii) ensuring consistency with evidence obtained in other areas of the audit. Professionals with specialized skill and knowledge were used to assist in evaluating the appropriateness of management’s undiscounted cash flow model and the reasonableness of the estimated time charter rates used in the model.</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S.A.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16,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2018.</w:t>
      </w: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 except share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w w:val="98"/>
              </w:rPr>
              <w:t>As of</w:t>
            </w:r>
          </w:p>
        </w:tc>
        <w:tc>
          <w:tcPr>
            <w:tcW w:w="940" w:type="dxa"/>
            <w:vAlign w:val="bottom"/>
            <w:tcBorders>
              <w:bottom w:val="single" w:sz="8" w:color="auto"/>
            </w:tcBorders>
          </w:tcPr>
          <w:p>
            <w:pPr>
              <w:spacing w:after="0"/>
              <w:rPr>
                <w:sz w:val="13"/>
                <w:szCs w:val="13"/>
                <w:color w:val="auto"/>
              </w:rPr>
            </w:pPr>
          </w:p>
        </w:tc>
      </w:tr>
      <w:tr>
        <w:trPr>
          <w:trHeight w:val="118"/>
        </w:trPr>
        <w:tc>
          <w:tcPr>
            <w:tcW w:w="78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6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jc w:val="right"/>
              <w:spacing w:after="0" w:line="118" w:lineRule="exact"/>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7860" w:type="dxa"/>
            <w:vAlign w:val="bottom"/>
          </w:tcPr>
          <w:p>
            <w:pPr>
              <w:spacing w:after="0"/>
              <w:rPr>
                <w:sz w:val="13"/>
                <w:szCs w:val="13"/>
                <w:color w:val="auto"/>
              </w:rPr>
            </w:pPr>
          </w:p>
        </w:tc>
        <w:tc>
          <w:tcPr>
            <w:tcW w:w="76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Note</w:t>
            </w:r>
          </w:p>
        </w:tc>
        <w:tc>
          <w:tcPr>
            <w:tcW w:w="3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786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ASSETS</w:t>
            </w:r>
          </w:p>
        </w:tc>
        <w:tc>
          <w:tcPr>
            <w:tcW w:w="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273,876</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141,375</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Time deposits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199,100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26,150</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Restricted cash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50,520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55,583</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Accounts receivable, net</w:t>
            </w: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2"/>
                <w:szCs w:val="12"/>
                <w:color w:val="auto"/>
              </w:rPr>
              <w:t>2h</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49,887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12,501</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Inventories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8</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14,600</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18,905</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33,623</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31,949</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Derivative assets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14,437</w:t>
            </w:r>
          </w:p>
        </w:tc>
      </w:tr>
      <w:tr>
        <w:trPr>
          <w:trHeight w:val="144"/>
        </w:trPr>
        <w:tc>
          <w:tcPr>
            <w:tcW w:w="7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148</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342</w:t>
            </w:r>
          </w:p>
        </w:tc>
      </w:tr>
      <w:tr>
        <w:trPr>
          <w:trHeight w:val="133"/>
        </w:trPr>
        <w:tc>
          <w:tcPr>
            <w:tcW w:w="78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assets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626,988</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301,242</w:t>
            </w:r>
          </w:p>
        </w:tc>
      </w:tr>
      <w:tr>
        <w:trPr>
          <w:trHeight w:val="133"/>
        </w:trPr>
        <w:tc>
          <w:tcPr>
            <w:tcW w:w="78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 - CURRENT ASSETS</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Vessels in operation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1,962,888</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1,884,640</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Advances for vessels acquisitions and other additions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35,961</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18,634</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Deferred dry dock and special survey costs, net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110,936</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91,939</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non-current assets</w:t>
            </w:r>
          </w:p>
        </w:tc>
        <w:tc>
          <w:tcPr>
            <w:tcW w:w="7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w w:val="99"/>
              </w:rPr>
              <w:t>2q</w:t>
            </w: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10,830</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20,155</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Derivative assets, net of current portion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5,969</w:t>
            </w:r>
          </w:p>
        </w:tc>
      </w:tr>
      <w:tr>
        <w:trPr>
          <w:trHeight w:val="144"/>
        </w:trPr>
        <w:tc>
          <w:tcPr>
            <w:tcW w:w="7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Restricted cash and other instruments, net of current portion</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113,600</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50,666</w:t>
            </w:r>
          </w:p>
        </w:tc>
      </w:tr>
      <w:tr>
        <w:trPr>
          <w:trHeight w:val="133"/>
        </w:trPr>
        <w:tc>
          <w:tcPr>
            <w:tcW w:w="78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assets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2,234,215</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2,072,003</w:t>
            </w:r>
          </w:p>
        </w:tc>
      </w:tr>
      <w:tr>
        <w:trPr>
          <w:trHeight w:val="140"/>
        </w:trPr>
        <w:tc>
          <w:tcPr>
            <w:tcW w:w="786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ASSETS</w:t>
            </w:r>
          </w:p>
        </w:tc>
        <w:tc>
          <w:tcPr>
            <w:tcW w:w="6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2,861,203</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2,373,245</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Accounts payable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10</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61,912</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26,334</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Accrued liabilities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11</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47,727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46,926</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Current portion of long - term debt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147,567</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145,276</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Current portion of deferred revenue</w:t>
            </w:r>
          </w:p>
        </w:tc>
        <w:tc>
          <w:tcPr>
            <w:tcW w:w="640" w:type="dxa"/>
            <w:vAlign w:val="bottom"/>
          </w:tcPr>
          <w:p>
            <w:pPr>
              <w:ind w:left="280"/>
              <w:spacing w:after="0"/>
              <w:rPr>
                <w:sz w:val="20"/>
                <w:szCs w:val="20"/>
                <w:color w:val="auto"/>
              </w:rPr>
            </w:pPr>
            <w:r>
              <w:rPr>
                <w:rFonts w:ascii="Times New Roman" w:cs="Times New Roman" w:eastAsia="Times New Roman" w:hAnsi="Times New Roman"/>
                <w:sz w:val="12"/>
                <w:szCs w:val="12"/>
                <w:color w:val="auto"/>
              </w:rPr>
              <w:t>3</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48,885</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44,742</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Due to related parties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14</w:t>
            </w: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692</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723</w:t>
            </w:r>
          </w:p>
        </w:tc>
      </w:tr>
      <w:tr>
        <w:trPr>
          <w:trHeight w:val="133"/>
        </w:trPr>
        <w:tc>
          <w:tcPr>
            <w:tcW w:w="786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306,783</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264,001</w:t>
            </w:r>
          </w:p>
        </w:tc>
      </w:tr>
      <w:tr>
        <w:trPr>
          <w:trHeight w:val="133"/>
        </w:trPr>
        <w:tc>
          <w:tcPr>
            <w:tcW w:w="78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LONG - TERM LIABILITIES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Long - term debt, net of current portion and deferred financing costs</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32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541,575</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538,781</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Intangible liabilities - charter agreements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90,054</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49,431</w:t>
            </w:r>
          </w:p>
        </w:tc>
      </w:tr>
      <w:tr>
        <w:trPr>
          <w:trHeight w:val="144"/>
        </w:trPr>
        <w:tc>
          <w:tcPr>
            <w:tcW w:w="78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Deferred revenue, net of current portion</w:t>
            </w:r>
          </w:p>
        </w:tc>
        <w:tc>
          <w:tcPr>
            <w:tcW w:w="6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121,707</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57,551</w:t>
            </w:r>
          </w:p>
        </w:tc>
      </w:tr>
      <w:tr>
        <w:trPr>
          <w:trHeight w:val="133"/>
        </w:trPr>
        <w:tc>
          <w:tcPr>
            <w:tcW w:w="78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liabilities</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753,336</w:t>
            </w:r>
          </w:p>
        </w:tc>
        <w:tc>
          <w:tcPr>
            <w:tcW w:w="10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645,763</w:t>
            </w:r>
          </w:p>
        </w:tc>
      </w:tr>
      <w:tr>
        <w:trPr>
          <w:trHeight w:val="133"/>
        </w:trPr>
        <w:tc>
          <w:tcPr>
            <w:tcW w:w="786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w:t>
            </w: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1,060,119</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909,764</w:t>
            </w:r>
          </w:p>
        </w:tc>
      </w:tr>
      <w:tr>
        <w:trPr>
          <w:trHeight w:val="133"/>
        </w:trPr>
        <w:tc>
          <w:tcPr>
            <w:tcW w:w="78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Commitments and Contingencies</w:t>
            </w:r>
          </w:p>
        </w:tc>
        <w:tc>
          <w:tcPr>
            <w:tcW w:w="64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15</w:t>
            </w: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SHAREHOLDERS' EQUITY</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133"/>
        </w:trPr>
        <w:tc>
          <w:tcPr>
            <w:tcW w:w="78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Class A common shares - authorized</w:t>
            </w: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214,000,000 shares with a $0.01 par value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w:t>
            </w:r>
          </w:p>
        </w:tc>
      </w:tr>
      <w:tr>
        <w:trPr>
          <w:trHeight w:val="155"/>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35,913,628 shares issued and outstanding (2024 - 35,447,370 shares)</w:t>
            </w: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33"/>
        </w:trPr>
        <w:tc>
          <w:tcPr>
            <w:tcW w:w="78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Series B Preferred Shares - authorized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104,000 shares with a $0.01 par value</w:t>
            </w:r>
          </w:p>
        </w:tc>
        <w:tc>
          <w:tcPr>
            <w:tcW w:w="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43,592 shares issued and outstanding (2024 - 43,592 shares)</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Additional paid in capital</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694,331</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680,743</w:t>
            </w:r>
          </w:p>
        </w:tc>
      </w:tr>
      <w:tr>
        <w:trPr>
          <w:trHeight w:val="144"/>
        </w:trPr>
        <w:tc>
          <w:tcPr>
            <w:tcW w:w="78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Retained Earnings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1,104,617</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773,759</w:t>
            </w:r>
          </w:p>
        </w:tc>
      </w:tr>
      <w:tr>
        <w:trPr>
          <w:trHeight w:val="144"/>
        </w:trPr>
        <w:tc>
          <w:tcPr>
            <w:tcW w:w="78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Accumulated other comprehensive income</w:t>
            </w: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1,777</w:t>
            </w:r>
          </w:p>
        </w:tc>
        <w:tc>
          <w:tcPr>
            <w:tcW w:w="10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8,624</w:t>
            </w:r>
          </w:p>
        </w:tc>
      </w:tr>
      <w:tr>
        <w:trPr>
          <w:trHeight w:val="133"/>
        </w:trPr>
        <w:tc>
          <w:tcPr>
            <w:tcW w:w="786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shareholders' equity</w:t>
            </w:r>
          </w:p>
        </w:tc>
        <w:tc>
          <w:tcPr>
            <w:tcW w:w="64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1,801,084</w:t>
            </w:r>
          </w:p>
        </w:tc>
        <w:tc>
          <w:tcPr>
            <w:tcW w:w="10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1,463,481</w:t>
            </w:r>
          </w:p>
        </w:tc>
      </w:tr>
      <w:tr>
        <w:trPr>
          <w:trHeight w:val="140"/>
        </w:trPr>
        <w:tc>
          <w:tcPr>
            <w:tcW w:w="786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LIABILITIES AND SHAREHOLDERS' EQUITY</w:t>
            </w: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2,861,203</w:t>
            </w:r>
          </w:p>
        </w:tc>
        <w:tc>
          <w:tcPr>
            <w:tcW w:w="10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2,373,245</w:t>
            </w:r>
          </w:p>
        </w:tc>
      </w:tr>
    </w:tbl>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Consolidated Statements of Income</w:t>
      </w:r>
    </w:p>
    <w:p>
      <w:pPr>
        <w:spacing w:after="0" w:line="15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(Expressed in thousands of U.S. dollars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218680" cy="971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Time charter revenue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Amortization of intangible liabilities-charter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914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Total operating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spacing w:after="0" w:line="1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18680" cy="182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7218680" cy="18288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Vessel operating expenses (include related party vessels operating expenses of $23,817, $21,804 and $19,086 for</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each of the years ended December 31, 2025, 2024 and 2023, respectively)</w:t>
      </w:r>
    </w:p>
    <w:p>
      <w:pPr>
        <w:spacing w:after="0" w:line="13" w:lineRule="exact"/>
        <w:rPr>
          <w:sz w:val="20"/>
          <w:szCs w:val="20"/>
          <w:color w:val="auto"/>
        </w:rPr>
      </w:pPr>
    </w:p>
    <w:p>
      <w:pPr>
        <w:ind w:left="60" w:right="5420"/>
        <w:spacing w:after="0" w:line="273" w:lineRule="auto"/>
        <w:rPr>
          <w:sz w:val="20"/>
          <w:szCs w:val="20"/>
          <w:color w:val="auto"/>
        </w:rPr>
      </w:pPr>
      <w:r>
        <w:rPr>
          <w:rFonts w:ascii="Times New Roman" w:cs="Times New Roman" w:eastAsia="Times New Roman" w:hAnsi="Times New Roman"/>
          <w:sz w:val="12"/>
          <w:szCs w:val="12"/>
          <w:color w:val="auto"/>
        </w:rPr>
        <w:t>Time charter and voyages expenses (include related party time charter and voyage expenses of $8,689, $8,610 and $7,995 for each of the years ended December 31, 2025, 2024 and 2023, respectively)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wp:posOffset>
            </wp:positionV>
            <wp:extent cx="7218680" cy="914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Impairment of vessels</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914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Gain on sale of vessels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1028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Operating Income</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NON-OPERATING INCOME/(EXPENSES)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7218680" cy="914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10287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ind w:left="60"/>
        <w:spacing w:after="0" w:line="259" w:lineRule="auto"/>
        <w:rPr>
          <w:sz w:val="20"/>
          <w:szCs w:val="20"/>
          <w:color w:val="auto"/>
        </w:rPr>
      </w:pPr>
      <w:r>
        <w:rPr>
          <w:rFonts w:ascii="Times New Roman" w:cs="Times New Roman" w:eastAsia="Times New Roman" w:hAnsi="Times New Roman"/>
          <w:sz w:val="12"/>
          <w:szCs w:val="12"/>
          <w:color w:val="auto"/>
        </w:rPr>
        <w:t>Interest and other finance expenses (include $875, $3,627 and $108 expenses relating to prepayment fees and acceleration of deferred financing costs, if any, for each of the years ended December 31, 2025, 2024 and 2023, respectively)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7218680" cy="914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Total non-operating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Income before income taxes</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Net Income</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Earnings allocated to Series B Preferred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9525</wp:posOffset>
            </wp:positionV>
            <wp:extent cx="7218680" cy="971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7218680" cy="97155"/>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b w:val="1"/>
          <w:bCs w:val="1"/>
          <w:color w:val="auto"/>
        </w:rPr>
        <w:t>Net Income available to Common Shareholders, Basic</w:t>
      </w:r>
    </w:p>
    <w:p>
      <w:pPr>
        <w:spacing w:after="0" w:line="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Net Income available to Common Shareholders,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21868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7218680" cy="102870"/>
                    </a:xfrm>
                    <a:prstGeom prst="rect">
                      <a:avLst/>
                    </a:prstGeom>
                    <a:noFill/>
                  </pic:spPr>
                </pic:pic>
              </a:graphicData>
            </a:graphic>
          </wp:anchor>
        </w:drawing>
      </w:r>
    </w:p>
    <w:p>
      <w:pPr>
        <w:spacing w:after="0" w:line="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Earnings per Share</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Weighted average number of Class A common shares outstanding</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914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218680" cy="914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Net Earnings per Class A common share</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Basic</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7218680" cy="914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7218680" cy="91440"/>
                    </a:xfrm>
                    <a:prstGeom prst="rect">
                      <a:avLst/>
                    </a:prstGeom>
                    <a:noFill/>
                  </pic:spPr>
                </pic:pic>
              </a:graphicData>
            </a:graphic>
          </wp:anchor>
        </w:drawing>
      </w:r>
    </w:p>
    <w:p>
      <w:pPr>
        <w:spacing w:after="0" w:line="1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40"/>
          </w:cols>
          <w:pgMar w:left="300" w:top="201" w:right="2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Income</w:t>
      </w:r>
    </w:p>
    <w:p>
      <w:pPr>
        <w:spacing w:after="0" w:line="2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760" w:type="dxa"/>
            <w:vAlign w:val="bottom"/>
          </w:tcPr>
          <w:p>
            <w:pPr>
              <w:spacing w:after="0"/>
              <w:rPr>
                <w:sz w:val="13"/>
                <w:szCs w:val="13"/>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33"/>
        </w:trPr>
        <w:tc>
          <w:tcPr>
            <w:tcW w:w="6760" w:type="dxa"/>
            <w:vAlign w:val="bottom"/>
          </w:tcPr>
          <w:p>
            <w:pPr>
              <w:spacing w:after="0"/>
              <w:rPr>
                <w:sz w:val="11"/>
                <w:szCs w:val="11"/>
                <w:color w:val="auto"/>
              </w:rPr>
            </w:pPr>
          </w:p>
        </w:tc>
        <w:tc>
          <w:tcPr>
            <w:tcW w:w="440" w:type="dxa"/>
            <w:vAlign w:val="bottom"/>
            <w:gridSpan w:val="2"/>
          </w:tcPr>
          <w:p>
            <w:pPr>
              <w:ind w:left="40"/>
              <w:spacing w:after="0" w:line="133" w:lineRule="exact"/>
              <w:rPr>
                <w:sz w:val="20"/>
                <w:szCs w:val="20"/>
                <w:color w:val="auto"/>
              </w:rPr>
            </w:pPr>
            <w:r>
              <w:rPr>
                <w:rFonts w:ascii="Times New Roman" w:cs="Times New Roman" w:eastAsia="Times New Roman" w:hAnsi="Times New Roman"/>
                <w:sz w:val="12"/>
                <w:szCs w:val="12"/>
                <w:b w:val="1"/>
                <w:bCs w:val="1"/>
                <w:color w:val="auto"/>
              </w:rPr>
              <w:t>Note</w:t>
            </w:r>
          </w:p>
        </w:tc>
        <w:tc>
          <w:tcPr>
            <w:tcW w:w="420" w:type="dxa"/>
            <w:vAlign w:val="bottom"/>
          </w:tcPr>
          <w:p>
            <w:pPr>
              <w:spacing w:after="0"/>
              <w:rPr>
                <w:sz w:val="11"/>
                <w:szCs w:val="11"/>
                <w:color w:val="auto"/>
              </w:rPr>
            </w:pPr>
          </w:p>
        </w:tc>
        <w:tc>
          <w:tcPr>
            <w:tcW w:w="8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20" w:type="dxa"/>
            <w:vAlign w:val="bottom"/>
          </w:tcPr>
          <w:p>
            <w:pPr>
              <w:spacing w:after="0"/>
              <w:rPr>
                <w:sz w:val="11"/>
                <w:szCs w:val="11"/>
                <w:color w:val="auto"/>
              </w:rPr>
            </w:pPr>
          </w:p>
        </w:tc>
      </w:tr>
      <w:tr>
        <w:trPr>
          <w:trHeight w:val="133"/>
        </w:trPr>
        <w:tc>
          <w:tcPr>
            <w:tcW w:w="676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Income available to Common Shareholders</w:t>
            </w:r>
          </w:p>
        </w:tc>
        <w:tc>
          <w:tcPr>
            <w:tcW w:w="340" w:type="dxa"/>
            <w:vAlign w:val="bottom"/>
            <w:tcBorders>
              <w:top w:val="single" w:sz="8" w:color="auto"/>
              <w:bottom w:val="single" w:sz="8" w:color="CCEEFF"/>
            </w:tcBorders>
            <w:shd w:val="clear" w:color="auto" w:fill="CCEEFF"/>
          </w:tcPr>
          <w:p>
            <w:pPr>
              <w:jc w:val="right"/>
              <w:ind w:right="8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406,919</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344,092</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294,964</w:t>
            </w:r>
          </w:p>
        </w:tc>
        <w:tc>
          <w:tcPr>
            <w:tcW w:w="20" w:type="dxa"/>
            <w:vAlign w:val="bottom"/>
          </w:tcPr>
          <w:p>
            <w:pPr>
              <w:spacing w:after="0"/>
              <w:rPr>
                <w:sz w:val="11"/>
                <w:szCs w:val="11"/>
                <w:color w:val="auto"/>
              </w:rPr>
            </w:pPr>
          </w:p>
        </w:tc>
      </w:tr>
      <w:tr>
        <w:trPr>
          <w:trHeight w:val="133"/>
        </w:trPr>
        <w:tc>
          <w:tcPr>
            <w:tcW w:w="67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Other comprehensive income:</w:t>
            </w:r>
          </w:p>
        </w:tc>
        <w:tc>
          <w:tcPr>
            <w:tcW w:w="340" w:type="dxa"/>
            <w:vAlign w:val="bottom"/>
          </w:tcPr>
          <w:p>
            <w:pPr>
              <w:jc w:val="right"/>
              <w:ind w:right="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1"/>
                <w:szCs w:val="11"/>
                <w:color w:val="auto"/>
              </w:rPr>
            </w:pPr>
          </w:p>
        </w:tc>
        <w:tc>
          <w:tcPr>
            <w:tcW w:w="860" w:type="dxa"/>
            <w:vAlign w:val="bottom"/>
            <w:gridSpan w:val="2"/>
          </w:tcPr>
          <w:p>
            <w:pPr>
              <w:ind w:left="820"/>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Flow Hedge:</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4"/>
        </w:trPr>
        <w:tc>
          <w:tcPr>
            <w:tcW w:w="6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 on derivative assets/FX option</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(10,415)</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(16,179)</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20" w:type="dxa"/>
            <w:vAlign w:val="bottom"/>
          </w:tcPr>
          <w:p>
            <w:pPr>
              <w:spacing w:after="0"/>
              <w:rPr>
                <w:sz w:val="12"/>
                <w:szCs w:val="12"/>
                <w:color w:val="auto"/>
              </w:rPr>
            </w:pPr>
          </w:p>
        </w:tc>
      </w:tr>
      <w:tr>
        <w:trPr>
          <w:trHeight w:val="144"/>
        </w:trPr>
        <w:tc>
          <w:tcPr>
            <w:tcW w:w="6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interest rate cap premium</w:t>
            </w:r>
          </w:p>
        </w:tc>
        <w:tc>
          <w:tcPr>
            <w:tcW w:w="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3,568</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4,586</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4,271</w:t>
            </w:r>
          </w:p>
        </w:tc>
        <w:tc>
          <w:tcPr>
            <w:tcW w:w="20" w:type="dxa"/>
            <w:vAlign w:val="bottom"/>
          </w:tcPr>
          <w:p>
            <w:pPr>
              <w:spacing w:after="0"/>
              <w:rPr>
                <w:sz w:val="12"/>
                <w:szCs w:val="12"/>
                <w:color w:val="auto"/>
              </w:rPr>
            </w:pPr>
          </w:p>
        </w:tc>
      </w:tr>
      <w:tr>
        <w:trPr>
          <w:trHeight w:val="144"/>
        </w:trPr>
        <w:tc>
          <w:tcPr>
            <w:tcW w:w="67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Amounts reclassified to earnings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20" w:type="dxa"/>
            <w:vAlign w:val="bottom"/>
          </w:tcPr>
          <w:p>
            <w:pPr>
              <w:spacing w:after="0"/>
              <w:rPr>
                <w:sz w:val="12"/>
                <w:szCs w:val="12"/>
                <w:color w:val="auto"/>
              </w:rPr>
            </w:pPr>
          </w:p>
        </w:tc>
      </w:tr>
      <w:tr>
        <w:trPr>
          <w:trHeight w:val="133"/>
        </w:trPr>
        <w:tc>
          <w:tcPr>
            <w:tcW w:w="676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Other Comprehensive Loss</w:t>
            </w:r>
          </w:p>
        </w:tc>
        <w:tc>
          <w:tcPr>
            <w:tcW w:w="440" w:type="dxa"/>
            <w:vAlign w:val="bottom"/>
            <w:tcBorders>
              <w:top w:val="single" w:sz="8" w:color="CCEEFF"/>
            </w:tcBorders>
            <w:gridSpan w:val="2"/>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top w:val="single" w:sz="8" w:color="auto"/>
              <w:bottom w:val="single" w:sz="8" w:color="auto"/>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(6,847)</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(10,716)</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(12,140)</w:t>
            </w:r>
          </w:p>
        </w:tc>
        <w:tc>
          <w:tcPr>
            <w:tcW w:w="20" w:type="dxa"/>
            <w:vAlign w:val="bottom"/>
          </w:tcPr>
          <w:p>
            <w:pPr>
              <w:spacing w:after="0"/>
              <w:rPr>
                <w:sz w:val="11"/>
                <w:szCs w:val="11"/>
                <w:color w:val="auto"/>
              </w:rPr>
            </w:pPr>
          </w:p>
        </w:tc>
      </w:tr>
      <w:tr>
        <w:trPr>
          <w:trHeight w:val="140"/>
        </w:trPr>
        <w:tc>
          <w:tcPr>
            <w:tcW w:w="67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Comprehensive Income</w:t>
            </w:r>
          </w:p>
        </w:tc>
        <w:tc>
          <w:tcPr>
            <w:tcW w:w="44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4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400,072</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333,376</w:t>
            </w:r>
          </w:p>
        </w:tc>
        <w:tc>
          <w:tcPr>
            <w:tcW w:w="100" w:type="dxa"/>
            <w:vAlign w:val="bottom"/>
          </w:tcPr>
          <w:p>
            <w:pPr>
              <w:spacing w:after="0"/>
              <w:rPr>
                <w:sz w:val="12"/>
                <w:szCs w:val="12"/>
                <w:color w:val="auto"/>
              </w:rPr>
            </w:pPr>
          </w:p>
        </w:tc>
        <w:tc>
          <w:tcPr>
            <w:tcW w:w="500" w:type="dxa"/>
            <w:vAlign w:val="bottom"/>
            <w:tcBorders>
              <w:bottom w:val="single" w:sz="8" w:color="auto"/>
            </w:tcBorders>
          </w:tcPr>
          <w:p>
            <w:pPr>
              <w:jc w:val="right"/>
              <w:ind w:right="38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282,824</w:t>
            </w: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-868045</wp:posOffset>
            </wp:positionV>
            <wp:extent cx="4297680" cy="1028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4297680" cy="102870"/>
                    </a:xfrm>
                    <a:prstGeom prst="rect">
                      <a:avLst/>
                    </a:prstGeom>
                    <a:noFill/>
                  </pic:spPr>
                </pic:pic>
              </a:graphicData>
            </a:graphic>
          </wp:anchor>
        </w:drawing>
      </w:r>
    </w:p>
    <w:p>
      <w:pPr>
        <w:spacing w:after="0" w:line="1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20"/>
          </w:cols>
          <w:pgMar w:left="300" w:top="201" w:right="27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54"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620" w:type="dxa"/>
            <w:vAlign w:val="bottom"/>
          </w:tcPr>
          <w:p>
            <w:pPr>
              <w:spacing w:after="0"/>
              <w:rPr>
                <w:sz w:val="13"/>
                <w:szCs w:val="13"/>
                <w:color w:val="auto"/>
              </w:rPr>
            </w:pPr>
          </w:p>
        </w:tc>
        <w:tc>
          <w:tcPr>
            <w:tcW w:w="5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Note</w:t>
            </w:r>
          </w:p>
        </w:tc>
        <w:tc>
          <w:tcPr>
            <w:tcW w:w="4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62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33"/>
        </w:trPr>
        <w:tc>
          <w:tcPr>
            <w:tcW w:w="662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income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416,455</w:t>
            </w:r>
          </w:p>
        </w:tc>
        <w:tc>
          <w:tcPr>
            <w:tcW w:w="160" w:type="dxa"/>
            <w:vAlign w:val="bottom"/>
          </w:tcPr>
          <w:p>
            <w:pPr>
              <w:spacing w:after="0"/>
              <w:rPr>
                <w:sz w:val="12"/>
                <w:szCs w:val="12"/>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353,628</w:t>
            </w:r>
          </w:p>
        </w:tc>
        <w:tc>
          <w:tcPr>
            <w:tcW w:w="160" w:type="dxa"/>
            <w:vAlign w:val="bottom"/>
          </w:tcPr>
          <w:p>
            <w:pPr>
              <w:spacing w:after="0"/>
              <w:rPr>
                <w:sz w:val="12"/>
                <w:szCs w:val="12"/>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304,500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Adjustments to reconcile net income to net cash provided by operating activities: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121,961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99,991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91,727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Gain on sale of vessels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(46,272)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Impairment of vessels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Amounts reclassified to other comprehensive income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derivative assets’ premium</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3,568</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4,271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deferred financing costs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3,660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5,526</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Amortization of original issue discount on instruments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 of intangible liabilities - charter agreements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(13,486)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(8,080)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4,952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5,170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5,372</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Prepayment fees on debt repayment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 based compensation expense</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17</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13,964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8,704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Changes in operating assets and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(Increase)/decrease in accounts receivable and other assets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(29,735)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Decrease/(increase) in inventories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4,305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(3,141)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(3,527)</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Increase in derivative assets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Increase/(decrease) in accounts payable and other liabilities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38,745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16,244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(5,890)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Decrease in related parties' balances, net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Increase/(decrease) in deferred revenue</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68,299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(20,153)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(9,306)</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Payments for drydocking and special survey costs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(58,189)</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(42,506)</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(38,341)</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Unrealized foreign exchange loss/(gain)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33"/>
        </w:trPr>
        <w:tc>
          <w:tcPr>
            <w:tcW w:w="66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provided by operating activities</w:t>
            </w:r>
          </w:p>
        </w:tc>
        <w:tc>
          <w:tcPr>
            <w:tcW w:w="38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528,299</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430,146</w:t>
            </w:r>
          </w:p>
        </w:tc>
        <w:tc>
          <w:tcPr>
            <w:tcW w:w="16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375,008</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Acquisition of vessels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(121,541)</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(205,500)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(123,300)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paid for vessel expenditures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(14,173)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(12,840)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(19,586)</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proceeds from sale of vessels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88,568</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5,940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Advances for vessel acquisitions and other additions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(33,226)</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(24,154)</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(9,587)</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Time deposits and other instruments acquired</w:t>
            </w:r>
          </w:p>
        </w:tc>
        <w:tc>
          <w:tcPr>
            <w:tcW w:w="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(271,532)</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(12,150)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(5,450)</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investing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(351,904)</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(254,644)</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(151,983)</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Proceeds from drawdown of credit facilities and sale and leaseback</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218,500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344,500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76,000</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Repayment of credit facilities and sale and leaseback</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(144,672)</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(185,438)</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(202,348)</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Repayment of refinanced debt, including prepayment fees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(70,393)</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(292,010)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Deferred financing costs paid</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12</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(2,185)</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(1,140)</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proceeds from offering of Class A common shares, net of offering costs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(332)</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(4,994)</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(21,969)</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Class A common shares - dividend paid</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(76,061)</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(58,438)</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(53,249)</w:t>
            </w:r>
          </w:p>
        </w:tc>
        <w:tc>
          <w:tcPr>
            <w:tcW w:w="0" w:type="dxa"/>
            <w:vAlign w:val="bottom"/>
          </w:tcPr>
          <w:p>
            <w:pPr>
              <w:spacing w:after="0"/>
              <w:rPr>
                <w:sz w:val="1"/>
                <w:szCs w:val="1"/>
                <w:color w:val="auto"/>
              </w:rPr>
            </w:pPr>
          </w:p>
        </w:tc>
      </w:tr>
      <w:tr>
        <w:trPr>
          <w:trHeight w:val="144"/>
        </w:trPr>
        <w:tc>
          <w:tcPr>
            <w:tcW w:w="66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Series B Preferred Shares - dividend paid</w:t>
            </w:r>
          </w:p>
        </w:tc>
        <w:tc>
          <w:tcPr>
            <w:tcW w:w="3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16</w:t>
            </w: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(9,536)</w:t>
            </w:r>
          </w:p>
        </w:tc>
        <w:tc>
          <w:tcPr>
            <w:tcW w:w="0" w:type="dxa"/>
            <w:vAlign w:val="bottom"/>
          </w:tcPr>
          <w:p>
            <w:pPr>
              <w:spacing w:after="0"/>
              <w:rPr>
                <w:sz w:val="1"/>
                <w:szCs w:val="1"/>
                <w:color w:val="auto"/>
              </w:rPr>
            </w:pPr>
          </w:p>
        </w:tc>
      </w:tr>
      <w:tr>
        <w:trPr>
          <w:trHeight w:val="133"/>
        </w:trPr>
        <w:tc>
          <w:tcPr>
            <w:tcW w:w="66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cash used in financing activities</w:t>
            </w: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(84,679)</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(208,591)</w:t>
            </w:r>
          </w:p>
        </w:tc>
        <w:tc>
          <w:tcPr>
            <w:tcW w:w="160" w:type="dxa"/>
            <w:vAlign w:val="bottom"/>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(212,242)</w:t>
            </w:r>
          </w:p>
        </w:tc>
        <w:tc>
          <w:tcPr>
            <w:tcW w:w="0" w:type="dxa"/>
            <w:vAlign w:val="bottom"/>
          </w:tcPr>
          <w:p>
            <w:pPr>
              <w:spacing w:after="0"/>
              <w:rPr>
                <w:sz w:val="1"/>
                <w:szCs w:val="1"/>
                <w:color w:val="auto"/>
              </w:rPr>
            </w:pPr>
          </w:p>
        </w:tc>
      </w:tr>
      <w:tr>
        <w:trPr>
          <w:trHeight w:val="133"/>
        </w:trPr>
        <w:tc>
          <w:tcPr>
            <w:tcW w:w="662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Net increase/(decrease) in cash and cash equivalents and restricted cash</w:t>
            </w: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91,716</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4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(33,089)</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10,783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and cash equivalents and restricted cash at beginning of the year</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247,624</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280,713</w:t>
            </w:r>
          </w:p>
        </w:tc>
        <w:tc>
          <w:tcPr>
            <w:tcW w:w="16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269,930</w:t>
            </w:r>
          </w:p>
        </w:tc>
        <w:tc>
          <w:tcPr>
            <w:tcW w:w="0" w:type="dxa"/>
            <w:vAlign w:val="bottom"/>
          </w:tcPr>
          <w:p>
            <w:pPr>
              <w:spacing w:after="0"/>
              <w:rPr>
                <w:sz w:val="1"/>
                <w:szCs w:val="1"/>
                <w:color w:val="auto"/>
              </w:rPr>
            </w:pPr>
          </w:p>
        </w:tc>
      </w:tr>
      <w:tr>
        <w:trPr>
          <w:trHeight w:val="140"/>
        </w:trPr>
        <w:tc>
          <w:tcPr>
            <w:tcW w:w="66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Cash and cash equivalents and restricted cash at end of the year</w:t>
            </w: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339,340</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247,624</w:t>
            </w: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280,713</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Supplementary Cash Flow Information:</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Cash paid for interest</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46,806</w:t>
            </w:r>
          </w:p>
        </w:tc>
        <w:tc>
          <w:tcPr>
            <w:tcW w:w="160" w:type="dxa"/>
            <w:vAlign w:val="bottom"/>
          </w:tcPr>
          <w:p>
            <w:pPr>
              <w:spacing w:after="0"/>
              <w:rPr>
                <w:sz w:val="12"/>
                <w:szCs w:val="12"/>
                <w:color w:val="auto"/>
              </w:rPr>
            </w:pPr>
          </w:p>
        </w:tc>
        <w:tc>
          <w:tcPr>
            <w:tcW w:w="44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55,421</w:t>
            </w:r>
          </w:p>
        </w:tc>
        <w:tc>
          <w:tcPr>
            <w:tcW w:w="160" w:type="dxa"/>
            <w:vAlign w:val="bottom"/>
          </w:tcPr>
          <w:p>
            <w:pPr>
              <w:spacing w:after="0"/>
              <w:rPr>
                <w:sz w:val="12"/>
                <w:szCs w:val="12"/>
                <w:color w:val="auto"/>
              </w:rPr>
            </w:pPr>
          </w:p>
        </w:tc>
        <w:tc>
          <w:tcPr>
            <w:tcW w:w="44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67,997</w:t>
            </w: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Cash received from interest rate caps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16,600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27,027</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32,549</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Non-cash investing activities: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Acquisition of intangibles</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54,109</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49,295</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4"/>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Non-cash financing activities: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Unpaid offering costs</w:t>
            </w: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5"/>
        </w:trPr>
        <w:tc>
          <w:tcPr>
            <w:tcW w:w="66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 on derivative assets/FX option</w:t>
            </w:r>
          </w:p>
        </w:tc>
        <w:tc>
          <w:tcPr>
            <w:tcW w:w="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9</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(10,415)</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(16,179)</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(16,625)</w:t>
            </w:r>
          </w:p>
        </w:tc>
        <w:tc>
          <w:tcPr>
            <w:tcW w:w="0" w:type="dxa"/>
            <w:vAlign w:val="bottom"/>
          </w:tcPr>
          <w:p>
            <w:pPr>
              <w:spacing w:after="0"/>
              <w:rPr>
                <w:sz w:val="1"/>
                <w:szCs w:val="1"/>
                <w:color w:val="auto"/>
              </w:rPr>
            </w:pPr>
          </w:p>
        </w:tc>
      </w:tr>
    </w:tbl>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2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 Changes in Shareholders’ Equity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 except share data)</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Number</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of Series</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3420" w:type="dxa"/>
            <w:vAlign w:val="bottom"/>
          </w:tcPr>
          <w:p>
            <w:pPr>
              <w:spacing w:after="0"/>
              <w:rPr>
                <w:sz w:val="12"/>
                <w:szCs w:val="12"/>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Number of</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B</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Accumulated</w:t>
            </w:r>
          </w:p>
        </w:tc>
        <w:tc>
          <w:tcPr>
            <w:tcW w:w="1140" w:type="dxa"/>
            <w:vAlign w:val="bottom"/>
          </w:tcPr>
          <w:p>
            <w:pPr>
              <w:spacing w:after="0"/>
              <w:rPr>
                <w:sz w:val="12"/>
                <w:szCs w:val="12"/>
                <w:color w:val="auto"/>
              </w:rPr>
            </w:pPr>
          </w:p>
        </w:tc>
      </w:tr>
      <w:tr>
        <w:trPr>
          <w:trHeight w:val="144"/>
        </w:trPr>
        <w:tc>
          <w:tcPr>
            <w:tcW w:w="3420" w:type="dxa"/>
            <w:vAlign w:val="bottom"/>
          </w:tcPr>
          <w:p>
            <w:pPr>
              <w:spacing w:after="0"/>
              <w:rPr>
                <w:sz w:val="12"/>
                <w:szCs w:val="12"/>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Common</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Preferred Shares</w:t>
            </w: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Other</w:t>
            </w:r>
          </w:p>
        </w:tc>
        <w:tc>
          <w:tcPr>
            <w:tcW w:w="1140" w:type="dxa"/>
            <w:vAlign w:val="bottom"/>
          </w:tcPr>
          <w:p>
            <w:pPr>
              <w:spacing w:after="0"/>
              <w:rPr>
                <w:sz w:val="12"/>
                <w:szCs w:val="12"/>
                <w:color w:val="auto"/>
              </w:rPr>
            </w:pPr>
          </w:p>
        </w:tc>
      </w:tr>
      <w:tr>
        <w:trPr>
          <w:trHeight w:val="144"/>
        </w:trPr>
        <w:tc>
          <w:tcPr>
            <w:tcW w:w="3420" w:type="dxa"/>
            <w:vAlign w:val="bottom"/>
          </w:tcPr>
          <w:p>
            <w:pPr>
              <w:spacing w:after="0"/>
              <w:rPr>
                <w:sz w:val="12"/>
                <w:szCs w:val="12"/>
                <w:color w:val="auto"/>
              </w:rPr>
            </w:pP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Shares at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at</w:t>
            </w:r>
          </w:p>
        </w:tc>
        <w:tc>
          <w:tcPr>
            <w:tcW w:w="980" w:type="dxa"/>
            <w:vAlign w:val="bottom"/>
          </w:tcPr>
          <w:p>
            <w:pPr>
              <w:spacing w:after="0"/>
              <w:rPr>
                <w:sz w:val="12"/>
                <w:szCs w:val="12"/>
                <w:color w:val="auto"/>
              </w:rPr>
            </w:pP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Series B</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Additional</w:t>
            </w:r>
          </w:p>
        </w:tc>
        <w:tc>
          <w:tcPr>
            <w:tcW w:w="10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Comprehensive</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Total</w:t>
            </w:r>
          </w:p>
        </w:tc>
      </w:tr>
      <w:tr>
        <w:trPr>
          <w:trHeight w:val="155"/>
        </w:trPr>
        <w:tc>
          <w:tcPr>
            <w:tcW w:w="342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par value $0.01</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par value $0.01</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Common Shares</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Preferred Shares</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paid-in capital</w:t>
            </w: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Retained Earnings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Income</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Shareholders' Equity</w:t>
            </w:r>
          </w:p>
        </w:tc>
      </w:tr>
      <w:tr>
        <w:trPr>
          <w:trHeight w:val="133"/>
        </w:trPr>
        <w:tc>
          <w:tcPr>
            <w:tcW w:w="34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Balance at January 1, 2023</w:t>
            </w:r>
          </w:p>
        </w:tc>
        <w:tc>
          <w:tcPr>
            <w:tcW w:w="90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35,990,288</w:t>
            </w:r>
          </w:p>
        </w:tc>
        <w:tc>
          <w:tcPr>
            <w:tcW w:w="9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$ 359</w:t>
            </w:r>
          </w:p>
        </w:tc>
        <w:tc>
          <w:tcPr>
            <w:tcW w:w="102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$688,262</w:t>
            </w:r>
          </w:p>
        </w:tc>
        <w:tc>
          <w:tcPr>
            <w:tcW w:w="1060" w:type="dxa"/>
            <w:vAlign w:val="bottom"/>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$ 246,390</w:t>
            </w:r>
          </w:p>
        </w:tc>
        <w:tc>
          <w:tcPr>
            <w:tcW w:w="9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$ 31,480</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$ 966,491</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440,698</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10,184</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10,189</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(1,242,663)</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(21,956)</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(21,969)</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(12,140)</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(12,140)</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Income for the year</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304,500</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304,500</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(9,536)</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(9,536)</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102</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w:t>
            </w:r>
          </w:p>
        </w:tc>
      </w:tr>
      <w:tr>
        <w:trPr>
          <w:trHeight w:val="144"/>
        </w:trPr>
        <w:tc>
          <w:tcPr>
            <w:tcW w:w="3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(53,249)</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(53,249)</w:t>
            </w:r>
          </w:p>
        </w:tc>
      </w:tr>
      <w:tr>
        <w:trPr>
          <w:trHeight w:val="140"/>
        </w:trPr>
        <w:tc>
          <w:tcPr>
            <w:tcW w:w="342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2023</w:t>
            </w:r>
          </w:p>
        </w:tc>
        <w:tc>
          <w:tcPr>
            <w:tcW w:w="9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35,188,323</w:t>
            </w:r>
          </w:p>
        </w:tc>
        <w:tc>
          <w:tcPr>
            <w:tcW w:w="9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$ 351</w:t>
            </w:r>
          </w:p>
        </w:tc>
        <w:tc>
          <w:tcPr>
            <w:tcW w:w="10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8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$ 676,592</w:t>
            </w:r>
          </w:p>
        </w:tc>
        <w:tc>
          <w:tcPr>
            <w:tcW w:w="10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$ 488,105</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$ 19,340</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$ 1,184,388</w:t>
            </w:r>
          </w:p>
        </w:tc>
      </w:tr>
      <w:tr>
        <w:trPr>
          <w:trHeight w:val="144"/>
        </w:trPr>
        <w:tc>
          <w:tcPr>
            <w:tcW w:w="3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483,713</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8,698</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8,704</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Issuance of Class A common shares, net of offering costs (Note 16)</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27,106</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445</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445</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Cancellation of Class A common shares (Note 16)</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(251,772)</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(4,992)</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(4,994)</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Other comprehensive loss</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(10,716)</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(10,716)</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Net Income for the year</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353,628</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353,628</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(9,536)</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(9,536)</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tc>
        <w:tc>
          <w:tcPr>
            <w:tcW w:w="9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(58,438)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(58,438)</w:t>
            </w:r>
          </w:p>
        </w:tc>
      </w:tr>
      <w:tr>
        <w:trPr>
          <w:trHeight w:val="140"/>
        </w:trPr>
        <w:tc>
          <w:tcPr>
            <w:tcW w:w="34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2024</w:t>
            </w:r>
          </w:p>
        </w:tc>
        <w:tc>
          <w:tcPr>
            <w:tcW w:w="9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35,447,370</w:t>
            </w:r>
          </w:p>
        </w:tc>
        <w:tc>
          <w:tcPr>
            <w:tcW w:w="9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$ 355</w:t>
            </w:r>
          </w:p>
        </w:tc>
        <w:tc>
          <w:tcPr>
            <w:tcW w:w="102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8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$ 680,743</w:t>
            </w:r>
          </w:p>
        </w:tc>
        <w:tc>
          <w:tcPr>
            <w:tcW w:w="106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$ 773,759</w:t>
            </w:r>
          </w:p>
        </w:tc>
        <w:tc>
          <w:tcPr>
            <w:tcW w:w="9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$ 8,624</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$ 1,463,481</w:t>
            </w:r>
          </w:p>
        </w:tc>
      </w:tr>
      <w:tr>
        <w:trPr>
          <w:trHeight w:val="144"/>
        </w:trPr>
        <w:tc>
          <w:tcPr>
            <w:tcW w:w="3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Stock-based compensation expense (Note 17)</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466,258</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4</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13,960</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13,964</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Issuance of Class A common shares, net of offering costs (Note 16)</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(133)</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(133)</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Issuance of Series B Preferred shares, net of offering costs (Note 16)</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(239)</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(239)</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Other comprehensive loss</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(6,847)</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(6,847)</w:t>
            </w:r>
          </w:p>
        </w:tc>
      </w:tr>
      <w:tr>
        <w:trPr>
          <w:trHeight w:val="144"/>
        </w:trPr>
        <w:tc>
          <w:tcPr>
            <w:tcW w:w="34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Net Income for the year</w:t>
            </w:r>
          </w:p>
        </w:tc>
        <w:tc>
          <w:tcPr>
            <w:tcW w:w="90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416,455</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416,455</w:t>
            </w:r>
          </w:p>
        </w:tc>
      </w:tr>
      <w:tr>
        <w:trPr>
          <w:trHeight w:val="144"/>
        </w:trPr>
        <w:tc>
          <w:tcPr>
            <w:tcW w:w="34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Series B Preferred Shares dividend (Note 16)</w:t>
            </w:r>
          </w:p>
        </w:tc>
        <w:tc>
          <w:tcPr>
            <w:tcW w:w="9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(9,536)</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(9,536)</w:t>
            </w:r>
          </w:p>
        </w:tc>
      </w:tr>
      <w:tr>
        <w:trPr>
          <w:trHeight w:val="144"/>
        </w:trPr>
        <w:tc>
          <w:tcPr>
            <w:tcW w:w="34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Class A common shares dividend (Note 16)</w:t>
            </w:r>
          </w:p>
        </w:tc>
        <w:tc>
          <w:tcPr>
            <w:tcW w:w="9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(76,061)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(76,061)</w:t>
            </w:r>
          </w:p>
        </w:tc>
      </w:tr>
      <w:tr>
        <w:trPr>
          <w:trHeight w:val="140"/>
        </w:trPr>
        <w:tc>
          <w:tcPr>
            <w:tcW w:w="3420" w:type="dxa"/>
            <w:vAlign w:val="bottom"/>
            <w:tcBorders>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Balance at December 31, 2025</w:t>
            </w:r>
          </w:p>
        </w:tc>
        <w:tc>
          <w:tcPr>
            <w:tcW w:w="9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35,913,628</w:t>
            </w:r>
          </w:p>
        </w:tc>
        <w:tc>
          <w:tcPr>
            <w:tcW w:w="9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43,592</w:t>
            </w:r>
          </w:p>
        </w:tc>
        <w:tc>
          <w:tcPr>
            <w:tcW w:w="9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$ 359</w:t>
            </w:r>
          </w:p>
        </w:tc>
        <w:tc>
          <w:tcPr>
            <w:tcW w:w="10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p>
        </w:tc>
        <w:tc>
          <w:tcPr>
            <w:tcW w:w="8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$ 694,331</w:t>
            </w:r>
          </w:p>
        </w:tc>
        <w:tc>
          <w:tcPr>
            <w:tcW w:w="10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$ 1,104,617</w:t>
            </w:r>
          </w:p>
        </w:tc>
        <w:tc>
          <w:tcPr>
            <w:tcW w:w="9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$ 1,777</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$ 1,801,084</w:t>
            </w: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See accompanying notes to Consolidated Financial Statements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 Description of Business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Company’s business is to own and charter out containerships to leading liner companies.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August 14, 2008, Global Ship Lease, Inc. (the “Company”) merged indirectly with Marathon Acquisition Corp., a company then listed on The American Stock Exchange, and with the pre-existing Global Ship Lease, Inc. GSL Holdings, Inc. was the surviving entity (the “Marathon Merger”), changed its name to Global Ship Lease, Inc. and became listed on The New York Stock Exchange (the “NYSE”).</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November 15, 2018, the Company completed a transformative transaction and acquired Poseidon Containers’ 20 containerships, one of which, the Argos, was contracted to be sold, which sale was completed in December 2018, (the “Poseidon Transaction”).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In 2021, the Company purchased 23 vessels. The Company purchased seven containerships of approximately 6,000 TEU each (the “Seven Vessels”), 12 containerships from Borealis Finance LLC (the “Twelve Vessels”) and four 5,470 TEU Panamax containerships (the “Four Vessels”). Also on June 30, 2021, vessel La Tour was sold.</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During the second quarter of 2023, the Company purchased four 8,544 TEU vessels for an aggregate purchase price of $123,300, which were delivered on various dates in May and June 2023. Also on March 23, 2023, GSL Amstel was sold.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fourth quarter of 2024, the Company agreed to purchase four high-reefer ECO 9,019 TEU vessels for an aggregate price of $273,891, of which three were delivered on various dates in December 2024.</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the first quarter of 2025, the fourth ECO 9,019 TEU vessel was delivered in January 2025, and the Company sold also three vessels Tasman, Keta and Akiteta. In May 2025, Dimitris Y was contracted to be sold and was delivered to the buyers on October 13, 2025 (see Note 4). During the fourth quarter of 2025, the Company also agreed to purchase three ECO 8,586 TEU containerships (the “Three Vessels”) for an aggregate purchase price of $90,000, of which two were delivered on various dates in December 2025 and the third one on January 9, 2026.</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Following the above-mentioned additions and the sale of vessels in 2021, 2023, 2024 and 2025, the Company’s fleet comprises 70 containerships with average age as at December 31, 2025, weighted by TEU capacity, of 18.0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information about the 70 vessels owned as at December 31, 2025.</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34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Company Name </w:t>
            </w:r>
            <w:r>
              <w:rPr>
                <w:rFonts w:ascii="Times New Roman" w:cs="Times New Roman" w:eastAsia="Times New Roman" w:hAnsi="Times New Roman"/>
                <w:sz w:val="19"/>
                <w:szCs w:val="19"/>
                <w:b w:val="1"/>
                <w:bCs w:val="1"/>
                <w:color w:val="auto"/>
                <w:vertAlign w:val="superscript"/>
              </w:rPr>
              <w:t>(1)</w:t>
            </w:r>
          </w:p>
        </w:tc>
        <w:tc>
          <w:tcPr>
            <w:tcW w:w="2960" w:type="dxa"/>
            <w:vAlign w:val="bottom"/>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Country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Vessel</w:t>
            </w:r>
          </w:p>
        </w:tc>
        <w:tc>
          <w:tcPr>
            <w:tcW w:w="14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b w:val="1"/>
                <w:bCs w:val="1"/>
                <w:color w:val="auto"/>
              </w:rPr>
              <w:t xml:space="preserve">Capacity in TEUs </w:t>
            </w:r>
            <w:r>
              <w:rPr>
                <w:rFonts w:ascii="Times New Roman" w:cs="Times New Roman" w:eastAsia="Times New Roman" w:hAnsi="Times New Roman"/>
                <w:sz w:val="19"/>
                <w:szCs w:val="19"/>
                <w:b w:val="1"/>
                <w:bCs w:val="1"/>
                <w:color w:val="auto"/>
                <w:vertAlign w:val="superscript"/>
              </w:rPr>
              <w:t>(2)</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4"/>
              </w:rPr>
              <w:t>Year</w:t>
            </w:r>
          </w:p>
        </w:tc>
        <w:tc>
          <w:tcPr>
            <w:tcW w:w="1280" w:type="dxa"/>
            <w:vAlign w:val="bottom"/>
          </w:tcPr>
          <w:p>
            <w:pPr>
              <w:jc w:val="center"/>
              <w:ind w:left="100"/>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0" w:type="dxa"/>
            <w:vAlign w:val="bottom"/>
          </w:tcPr>
          <w:p>
            <w:pPr>
              <w:spacing w:after="0"/>
              <w:rPr>
                <w:sz w:val="1"/>
                <w:szCs w:val="1"/>
                <w:color w:val="auto"/>
              </w:rPr>
            </w:pPr>
          </w:p>
        </w:tc>
      </w:tr>
      <w:tr>
        <w:trPr>
          <w:trHeight w:val="123"/>
        </w:trPr>
        <w:tc>
          <w:tcPr>
            <w:tcW w:w="3340" w:type="dxa"/>
            <w:vAlign w:val="bottom"/>
            <w:vMerge w:val="continue"/>
          </w:tcPr>
          <w:p>
            <w:pPr>
              <w:spacing w:after="0"/>
              <w:rPr>
                <w:sz w:val="10"/>
                <w:szCs w:val="10"/>
                <w:color w:val="auto"/>
              </w:rPr>
            </w:pPr>
          </w:p>
        </w:tc>
        <w:tc>
          <w:tcPr>
            <w:tcW w:w="2960" w:type="dxa"/>
            <w:vAlign w:val="bottom"/>
            <w:vMerge w:val="restart"/>
          </w:tcPr>
          <w:p>
            <w:pPr>
              <w:jc w:val="center"/>
              <w:ind w:left="1620"/>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460" w:type="dxa"/>
            <w:vAlign w:val="bottom"/>
            <w:vMerge w:val="continue"/>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Built</w:t>
            </w:r>
          </w:p>
        </w:tc>
        <w:tc>
          <w:tcPr>
            <w:tcW w:w="1280" w:type="dxa"/>
            <w:vAlign w:val="bottom"/>
            <w:vMerge w:val="restart"/>
          </w:tcPr>
          <w:p>
            <w:pPr>
              <w:jc w:val="center"/>
              <w:ind w:left="60"/>
              <w:spacing w:after="0"/>
              <w:rPr>
                <w:sz w:val="20"/>
                <w:szCs w:val="20"/>
                <w:color w:val="auto"/>
              </w:rPr>
            </w:pPr>
            <w:r>
              <w:rPr>
                <w:rFonts w:ascii="Times New Roman" w:cs="Times New Roman" w:eastAsia="Times New Roman" w:hAnsi="Times New Roman"/>
                <w:sz w:val="12"/>
                <w:szCs w:val="12"/>
                <w:b w:val="1"/>
                <w:bCs w:val="1"/>
                <w:color w:val="auto"/>
              </w:rPr>
              <w:t>Expiry Date</w:t>
            </w:r>
          </w:p>
        </w:tc>
        <w:tc>
          <w:tcPr>
            <w:tcW w:w="0" w:type="dxa"/>
            <w:vAlign w:val="bottom"/>
          </w:tcPr>
          <w:p>
            <w:pPr>
              <w:spacing w:after="0"/>
              <w:rPr>
                <w:sz w:val="1"/>
                <w:szCs w:val="1"/>
                <w:color w:val="auto"/>
              </w:rPr>
            </w:pPr>
          </w:p>
        </w:tc>
      </w:tr>
      <w:tr>
        <w:trPr>
          <w:trHeight w:val="36"/>
        </w:trPr>
        <w:tc>
          <w:tcPr>
            <w:tcW w:w="3340" w:type="dxa"/>
            <w:vAlign w:val="bottom"/>
            <w:tcBorders>
              <w:bottom w:val="single" w:sz="8" w:color="auto"/>
            </w:tcBorders>
          </w:tcPr>
          <w:p>
            <w:pPr>
              <w:spacing w:after="0"/>
              <w:rPr>
                <w:sz w:val="3"/>
                <w:szCs w:val="3"/>
                <w:color w:val="auto"/>
              </w:rPr>
            </w:pPr>
          </w:p>
        </w:tc>
        <w:tc>
          <w:tcPr>
            <w:tcW w:w="2960" w:type="dxa"/>
            <w:vAlign w:val="bottom"/>
            <w:tcBorders>
              <w:bottom w:val="single" w:sz="8" w:color="auto"/>
            </w:tcBorders>
            <w:vMerge w:val="continue"/>
          </w:tcPr>
          <w:p>
            <w:pPr>
              <w:spacing w:after="0"/>
              <w:rPr>
                <w:sz w:val="3"/>
                <w:szCs w:val="3"/>
                <w:color w:val="auto"/>
              </w:rPr>
            </w:pPr>
          </w:p>
        </w:tc>
        <w:tc>
          <w:tcPr>
            <w:tcW w:w="1480" w:type="dxa"/>
            <w:vAlign w:val="bottom"/>
            <w:tcBorders>
              <w:bottom w:val="single" w:sz="8" w:color="auto"/>
            </w:tcBorders>
            <w:vMerge w:val="continue"/>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vMerge w:val="continue"/>
          </w:tcPr>
          <w:p>
            <w:pPr>
              <w:spacing w:after="0"/>
              <w:rPr>
                <w:sz w:val="3"/>
                <w:szCs w:val="3"/>
                <w:color w:val="auto"/>
              </w:rPr>
            </w:pPr>
          </w:p>
        </w:tc>
        <w:tc>
          <w:tcPr>
            <w:tcW w:w="12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334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Global Ship Lease 54 LLC</w:t>
            </w:r>
          </w:p>
        </w:tc>
        <w:tc>
          <w:tcPr>
            <w:tcW w:w="2960" w:type="dxa"/>
            <w:vAlign w:val="bottom"/>
            <w:shd w:val="clear" w:color="auto" w:fill="CCEEFF"/>
          </w:tcPr>
          <w:p>
            <w:pPr>
              <w:jc w:val="center"/>
              <w:ind w:left="1600"/>
              <w:spacing w:after="0" w:line="133" w:lineRule="exact"/>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CMA CGM Thalassa</w:t>
            </w:r>
          </w:p>
        </w:tc>
        <w:tc>
          <w:tcPr>
            <w:tcW w:w="146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11,040</w:t>
            </w:r>
          </w:p>
        </w:tc>
        <w:tc>
          <w:tcPr>
            <w:tcW w:w="780" w:type="dxa"/>
            <w:vAlign w:val="bottom"/>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2008</w:t>
            </w:r>
          </w:p>
        </w:tc>
        <w:tc>
          <w:tcPr>
            <w:tcW w:w="1280" w:type="dxa"/>
            <w:vAlign w:val="bottom"/>
            <w:shd w:val="clear" w:color="auto" w:fill="CCEEFF"/>
          </w:tcPr>
          <w:p>
            <w:pPr>
              <w:jc w:val="center"/>
              <w:ind w:left="80"/>
              <w:spacing w:after="0" w:line="133" w:lineRule="exact"/>
              <w:rPr>
                <w:sz w:val="20"/>
                <w:szCs w:val="20"/>
                <w:color w:val="auto"/>
              </w:rPr>
            </w:pPr>
            <w:r>
              <w:rPr>
                <w:rFonts w:ascii="Times New Roman" w:cs="Times New Roman" w:eastAsia="Times New Roman" w:hAnsi="Times New Roman"/>
                <w:sz w:val="12"/>
                <w:szCs w:val="12"/>
                <w:color w:val="auto"/>
                <w:w w:val="97"/>
              </w:rPr>
              <w:t>3Q28</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Laertis Marine LLC</w:t>
            </w:r>
          </w:p>
        </w:tc>
        <w:tc>
          <w:tcPr>
            <w:tcW w:w="29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rPr>
              <w:t>Marshall Islands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Zim Norfolk</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9,115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2Q32 </w:t>
            </w:r>
            <w:r>
              <w:rPr>
                <w:rFonts w:ascii="Times New Roman" w:cs="Times New Roman" w:eastAsia="Times New Roman" w:hAnsi="Times New Roman"/>
                <w:sz w:val="19"/>
                <w:szCs w:val="19"/>
                <w:color w:val="auto"/>
                <w:w w:val="94"/>
                <w:vertAlign w:val="superscript"/>
              </w:rPr>
              <w:t>(4)</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Penelope Marine LLC</w:t>
            </w:r>
          </w:p>
        </w:tc>
        <w:tc>
          <w:tcPr>
            <w:tcW w:w="2960" w:type="dxa"/>
            <w:vAlign w:val="bottom"/>
            <w:shd w:val="clear" w:color="auto" w:fill="CCEEFF"/>
          </w:tcPr>
          <w:p>
            <w:pPr>
              <w:jc w:val="center"/>
              <w:ind w:left="1620"/>
              <w:spacing w:after="0"/>
              <w:rPr>
                <w:sz w:val="20"/>
                <w:szCs w:val="20"/>
                <w:color w:val="auto"/>
              </w:rPr>
            </w:pPr>
            <w:r>
              <w:rPr>
                <w:rFonts w:ascii="Times New Roman" w:cs="Times New Roman" w:eastAsia="Times New Roman" w:hAnsi="Times New Roman"/>
                <w:sz w:val="12"/>
                <w:szCs w:val="12"/>
                <w:color w:val="auto"/>
              </w:rPr>
              <w:t>Marshall Islands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Zim Xiamen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9,115</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3Q32 </w:t>
            </w:r>
            <w:r>
              <w:rPr>
                <w:rFonts w:ascii="Times New Roman" w:cs="Times New Roman" w:eastAsia="Times New Roman" w:hAnsi="Times New Roman"/>
                <w:sz w:val="19"/>
                <w:szCs w:val="19"/>
                <w:color w:val="auto"/>
                <w:w w:val="94"/>
                <w:vertAlign w:val="superscript"/>
              </w:rPr>
              <w:t>(4)</w:t>
            </w:r>
          </w:p>
        </w:tc>
        <w:tc>
          <w:tcPr>
            <w:tcW w:w="0" w:type="dxa"/>
            <w:vAlign w:val="bottom"/>
          </w:tcPr>
          <w:p>
            <w:pPr>
              <w:spacing w:after="0"/>
              <w:rPr>
                <w:sz w:val="1"/>
                <w:szCs w:val="1"/>
                <w:color w:val="auto"/>
              </w:rPr>
            </w:pPr>
          </w:p>
        </w:tc>
      </w:tr>
      <w:tr>
        <w:trPr>
          <w:trHeight w:val="144"/>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Telemachus Marine LLC</w:t>
            </w:r>
          </w:p>
        </w:tc>
        <w:tc>
          <w:tcPr>
            <w:tcW w:w="29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rPr>
              <w:t>Marshall Islands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Anthea Y</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9,115</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7"/>
              </w:rPr>
              <w:t>4Q28</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78 LLC </w:t>
            </w:r>
            <w:r>
              <w:rPr>
                <w:rFonts w:ascii="Times New Roman" w:cs="Times New Roman" w:eastAsia="Times New Roman" w:hAnsi="Times New Roman"/>
                <w:sz w:val="19"/>
                <w:szCs w:val="19"/>
                <w:color w:val="auto"/>
                <w:vertAlign w:val="superscript"/>
              </w:rPr>
              <w:t>(3)</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Sydney Express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3Q27 </w:t>
            </w:r>
            <w:r>
              <w:rPr>
                <w:rFonts w:ascii="Times New Roman" w:cs="Times New Roman" w:eastAsia="Times New Roman" w:hAnsi="Times New Roman"/>
                <w:sz w:val="19"/>
                <w:szCs w:val="19"/>
                <w:color w:val="auto"/>
                <w:w w:val="94"/>
                <w:vertAlign w:val="superscript"/>
              </w:rPr>
              <w:t>(5)</w:t>
            </w:r>
          </w:p>
        </w:tc>
        <w:tc>
          <w:tcPr>
            <w:tcW w:w="0" w:type="dxa"/>
            <w:vAlign w:val="bottom"/>
          </w:tcPr>
          <w:p>
            <w:pPr>
              <w:spacing w:after="0"/>
              <w:rPr>
                <w:sz w:val="1"/>
                <w:szCs w:val="1"/>
                <w:color w:val="auto"/>
              </w:rPr>
            </w:pPr>
          </w:p>
        </w:tc>
      </w:tr>
      <w:tr>
        <w:trPr>
          <w:trHeight w:val="171"/>
        </w:trPr>
        <w:tc>
          <w:tcPr>
            <w:tcW w:w="33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79 LLC </w:t>
            </w:r>
            <w:r>
              <w:rPr>
                <w:rFonts w:ascii="Times New Roman" w:cs="Times New Roman" w:eastAsia="Times New Roman" w:hAnsi="Times New Roman"/>
                <w:sz w:val="19"/>
                <w:szCs w:val="19"/>
                <w:color w:val="auto"/>
                <w:vertAlign w:val="superscript"/>
              </w:rPr>
              <w:t>(3)</w:t>
            </w:r>
          </w:p>
        </w:tc>
        <w:tc>
          <w:tcPr>
            <w:tcW w:w="296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Istanbul Express</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2016</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3Q26 </w:t>
            </w:r>
            <w:r>
              <w:rPr>
                <w:rFonts w:ascii="Times New Roman" w:cs="Times New Roman" w:eastAsia="Times New Roman" w:hAnsi="Times New Roman"/>
                <w:sz w:val="19"/>
                <w:szCs w:val="19"/>
                <w:color w:val="auto"/>
                <w:w w:val="94"/>
                <w:vertAlign w:val="superscript"/>
              </w:rPr>
              <w:t>(5)</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77 LLC </w:t>
            </w:r>
            <w:r>
              <w:rPr>
                <w:rFonts w:ascii="Times New Roman" w:cs="Times New Roman" w:eastAsia="Times New Roman" w:hAnsi="Times New Roman"/>
                <w:sz w:val="19"/>
                <w:szCs w:val="19"/>
                <w:color w:val="auto"/>
                <w:vertAlign w:val="superscript"/>
              </w:rPr>
              <w:t>(3)</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Bremerhaven Express</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2Q27 </w:t>
            </w:r>
            <w:r>
              <w:rPr>
                <w:rFonts w:ascii="Times New Roman" w:cs="Times New Roman" w:eastAsia="Times New Roman" w:hAnsi="Times New Roman"/>
                <w:sz w:val="19"/>
                <w:szCs w:val="19"/>
                <w:color w:val="auto"/>
                <w:w w:val="94"/>
                <w:vertAlign w:val="superscript"/>
              </w:rPr>
              <w:t>(5)</w:t>
            </w:r>
          </w:p>
        </w:tc>
        <w:tc>
          <w:tcPr>
            <w:tcW w:w="0" w:type="dxa"/>
            <w:vAlign w:val="bottom"/>
          </w:tcPr>
          <w:p>
            <w:pPr>
              <w:spacing w:after="0"/>
              <w:rPr>
                <w:sz w:val="1"/>
                <w:szCs w:val="1"/>
                <w:color w:val="auto"/>
              </w:rPr>
            </w:pPr>
          </w:p>
        </w:tc>
      </w:tr>
      <w:tr>
        <w:trPr>
          <w:trHeight w:val="171"/>
        </w:trPr>
        <w:tc>
          <w:tcPr>
            <w:tcW w:w="334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76 LLC </w:t>
            </w:r>
            <w:r>
              <w:rPr>
                <w:rFonts w:ascii="Times New Roman" w:cs="Times New Roman" w:eastAsia="Times New Roman" w:hAnsi="Times New Roman"/>
                <w:sz w:val="19"/>
                <w:szCs w:val="19"/>
                <w:color w:val="auto"/>
                <w:vertAlign w:val="superscript"/>
              </w:rPr>
              <w:t>(3)</w:t>
            </w:r>
          </w:p>
        </w:tc>
        <w:tc>
          <w:tcPr>
            <w:tcW w:w="296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Czech</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9,019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4Q26 </w:t>
            </w:r>
            <w:r>
              <w:rPr>
                <w:rFonts w:ascii="Times New Roman" w:cs="Times New Roman" w:eastAsia="Times New Roman" w:hAnsi="Times New Roman"/>
                <w:sz w:val="19"/>
                <w:szCs w:val="19"/>
                <w:color w:val="auto"/>
                <w:w w:val="94"/>
                <w:vertAlign w:val="superscript"/>
              </w:rPr>
              <w:t>(5)</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53 LLC</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MSC Tianjin</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8,603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2005</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3Q30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52 LLC</w:t>
            </w:r>
          </w:p>
        </w:tc>
        <w:tc>
          <w:tcPr>
            <w:tcW w:w="296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MSC Qingdao</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8,603</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4Q30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43 LLC</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Ningbo</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8,603</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3Q30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72 LLC</w:t>
            </w:r>
          </w:p>
        </w:tc>
        <w:tc>
          <w:tcPr>
            <w:tcW w:w="296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Alexandra</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8,599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2Q28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73 LLC</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GSL Sofia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8,599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3Q28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74 LLC</w:t>
            </w:r>
          </w:p>
        </w:tc>
        <w:tc>
          <w:tcPr>
            <w:tcW w:w="296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Effie</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8,599</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3Q28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75 LLC</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Lydia</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8,599</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2Q28 </w:t>
            </w:r>
            <w:r>
              <w:rPr>
                <w:rFonts w:ascii="Times New Roman" w:cs="Times New Roman" w:eastAsia="Times New Roman" w:hAnsi="Times New Roman"/>
                <w:sz w:val="19"/>
                <w:szCs w:val="19"/>
                <w:color w:val="auto"/>
                <w:w w:val="94"/>
                <w:vertAlign w:val="superscript"/>
              </w:rPr>
              <w:t>(7)</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80 LLC</w:t>
            </w:r>
          </w:p>
        </w:tc>
        <w:tc>
          <w:tcPr>
            <w:tcW w:w="2960" w:type="dxa"/>
            <w:vAlign w:val="bottom"/>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Lotus A</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8,586</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2Q26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81 LLC</w:t>
            </w:r>
          </w:p>
        </w:tc>
        <w:tc>
          <w:tcPr>
            <w:tcW w:w="2960" w:type="dxa"/>
            <w:vAlign w:val="bottom"/>
            <w:shd w:val="clear" w:color="auto" w:fill="CCEEFF"/>
          </w:tcPr>
          <w:p>
            <w:pPr>
              <w:jc w:val="center"/>
              <w:ind w:left="1600"/>
              <w:spacing w:after="0"/>
              <w:rPr>
                <w:sz w:val="20"/>
                <w:szCs w:val="20"/>
                <w:color w:val="auto"/>
              </w:rPr>
            </w:pPr>
            <w:r>
              <w:rPr>
                <w:rFonts w:ascii="Times New Roman" w:cs="Times New Roman" w:eastAsia="Times New Roman" w:hAnsi="Times New Roman"/>
                <w:sz w:val="12"/>
                <w:szCs w:val="12"/>
                <w:color w:val="auto"/>
                <w:w w:val="97"/>
              </w:rPr>
              <w:t>Liberia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Koi</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8,586</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1"/>
              </w:rPr>
              <w:t>2011</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1Q26 </w:t>
            </w:r>
            <w:r>
              <w:rPr>
                <w:rFonts w:ascii="Times New Roman" w:cs="Times New Roman" w:eastAsia="Times New Roman" w:hAnsi="Times New Roman"/>
                <w:sz w:val="19"/>
                <w:szCs w:val="19"/>
                <w:color w:val="auto"/>
                <w:w w:val="94"/>
                <w:vertAlign w:val="superscript"/>
              </w:rPr>
              <w:t>(8)</w:t>
            </w: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30 Limited</w:t>
            </w:r>
          </w:p>
        </w:tc>
        <w:tc>
          <w:tcPr>
            <w:tcW w:w="29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rPr>
              <w:t>Marshall Islands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Eleni</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7,847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80" w:type="dxa"/>
            <w:vAlign w:val="bottom"/>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4Q27 </w:t>
            </w:r>
            <w:r>
              <w:rPr>
                <w:rFonts w:ascii="Times New Roman" w:cs="Times New Roman" w:eastAsia="Times New Roman" w:hAnsi="Times New Roman"/>
                <w:sz w:val="19"/>
                <w:szCs w:val="19"/>
                <w:color w:val="auto"/>
                <w:w w:val="94"/>
                <w:vertAlign w:val="superscript"/>
              </w:rPr>
              <w:t>(9)</w:t>
            </w:r>
          </w:p>
        </w:tc>
        <w:tc>
          <w:tcPr>
            <w:tcW w:w="0" w:type="dxa"/>
            <w:vAlign w:val="bottom"/>
          </w:tcPr>
          <w:p>
            <w:pPr>
              <w:spacing w:after="0"/>
              <w:rPr>
                <w:sz w:val="1"/>
                <w:szCs w:val="1"/>
                <w:color w:val="auto"/>
              </w:rPr>
            </w:pPr>
          </w:p>
        </w:tc>
      </w:tr>
      <w:tr>
        <w:trPr>
          <w:trHeight w:val="17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31 Limited</w:t>
            </w:r>
          </w:p>
        </w:tc>
        <w:tc>
          <w:tcPr>
            <w:tcW w:w="2960" w:type="dxa"/>
            <w:vAlign w:val="bottom"/>
            <w:shd w:val="clear" w:color="auto" w:fill="CCEEFF"/>
          </w:tcPr>
          <w:p>
            <w:pPr>
              <w:jc w:val="center"/>
              <w:ind w:left="1620"/>
              <w:spacing w:after="0"/>
              <w:rPr>
                <w:sz w:val="20"/>
                <w:szCs w:val="20"/>
                <w:color w:val="auto"/>
              </w:rPr>
            </w:pPr>
            <w:r>
              <w:rPr>
                <w:rFonts w:ascii="Times New Roman" w:cs="Times New Roman" w:eastAsia="Times New Roman" w:hAnsi="Times New Roman"/>
                <w:sz w:val="12"/>
                <w:szCs w:val="12"/>
                <w:color w:val="auto"/>
              </w:rPr>
              <w:t>Marshall Islands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Kalliopi</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7,847</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80" w:type="dxa"/>
            <w:vAlign w:val="bottom"/>
            <w:shd w:val="clear" w:color="auto" w:fill="CCEEFF"/>
          </w:tcPr>
          <w:p>
            <w:pPr>
              <w:jc w:val="center"/>
              <w:ind w:left="80"/>
              <w:spacing w:after="0" w:line="171" w:lineRule="exact"/>
              <w:rPr>
                <w:sz w:val="20"/>
                <w:szCs w:val="20"/>
                <w:color w:val="auto"/>
              </w:rPr>
            </w:pPr>
            <w:r>
              <w:rPr>
                <w:rFonts w:ascii="Times New Roman" w:cs="Times New Roman" w:eastAsia="Times New Roman" w:hAnsi="Times New Roman"/>
                <w:sz w:val="12"/>
                <w:szCs w:val="12"/>
                <w:color w:val="auto"/>
                <w:w w:val="94"/>
              </w:rPr>
              <w:t xml:space="preserve">1Q28 </w:t>
            </w:r>
            <w:r>
              <w:rPr>
                <w:rFonts w:ascii="Times New Roman" w:cs="Times New Roman" w:eastAsia="Times New Roman" w:hAnsi="Times New Roman"/>
                <w:sz w:val="19"/>
                <w:szCs w:val="19"/>
                <w:color w:val="auto"/>
                <w:w w:val="94"/>
                <w:vertAlign w:val="superscript"/>
              </w:rPr>
              <w:t>(9)</w:t>
            </w:r>
          </w:p>
        </w:tc>
        <w:tc>
          <w:tcPr>
            <w:tcW w:w="0" w:type="dxa"/>
            <w:vAlign w:val="bottom"/>
          </w:tcPr>
          <w:p>
            <w:pPr>
              <w:spacing w:after="0"/>
              <w:rPr>
                <w:sz w:val="1"/>
                <w:szCs w:val="1"/>
                <w:color w:val="auto"/>
              </w:rPr>
            </w:pPr>
          </w:p>
        </w:tc>
      </w:tr>
      <w:tr>
        <w:trPr>
          <w:trHeight w:val="263"/>
        </w:trPr>
        <w:tc>
          <w:tcPr>
            <w:tcW w:w="334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32 Limited</w:t>
            </w:r>
          </w:p>
        </w:tc>
        <w:tc>
          <w:tcPr>
            <w:tcW w:w="2960" w:type="dxa"/>
            <w:vAlign w:val="bottom"/>
          </w:tcPr>
          <w:p>
            <w:pPr>
              <w:jc w:val="center"/>
              <w:ind w:left="1620"/>
              <w:spacing w:after="0"/>
              <w:rPr>
                <w:sz w:val="20"/>
                <w:szCs w:val="20"/>
                <w:color w:val="auto"/>
              </w:rPr>
            </w:pPr>
            <w:r>
              <w:rPr>
                <w:rFonts w:ascii="Times New Roman" w:cs="Times New Roman" w:eastAsia="Times New Roman" w:hAnsi="Times New Roman"/>
                <w:sz w:val="12"/>
                <w:szCs w:val="12"/>
                <w:color w:val="auto"/>
              </w:rPr>
              <w:t>Marshall Islands</w:t>
            </w:r>
          </w:p>
        </w:tc>
        <w:tc>
          <w:tcPr>
            <w:tcW w:w="14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GSL Grania</w:t>
            </w:r>
          </w:p>
        </w:tc>
        <w:tc>
          <w:tcPr>
            <w:tcW w:w="14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7,847</w:t>
            </w:r>
          </w:p>
        </w:tc>
        <w:tc>
          <w:tcPr>
            <w:tcW w:w="7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80" w:type="dxa"/>
            <w:vAlign w:val="bottom"/>
          </w:tcPr>
          <w:p>
            <w:pPr>
              <w:jc w:val="center"/>
              <w:ind w:left="80"/>
              <w:spacing w:after="0"/>
              <w:rPr>
                <w:sz w:val="20"/>
                <w:szCs w:val="20"/>
                <w:color w:val="auto"/>
              </w:rPr>
            </w:pPr>
            <w:r>
              <w:rPr>
                <w:rFonts w:ascii="Times New Roman" w:cs="Times New Roman" w:eastAsia="Times New Roman" w:hAnsi="Times New Roman"/>
                <w:sz w:val="12"/>
                <w:szCs w:val="12"/>
                <w:color w:val="auto"/>
                <w:w w:val="94"/>
              </w:rPr>
              <w:t xml:space="preserve">1Q28 </w:t>
            </w:r>
            <w:r>
              <w:rPr>
                <w:rFonts w:ascii="Times New Roman" w:cs="Times New Roman" w:eastAsia="Times New Roman" w:hAnsi="Times New Roman"/>
                <w:sz w:val="19"/>
                <w:szCs w:val="19"/>
                <w:color w:val="auto"/>
                <w:w w:val="94"/>
                <w:vertAlign w:val="superscript"/>
              </w:rPr>
              <w:t>(9)</w:t>
            </w:r>
          </w:p>
        </w:tc>
        <w:tc>
          <w:tcPr>
            <w:tcW w:w="0" w:type="dxa"/>
            <w:vAlign w:val="bottom"/>
          </w:tcPr>
          <w:p>
            <w:pPr>
              <w:spacing w:after="0"/>
              <w:rPr>
                <w:sz w:val="1"/>
                <w:szCs w:val="1"/>
                <w:color w:val="auto"/>
              </w:rPr>
            </w:pPr>
          </w:p>
        </w:tc>
      </w:tr>
      <w:tr>
        <w:trPr>
          <w:trHeight w:val="322"/>
        </w:trPr>
        <w:tc>
          <w:tcPr>
            <w:tcW w:w="3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ind w:left="2220"/>
              <w:spacing w:after="0"/>
              <w:rPr>
                <w:sz w:val="20"/>
                <w:szCs w:val="20"/>
                <w:color w:val="auto"/>
              </w:rPr>
            </w:pPr>
            <w:r>
              <w:rPr>
                <w:rFonts w:ascii="Times New Roman" w:cs="Times New Roman" w:eastAsia="Times New Roman" w:hAnsi="Times New Roman"/>
                <w:sz w:val="12"/>
                <w:szCs w:val="12"/>
                <w:color w:val="auto"/>
              </w:rPr>
              <w:t>F-9</w:t>
            </w:r>
          </w:p>
        </w:tc>
        <w:tc>
          <w:tcPr>
            <w:tcW w:w="14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01" w:right="2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 Description of Business (continued)</w:t>
            </w:r>
          </w:p>
        </w:tc>
        <w:tc>
          <w:tcPr>
            <w:tcW w:w="27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7"/>
        </w:trPr>
        <w:tc>
          <w:tcPr>
            <w:tcW w:w="3580" w:type="dxa"/>
            <w:vAlign w:val="bottom"/>
            <w:vMerge w:val="restart"/>
          </w:tcPr>
          <w:p>
            <w:pPr>
              <w:spacing w:after="0"/>
              <w:rPr>
                <w:sz w:val="20"/>
                <w:szCs w:val="20"/>
                <w:color w:val="auto"/>
              </w:rPr>
            </w:pPr>
            <w:r>
              <w:rPr>
                <w:rFonts w:ascii="Times New Roman" w:cs="Times New Roman" w:eastAsia="Times New Roman" w:hAnsi="Times New Roman"/>
                <w:sz w:val="12"/>
                <w:szCs w:val="12"/>
                <w:b w:val="1"/>
                <w:bCs w:val="1"/>
                <w:color w:val="auto"/>
              </w:rPr>
              <w:t xml:space="preserve">Company Name </w:t>
            </w:r>
            <w:r>
              <w:rPr>
                <w:rFonts w:ascii="Times New Roman" w:cs="Times New Roman" w:eastAsia="Times New Roman" w:hAnsi="Times New Roman"/>
                <w:sz w:val="19"/>
                <w:szCs w:val="19"/>
                <w:b w:val="1"/>
                <w:bCs w:val="1"/>
                <w:color w:val="auto"/>
                <w:vertAlign w:val="superscript"/>
              </w:rPr>
              <w:t>(1)</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9"/>
              </w:rPr>
              <w:t>Country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3"/>
              </w:rPr>
              <w:t>Vessel</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 xml:space="preserve">Capacity in TEUs </w:t>
            </w:r>
            <w:r>
              <w:rPr>
                <w:rFonts w:ascii="Times New Roman" w:cs="Times New Roman" w:eastAsia="Times New Roman" w:hAnsi="Times New Roman"/>
                <w:sz w:val="19"/>
                <w:szCs w:val="19"/>
                <w:b w:val="1"/>
                <w:bCs w:val="1"/>
                <w:color w:val="auto"/>
                <w:w w:val="97"/>
                <w:vertAlign w:val="superscript"/>
              </w:rPr>
              <w:t>(2)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Earliest Charter</w:t>
            </w:r>
          </w:p>
        </w:tc>
        <w:tc>
          <w:tcPr>
            <w:tcW w:w="0" w:type="dxa"/>
            <w:vAlign w:val="bottom"/>
          </w:tcPr>
          <w:p>
            <w:pPr>
              <w:spacing w:after="0"/>
              <w:rPr>
                <w:sz w:val="1"/>
                <w:szCs w:val="1"/>
                <w:color w:val="auto"/>
              </w:rPr>
            </w:pPr>
          </w:p>
        </w:tc>
      </w:tr>
      <w:tr>
        <w:trPr>
          <w:trHeight w:val="123"/>
        </w:trPr>
        <w:tc>
          <w:tcPr>
            <w:tcW w:w="3580" w:type="dxa"/>
            <w:vAlign w:val="bottom"/>
            <w:vMerge w:val="continue"/>
          </w:tcPr>
          <w:p>
            <w:pPr>
              <w:spacing w:after="0"/>
              <w:rPr>
                <w:sz w:val="10"/>
                <w:szCs w:val="10"/>
                <w:color w:val="auto"/>
              </w:rPr>
            </w:pPr>
          </w:p>
        </w:tc>
        <w:tc>
          <w:tcPr>
            <w:tcW w:w="2700" w:type="dxa"/>
            <w:vAlign w:val="bottom"/>
            <w:vMerge w:val="restart"/>
          </w:tcPr>
          <w:p>
            <w:pPr>
              <w:jc w:val="center"/>
              <w:ind w:left="1400"/>
              <w:spacing w:after="0"/>
              <w:rPr>
                <w:sz w:val="20"/>
                <w:szCs w:val="20"/>
                <w:color w:val="auto"/>
              </w:rPr>
            </w:pPr>
            <w:r>
              <w:rPr>
                <w:rFonts w:ascii="Times New Roman" w:cs="Times New Roman" w:eastAsia="Times New Roman" w:hAnsi="Times New Roman"/>
                <w:sz w:val="12"/>
                <w:szCs w:val="12"/>
                <w:b w:val="1"/>
                <w:bCs w:val="1"/>
                <w:color w:val="auto"/>
                <w:w w:val="99"/>
              </w:rPr>
              <w:t>Incorporation</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13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220" w:type="dxa"/>
            <w:vAlign w:val="bottom"/>
            <w:vMerge w:val="restart"/>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9"/>
              </w:rPr>
              <w:t>Expiry Date</w:t>
            </w:r>
          </w:p>
        </w:tc>
        <w:tc>
          <w:tcPr>
            <w:tcW w:w="0" w:type="dxa"/>
            <w:vAlign w:val="bottom"/>
          </w:tcPr>
          <w:p>
            <w:pPr>
              <w:spacing w:after="0"/>
              <w:rPr>
                <w:sz w:val="1"/>
                <w:szCs w:val="1"/>
                <w:color w:val="auto"/>
              </w:rPr>
            </w:pPr>
          </w:p>
        </w:tc>
      </w:tr>
      <w:tr>
        <w:trPr>
          <w:trHeight w:val="36"/>
        </w:trPr>
        <w:tc>
          <w:tcPr>
            <w:tcW w:w="3580" w:type="dxa"/>
            <w:vAlign w:val="bottom"/>
            <w:tcBorders>
              <w:bottom w:val="single" w:sz="8" w:color="auto"/>
            </w:tcBorders>
          </w:tcPr>
          <w:p>
            <w:pPr>
              <w:spacing w:after="0"/>
              <w:rPr>
                <w:sz w:val="3"/>
                <w:szCs w:val="3"/>
                <w:color w:val="auto"/>
              </w:rPr>
            </w:pPr>
          </w:p>
        </w:tc>
        <w:tc>
          <w:tcPr>
            <w:tcW w:w="2700" w:type="dxa"/>
            <w:vAlign w:val="bottom"/>
            <w:tcBorders>
              <w:bottom w:val="single" w:sz="8" w:color="auto"/>
            </w:tcBorders>
            <w:vMerge w:val="continue"/>
          </w:tcPr>
          <w:p>
            <w:pPr>
              <w:spacing w:after="0"/>
              <w:rPr>
                <w:sz w:val="3"/>
                <w:szCs w:val="3"/>
                <w:color w:val="auto"/>
              </w:rPr>
            </w:pPr>
          </w:p>
        </w:tc>
        <w:tc>
          <w:tcPr>
            <w:tcW w:w="1520" w:type="dxa"/>
            <w:vAlign w:val="bottom"/>
            <w:tcBorders>
              <w:bottom w:val="single" w:sz="8" w:color="auto"/>
            </w:tcBorders>
            <w:vMerge w:val="continue"/>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Alexander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Colombia Express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7,072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shd w:val="clear" w:color="auto" w:fill="CCEEFF"/>
          </w:tcPr>
          <w:p>
            <w:pPr>
              <w:jc w:val="center"/>
              <w:ind w:left="20"/>
              <w:spacing w:after="0" w:line="160" w:lineRule="exact"/>
              <w:rPr>
                <w:sz w:val="20"/>
                <w:szCs w:val="20"/>
                <w:color w:val="auto"/>
              </w:rPr>
            </w:pPr>
            <w:r>
              <w:rPr>
                <w:rFonts w:ascii="Times New Roman" w:cs="Times New Roman" w:eastAsia="Times New Roman" w:hAnsi="Times New Roman"/>
                <w:sz w:val="11"/>
                <w:szCs w:val="11"/>
                <w:color w:val="auto"/>
                <w:w w:val="97"/>
              </w:rPr>
              <w:t xml:space="preserve">4Q28 </w:t>
            </w:r>
            <w:r>
              <w:rPr>
                <w:rFonts w:ascii="Times New Roman" w:cs="Times New Roman" w:eastAsia="Times New Roman" w:hAnsi="Times New Roman"/>
                <w:sz w:val="18"/>
                <w:szCs w:val="18"/>
                <w:color w:val="auto"/>
                <w:w w:val="97"/>
                <w:vertAlign w:val="superscript"/>
              </w:rPr>
              <w:t>(10)</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Hector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Panama Express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7,072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4Q29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Ikaros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Costa Rica Express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7,072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2Q29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Philippos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Nicaragua Express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7,072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48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CMA CGM Berlioz</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7,023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(11)</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Aristoteles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Mexico Express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6,918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Menelaos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Jamaica Express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6,918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2015</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(10)</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35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Nicoletta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6,858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36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Christen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6,858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Leonidas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Agios Dimitrios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6,572</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1"/>
              </w:rPr>
              <w:t>2011</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4"/>
              </w:rPr>
              <w:t xml:space="preserve">3Q30 </w:t>
            </w:r>
            <w:r>
              <w:rPr>
                <w:rFonts w:ascii="Times New Roman" w:cs="Times New Roman" w:eastAsia="Times New Roman" w:hAnsi="Times New Roman"/>
                <w:sz w:val="19"/>
                <w:szCs w:val="19"/>
                <w:color w:val="auto"/>
                <w:w w:val="94"/>
                <w:vertAlign w:val="superscript"/>
              </w:rPr>
              <w:t>(6)</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33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GSL Vinia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6,080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1Q28 </w:t>
            </w:r>
            <w:r>
              <w:rPr>
                <w:rFonts w:ascii="Times New Roman" w:cs="Times New Roman" w:eastAsia="Times New Roman" w:hAnsi="Times New Roman"/>
                <w:sz w:val="19"/>
                <w:szCs w:val="19"/>
                <w:color w:val="auto"/>
                <w:w w:val="90"/>
                <w:vertAlign w:val="superscript"/>
              </w:rPr>
              <w:t>(12)</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34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Christel Elisabeth</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6,080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2004</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1Q28 </w:t>
            </w:r>
            <w:r>
              <w:rPr>
                <w:rFonts w:ascii="Times New Roman" w:cs="Times New Roman" w:eastAsia="Times New Roman" w:hAnsi="Times New Roman"/>
                <w:sz w:val="19"/>
                <w:szCs w:val="19"/>
                <w:color w:val="auto"/>
                <w:w w:val="90"/>
                <w:vertAlign w:val="superscript"/>
              </w:rPr>
              <w:t>(12)</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Arcadia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GSL Arcadia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1Q29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GSL Melita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Melita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Maria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Maria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1Q30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GSL Violetta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GSL Violetta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1Q29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MYNY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MYNY</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6,008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1Q29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GSL Tegea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Tegea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5,994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GSL Dorothea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Dorothea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5,994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(13)</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Drake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Ian H</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5,936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68 LLC </w:t>
            </w:r>
            <w:r>
              <w:rPr>
                <w:rFonts w:ascii="Times New Roman" w:cs="Times New Roman" w:eastAsia="Times New Roman" w:hAnsi="Times New Roman"/>
                <w:sz w:val="19"/>
                <w:szCs w:val="19"/>
                <w:color w:val="auto"/>
                <w:vertAlign w:val="superscript"/>
              </w:rPr>
              <w:t>(3)</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GSL Kithira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2009</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58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69 LLC </w:t>
            </w:r>
            <w:r>
              <w:rPr>
                <w:rFonts w:ascii="Times New Roman" w:cs="Times New Roman" w:eastAsia="Times New Roman" w:hAnsi="Times New Roman"/>
                <w:sz w:val="19"/>
                <w:szCs w:val="19"/>
                <w:color w:val="auto"/>
                <w:vertAlign w:val="superscript"/>
              </w:rPr>
              <w:t>(3)</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Tripoli</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2009</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70 LLC </w:t>
            </w:r>
            <w:r>
              <w:rPr>
                <w:rFonts w:ascii="Times New Roman" w:cs="Times New Roman" w:eastAsia="Times New Roman" w:hAnsi="Times New Roman"/>
                <w:sz w:val="19"/>
                <w:szCs w:val="19"/>
                <w:color w:val="auto"/>
                <w:vertAlign w:val="superscript"/>
              </w:rPr>
              <w:t>(3)</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Syros</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4Q27</w:t>
            </w:r>
          </w:p>
        </w:tc>
        <w:tc>
          <w:tcPr>
            <w:tcW w:w="0" w:type="dxa"/>
            <w:vAlign w:val="bottom"/>
          </w:tcPr>
          <w:p>
            <w:pPr>
              <w:spacing w:after="0"/>
              <w:rPr>
                <w:sz w:val="1"/>
                <w:szCs w:val="1"/>
                <w:color w:val="auto"/>
              </w:rPr>
            </w:pPr>
          </w:p>
        </w:tc>
      </w:tr>
      <w:tr>
        <w:trPr>
          <w:trHeight w:val="171"/>
        </w:trPr>
        <w:tc>
          <w:tcPr>
            <w:tcW w:w="3580" w:type="dxa"/>
            <w:vAlign w:val="bottom"/>
          </w:tcPr>
          <w:p>
            <w:pPr>
              <w:spacing w:after="0" w:line="171" w:lineRule="exact"/>
              <w:rPr>
                <w:sz w:val="20"/>
                <w:szCs w:val="20"/>
                <w:color w:val="auto"/>
              </w:rPr>
            </w:pPr>
            <w:r>
              <w:rPr>
                <w:rFonts w:ascii="Times New Roman" w:cs="Times New Roman" w:eastAsia="Times New Roman" w:hAnsi="Times New Roman"/>
                <w:sz w:val="12"/>
                <w:szCs w:val="12"/>
                <w:color w:val="auto"/>
              </w:rPr>
              <w:t xml:space="preserve">Global Ship Lease 71 LLC </w:t>
            </w:r>
            <w:r>
              <w:rPr>
                <w:rFonts w:ascii="Times New Roman" w:cs="Times New Roman" w:eastAsia="Times New Roman" w:hAnsi="Times New Roman"/>
                <w:sz w:val="19"/>
                <w:szCs w:val="19"/>
                <w:color w:val="auto"/>
                <w:vertAlign w:val="superscript"/>
              </w:rPr>
              <w:t>(3)</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Tinos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5,470</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2010</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Zeus One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Orca I</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5,308</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3Q28</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Hephaestus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Dolphin II</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5,095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71"/>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47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Château d’If</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5,089</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shd w:val="clear" w:color="auto" w:fill="CCEEFF"/>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4Q29 </w:t>
            </w:r>
            <w:r>
              <w:rPr>
                <w:rFonts w:ascii="Times New Roman" w:cs="Times New Roman" w:eastAsia="Times New Roman" w:hAnsi="Times New Roman"/>
                <w:sz w:val="19"/>
                <w:szCs w:val="19"/>
                <w:color w:val="auto"/>
                <w:w w:val="90"/>
                <w:vertAlign w:val="superscript"/>
              </w:rPr>
              <w:t>(14)</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GSL Alcazar Inc.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CMA CGM Alcazar</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5,089</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3Q29 </w:t>
            </w:r>
            <w:r>
              <w:rPr>
                <w:rFonts w:ascii="Times New Roman" w:cs="Times New Roman" w:eastAsia="Times New Roman" w:hAnsi="Times New Roman"/>
                <w:sz w:val="19"/>
                <w:szCs w:val="19"/>
                <w:color w:val="auto"/>
                <w:w w:val="90"/>
                <w:vertAlign w:val="superscript"/>
              </w:rPr>
              <w:t>(14)</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55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Susan</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4,363</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2008</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50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CMA CGM Jamaica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4,298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49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CMA CGM Sambhar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4,045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51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CMA CGM America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4,045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57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Rossi</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3,421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1Q26</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58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GSL Alice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3,421</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2Q28</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60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GSL Eleftheria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3,421</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3Q28</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59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GSL Melina</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3,404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2013</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Pericles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Athena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2,980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2003</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61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Mercer</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1Q27</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62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GSL Mamitsa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2007</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1Q28</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63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GSL Lalo</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42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GSL Valerie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2,824</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2005</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64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GSL Elizabeth</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2,741</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2006</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2Q26</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Athena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Newyorker</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2,635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2Q27</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Aphrodite Marine LLC</w:t>
            </w:r>
          </w:p>
        </w:tc>
        <w:tc>
          <w:tcPr>
            <w:tcW w:w="2700" w:type="dxa"/>
            <w:vAlign w:val="bottom"/>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Nikolas</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2,635</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65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GSL Chloe</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2,546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2012</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1Q27</w:t>
            </w:r>
          </w:p>
        </w:tc>
        <w:tc>
          <w:tcPr>
            <w:tcW w:w="0" w:type="dxa"/>
            <w:vAlign w:val="bottom"/>
          </w:tcPr>
          <w:p>
            <w:pPr>
              <w:spacing w:after="0"/>
              <w:rPr>
                <w:sz w:val="1"/>
                <w:szCs w:val="1"/>
                <w:color w:val="auto"/>
              </w:rPr>
            </w:pPr>
          </w:p>
        </w:tc>
      </w:tr>
      <w:tr>
        <w:trPr>
          <w:trHeight w:val="171"/>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66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GSL Maren</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2,546</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2014</w:t>
            </w:r>
          </w:p>
        </w:tc>
        <w:tc>
          <w:tcPr>
            <w:tcW w:w="1220" w:type="dxa"/>
            <w:vAlign w:val="bottom"/>
          </w:tcPr>
          <w:p>
            <w:pPr>
              <w:jc w:val="center"/>
              <w:ind w:left="20"/>
              <w:spacing w:after="0" w:line="171" w:lineRule="exact"/>
              <w:rPr>
                <w:sz w:val="20"/>
                <w:szCs w:val="20"/>
                <w:color w:val="auto"/>
              </w:rPr>
            </w:pPr>
            <w:r>
              <w:rPr>
                <w:rFonts w:ascii="Times New Roman" w:cs="Times New Roman" w:eastAsia="Times New Roman" w:hAnsi="Times New Roman"/>
                <w:sz w:val="12"/>
                <w:szCs w:val="12"/>
                <w:color w:val="auto"/>
                <w:w w:val="90"/>
              </w:rPr>
              <w:t xml:space="preserve">2Q28 </w:t>
            </w:r>
            <w:r>
              <w:rPr>
                <w:rFonts w:ascii="Times New Roman" w:cs="Times New Roman" w:eastAsia="Times New Roman" w:hAnsi="Times New Roman"/>
                <w:sz w:val="19"/>
                <w:szCs w:val="19"/>
                <w:color w:val="auto"/>
                <w:w w:val="90"/>
                <w:vertAlign w:val="superscript"/>
              </w:rPr>
              <w:t>(15)</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Aris Marine LLC</w:t>
            </w:r>
          </w:p>
        </w:tc>
        <w:tc>
          <w:tcPr>
            <w:tcW w:w="2700" w:type="dxa"/>
            <w:vAlign w:val="bottom"/>
            <w:shd w:val="clear" w:color="auto" w:fill="CCEEFF"/>
          </w:tcPr>
          <w:p>
            <w:pPr>
              <w:jc w:val="center"/>
              <w:ind w:left="1400"/>
              <w:spacing w:after="0"/>
              <w:rPr>
                <w:sz w:val="20"/>
                <w:szCs w:val="20"/>
                <w:color w:val="auto"/>
              </w:rPr>
            </w:pPr>
            <w:r>
              <w:rPr>
                <w:rFonts w:ascii="Times New Roman" w:cs="Times New Roman" w:eastAsia="Times New Roman" w:hAnsi="Times New Roman"/>
                <w:sz w:val="12"/>
                <w:szCs w:val="12"/>
                <w:color w:val="auto"/>
              </w:rPr>
              <w:t>Marshall Islands</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Maira</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2,506</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2000</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1Q27</w:t>
            </w:r>
          </w:p>
        </w:tc>
        <w:tc>
          <w:tcPr>
            <w:tcW w:w="0" w:type="dxa"/>
            <w:vAlign w:val="bottom"/>
          </w:tcPr>
          <w:p>
            <w:pPr>
              <w:spacing w:after="0"/>
              <w:rPr>
                <w:sz w:val="1"/>
                <w:szCs w:val="1"/>
                <w:color w:val="auto"/>
              </w:rPr>
            </w:pPr>
          </w:p>
        </w:tc>
      </w:tr>
      <w:tr>
        <w:trPr>
          <w:trHeight w:val="144"/>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38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Manet</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2,288</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2001</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3Q26</w:t>
            </w:r>
          </w:p>
        </w:tc>
        <w:tc>
          <w:tcPr>
            <w:tcW w:w="0" w:type="dxa"/>
            <w:vAlign w:val="bottom"/>
          </w:tcPr>
          <w:p>
            <w:pPr>
              <w:spacing w:after="0"/>
              <w:rPr>
                <w:sz w:val="1"/>
                <w:szCs w:val="1"/>
                <w:color w:val="auto"/>
              </w:rPr>
            </w:pPr>
          </w:p>
        </w:tc>
      </w:tr>
      <w:tr>
        <w:trPr>
          <w:trHeight w:val="144"/>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Global Ship Lease 45 LLC</w:t>
            </w:r>
          </w:p>
        </w:tc>
        <w:tc>
          <w:tcPr>
            <w:tcW w:w="2700" w:type="dxa"/>
            <w:vAlign w:val="bottom"/>
            <w:shd w:val="clear" w:color="auto" w:fill="CCEEFF"/>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Kumasi</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2,220</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7"/>
              </w:rPr>
              <w:t>4Q26</w:t>
            </w:r>
          </w:p>
        </w:tc>
        <w:tc>
          <w:tcPr>
            <w:tcW w:w="0" w:type="dxa"/>
            <w:vAlign w:val="bottom"/>
          </w:tcPr>
          <w:p>
            <w:pPr>
              <w:spacing w:after="0"/>
              <w:rPr>
                <w:sz w:val="1"/>
                <w:szCs w:val="1"/>
                <w:color w:val="auto"/>
              </w:rPr>
            </w:pPr>
          </w:p>
        </w:tc>
      </w:tr>
      <w:tr>
        <w:trPr>
          <w:trHeight w:val="155"/>
        </w:trPr>
        <w:tc>
          <w:tcPr>
            <w:tcW w:w="358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41 LLC</w:t>
            </w:r>
          </w:p>
        </w:tc>
        <w:tc>
          <w:tcPr>
            <w:tcW w:w="2700" w:type="dxa"/>
            <w:vAlign w:val="bottom"/>
          </w:tcPr>
          <w:p>
            <w:pPr>
              <w:jc w:val="center"/>
              <w:ind w:left="1380"/>
              <w:spacing w:after="0"/>
              <w:rPr>
                <w:sz w:val="20"/>
                <w:szCs w:val="20"/>
                <w:color w:val="auto"/>
              </w:rPr>
            </w:pPr>
            <w:r>
              <w:rPr>
                <w:rFonts w:ascii="Times New Roman" w:cs="Times New Roman" w:eastAsia="Times New Roman" w:hAnsi="Times New Roman"/>
                <w:sz w:val="12"/>
                <w:szCs w:val="12"/>
                <w:color w:val="auto"/>
                <w:w w:val="97"/>
              </w:rPr>
              <w:t>Liberia</w:t>
            </w:r>
          </w:p>
        </w:tc>
        <w:tc>
          <w:tcPr>
            <w:tcW w:w="15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Julie</w:t>
            </w: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2,207</w:t>
            </w:r>
          </w:p>
        </w:tc>
        <w:tc>
          <w:tcPr>
            <w:tcW w:w="9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2002</w:t>
            </w:r>
          </w:p>
        </w:tc>
        <w:tc>
          <w:tcPr>
            <w:tcW w:w="122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7"/>
              </w:rPr>
              <w:t>3Q27</w:t>
            </w:r>
          </w:p>
        </w:tc>
        <w:tc>
          <w:tcPr>
            <w:tcW w:w="0" w:type="dxa"/>
            <w:vAlign w:val="bottom"/>
          </w:tcPr>
          <w:p>
            <w:pPr>
              <w:spacing w:after="0"/>
              <w:rPr>
                <w:sz w:val="1"/>
                <w:szCs w:val="1"/>
                <w:color w:val="auto"/>
              </w:rPr>
            </w:pPr>
          </w:p>
        </w:tc>
      </w:tr>
      <w:tr>
        <w:trPr>
          <w:trHeight w:val="421"/>
        </w:trPr>
        <w:tc>
          <w:tcPr>
            <w:tcW w:w="358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2"/>
                <w:szCs w:val="12"/>
                <w:color w:val="auto"/>
              </w:rPr>
              <w:t>F-10</w:t>
            </w:r>
          </w:p>
        </w:tc>
        <w:tc>
          <w:tcPr>
            <w:tcW w:w="15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01" w:right="299" w:bottom="1440" w:gutter="0" w:footer="0" w:header="0"/>
        </w:sectPr>
      </w:pPr>
    </w:p>
    <w:bookmarkStart w:id="108" w:name="page109"/>
    <w:bookmarkEnd w:id="108"/>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 Description of Business (continued)</w:t>
      </w:r>
    </w:p>
    <w:p>
      <w:pPr>
        <w:spacing w:after="0" w:line="152" w:lineRule="exact"/>
        <w:rPr>
          <w:sz w:val="20"/>
          <w:szCs w:val="20"/>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All subsidiaries are 100% owned, either directly or indirectly;</w:t>
      </w:r>
    </w:p>
    <w:p>
      <w:pPr>
        <w:spacing w:after="0" w:line="18"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Twenty-foot Equivalent Units;</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Currently, under a sale and leaseback transaction (see Note 2q);</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Zim Norfolk and Zim Xiamen were forward extended for 60 – 63 months. The extensions are expected to commence between 2Q-3Q 2027;</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line="250" w:lineRule="auto"/>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Sydney Express, Istanbul Express and Bremerhaven Express delivered in 4Q 2024. Czech, the fourth vessel was delivered on January 9, 2025. Firm charters are followed by three 12-month extension periods at charterer’s option. Bremerhaven Express and Sydney Express options were exercised in 3Q 2025;</w:t>
      </w:r>
    </w:p>
    <w:p>
      <w:pPr>
        <w:ind w:left="228" w:hanging="228"/>
        <w:spacing w:after="0" w:line="250" w:lineRule="auto"/>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MSC Tianjin, MSC Qingdao, Agios Dimitrios and GSL Ningbo were forward fixed in direct continuation for 36 – 38 months. The new charters are expected to commence between 3Q-4Q 2027. MSC Qingdao &amp; Agios Dimitrios are fitted with Exhaust Gas Cleaning Systems (“scrubbers”);</w:t>
      </w:r>
    </w:p>
    <w:p>
      <w:pPr>
        <w:ind w:left="228" w:hanging="228"/>
        <w:spacing w:after="0" w:line="250" w:lineRule="auto"/>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Alexandra, GSL Sofia, GSL Lydia and GSL Effie. Firm charters are followed by one year extension period at charterer’s option. GSL Sofia and GSL Effie options were exercised in January 2025. GSL Alexandra and GSL Lydia options were exercised in February 2025. The vessels were forward fixed for 24 months +/- 30 days. The new charters are expected to commence between 2Q-3Q 2026;</w:t>
      </w: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Lotus A and Koi. The charters have flexible durations, with latest redeliveries in mid-2030;</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Eleni, GSL Kalliopi and GSL Grania were forward fixed for 35 – 38 months to commence after drydocking, after which the charterer has the option to extend each charter for a further 12 – 16 months;</w:t>
      </w:r>
    </w:p>
    <w:p>
      <w:pPr>
        <w:spacing w:after="0" w:line="6" w:lineRule="exact"/>
        <w:rPr>
          <w:rFonts w:ascii="Times New Roman" w:cs="Times New Roman" w:eastAsia="Times New Roman" w:hAnsi="Times New Roman"/>
          <w:sz w:val="12"/>
          <w:szCs w:val="12"/>
          <w:i w:val="1"/>
          <w:iCs w:val="1"/>
          <w:color w:val="auto"/>
        </w:rPr>
      </w:pPr>
    </w:p>
    <w:p>
      <w:pPr>
        <w:ind w:left="228" w:right="20" w:hanging="228"/>
        <w:spacing w:after="0" w:line="250" w:lineRule="auto"/>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Colombia Express (ex-Mary), Panama Express (ex-Kristina), Costa Rica Express (ex-Katherine), Nicaragua Express (ex-Alexandra), Mexico Express (ex-Alexis), Jamaica Express (ex-Olivia I). Firm charters are followed by two twelve-month extension periods at charterer’s option;</w:t>
      </w: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CMA CGM Berlioz was forward fixed for 36 – 38 months. The new charter is expected to commence in 3Q 2026;</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Vinia and GSL Christel Elizabeth are chartered for 36 – 40 months, after which the charterer has the option to extend each charter for a further 12 – 15 months. The new charters both commenced in 1Q 2025;</w:t>
      </w:r>
    </w:p>
    <w:p>
      <w:pPr>
        <w:spacing w:after="0" w:line="6" w:lineRule="exact"/>
        <w:rPr>
          <w:rFonts w:ascii="Times New Roman" w:cs="Times New Roman" w:eastAsia="Times New Roman" w:hAnsi="Times New Roman"/>
          <w:sz w:val="12"/>
          <w:szCs w:val="12"/>
          <w:i w:val="1"/>
          <w:iCs w:val="1"/>
          <w:color w:val="auto"/>
        </w:rPr>
      </w:pPr>
    </w:p>
    <w:p>
      <w:pPr>
        <w:jc w:val="both"/>
        <w:ind w:left="228" w:hanging="228"/>
        <w:spacing w:after="0" w:line="250" w:lineRule="auto"/>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Maria, GSL Violetta, GSL Arcadia, GSL MYNY, GSL Melita, GSL Tegea and GSL Dorothea. Contract cover for each vessel is for a firm period of at least three years from the date each vessel was delivered in 2021. Thereafter, the charterer has the option to extend each charter for a further 12 months, after which they have the option to extend each charter for a second time – for a period concluding immediately prior to each respective vessel’s 25th year drydocking and special survey. The first extension options have been exercised for all seven ships. Second extension options were exercised in January 2025 for GSL Dorothea, GSL Arcadia, GSL Melita and GSL Tegea, in April 2025 for GSL MYNY and in September 2025 for GSL Maria. The vessels were forward fixed for 36 – 38 months. The new charters are expected to commence between 1Q 2026 and 1Q 2027;</w:t>
      </w:r>
    </w:p>
    <w:p>
      <w:pPr>
        <w:spacing w:after="0" w:line="1"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Château d’If and CMA CGM Alcazar were forward fixed for 36 – 38 months. The new charters are expected to commence between 3Q-4Q 2026;</w:t>
      </w:r>
    </w:p>
    <w:p>
      <w:pPr>
        <w:spacing w:after="0" w:line="6" w:lineRule="exact"/>
        <w:rPr>
          <w:rFonts w:ascii="Times New Roman" w:cs="Times New Roman" w:eastAsia="Times New Roman" w:hAnsi="Times New Roman"/>
          <w:sz w:val="12"/>
          <w:szCs w:val="12"/>
          <w:i w:val="1"/>
          <w:iCs w:val="1"/>
          <w:color w:val="auto"/>
        </w:rPr>
      </w:pPr>
    </w:p>
    <w:p>
      <w:pPr>
        <w:ind w:left="228" w:hanging="228"/>
        <w:spacing w:after="0"/>
        <w:tabs>
          <w:tab w:leader="none" w:pos="228" w:val="left"/>
        </w:tabs>
        <w:numPr>
          <w:ilvl w:val="0"/>
          <w:numId w:val="46"/>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GSL Maren was forward fixed in direct continuation for 24 – 26 months. The new charter is expected to commence in 2Q 2026.</w:t>
      </w:r>
    </w:p>
    <w:p>
      <w:pPr>
        <w:spacing w:after="0" w:line="387" w:lineRule="exact"/>
        <w:rPr>
          <w:sz w:val="20"/>
          <w:szCs w:val="20"/>
          <w:color w:val="auto"/>
        </w:rPr>
      </w:pPr>
    </w:p>
    <w:p>
      <w:pPr>
        <w:ind w:left="128" w:hanging="128"/>
        <w:spacing w:after="0"/>
        <w:tabs>
          <w:tab w:leader="none" w:pos="128" w:val="left"/>
        </w:tabs>
        <w:numPr>
          <w:ilvl w:val="0"/>
          <w:numId w:val="4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 Basis of Presentation</w:t>
      </w:r>
    </w:p>
    <w:p>
      <w:pPr>
        <w:spacing w:after="0" w:line="13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accompanying consolidated financial statements are prepared in accordance with United States Generally Accepted Accounting Principles (“U.S. GAAP”).</w:t>
      </w:r>
    </w:p>
    <w:p>
      <w:pPr>
        <w:spacing w:after="0" w:line="123" w:lineRule="exact"/>
        <w:rPr>
          <w:sz w:val="20"/>
          <w:szCs w:val="20"/>
          <w:color w:val="auto"/>
        </w:rPr>
      </w:pPr>
    </w:p>
    <w:p>
      <w:pPr>
        <w:ind w:left="5528"/>
        <w:spacing w:after="0"/>
        <w:rPr>
          <w:sz w:val="20"/>
          <w:szCs w:val="20"/>
          <w:color w:val="auto"/>
        </w:rPr>
      </w:pPr>
      <w:r>
        <w:rPr>
          <w:rFonts w:ascii="Times New Roman" w:cs="Times New Roman" w:eastAsia="Times New Roman" w:hAnsi="Times New Roman"/>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09" w:name="page110"/>
    <w:bookmarkEnd w:id="109"/>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128" w:hanging="128"/>
        <w:spacing w:after="0"/>
        <w:tabs>
          <w:tab w:leader="none" w:pos="128" w:val="left"/>
        </w:tabs>
        <w:numPr>
          <w:ilvl w:val="0"/>
          <w:numId w:val="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32" w:lineRule="exact"/>
        <w:rPr>
          <w:rFonts w:ascii="Times New Roman" w:cs="Times New Roman" w:eastAsia="Times New Roman" w:hAnsi="Times New Roman"/>
          <w:sz w:val="12"/>
          <w:szCs w:val="12"/>
          <w:b w:val="1"/>
          <w:bCs w:val="1"/>
          <w:color w:val="auto"/>
        </w:rPr>
      </w:pPr>
    </w:p>
    <w:p>
      <w:pPr>
        <w:ind w:left="8" w:right="9340"/>
        <w:spacing w:after="0" w:line="49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1"/>
          <w:szCs w:val="11"/>
          <w:b w:val="1"/>
          <w:bCs w:val="1"/>
          <w:color w:val="auto"/>
        </w:rPr>
        <w:t>(a) Basis of Presentation (continued) Adoption of new accounting standards</w:t>
      </w: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In December 2023, the FASB issued ASU 2023-09, Income Taxes (Topic 740): Improvements to Income Taxes Disclosures, which requires greater disaggregation of income tax disclosures. The new standard requires additional information to be disclosed with respect to the income tax rate reconciliation and income taxes paid disaggregated by jurisdiction. This ASU should be applied prospectively for fiscal years beginning after December 15, 2024, with retrospective application permitted. The Company adopted this ASU prospectively for the period ending December 31, 2025, and it did not have an impact to its disclosures, financial condition or results of operations as the Company is not subject to income taxes on its shipping income rather the Company’s vessels are liable for tax based on the tonnage of the vessel, under the regulations applicable to the country of incorporation of the vessel owning company, which is included within vessels’ operating expenses.</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 Principles of Consolidation</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accompanying consolidated financial statements include the financial statements of the Company and its wholly owned subsidiaries; the Company has no other interests. All significant intercompany balances and transactions have been eliminated in the Company’s consolidated financial statements.</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 Use of Estimates</w:t>
      </w:r>
    </w:p>
    <w:p>
      <w:pPr>
        <w:spacing w:after="0" w:line="127"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 under different assumptions and/or conditions.</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 Cash and cash equivalents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Cash and cash equivalents include cash in hand, deposits held at call with banks and other short-term highly liquid investments with original maturities of three months or less.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 Restricted cash and other instruments</w:t>
      </w:r>
    </w:p>
    <w:p>
      <w:pPr>
        <w:spacing w:after="0" w:line="12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Restricted cash consists of retention accounts which are restricted in use and held in order to service debt and interest payments. In addition, restricted cash consists of pledged cash maintained with lenders and funds reserved for future drydockings. Also includes restricted cash received in advance from charterers for future charter service. Other instruments relate to held-to-maturity securities, received in advance from charterers for future charter service with maturities exceeding the three months. Since the Company intends to hold these securities to maturity, these securities are classified as held to maturity under ASC 320 measuring them at amortized cost, applying the effective interest rate method for income recognition. The Company assesses credit losses on held-to-maturity securities per ASC 326-20. Because these securities are guaranteed by the U.S. government, expected credit losses are minimal and no allowance has been made.</w:t>
      </w:r>
    </w:p>
    <w:p>
      <w:pPr>
        <w:spacing w:after="0" w:line="10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 Insurance claims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Insurance claims consist of claims submitted and/or claims in the process of compilation or submission. They are recorded on an accrual basis and represent the claimable expenses, net of applicable deductibles, incurred through December 31 of each reported period, which are probable to be recovered from insurers. Any outstanding costs to complete the claims are included in accrued liabilities. The classification of insurance claims into current and non-current assets is based on management’s expectation as to the collection dates.</w:t>
      </w:r>
    </w:p>
    <w:p>
      <w:pPr>
        <w:spacing w:after="0" w:line="9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0" w:name="page111"/>
    <w:bookmarkEnd w:id="11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128" w:hanging="128"/>
        <w:spacing w:after="0"/>
        <w:tabs>
          <w:tab w:leader="none" w:pos="128" w:val="left"/>
        </w:tabs>
        <w:numPr>
          <w:ilvl w:val="0"/>
          <w:numId w:val="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 Inventories</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Inventories consist of bunkers, lubricants, stores and provisions. Inventories are stated at the lower of cost or net realizable value as determined using the first-in, first-out method. Inventories include also EU Allowances (“EUAs”), which are also stated at the lower of cost or net realizable value.</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 Accounts receivable, net</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The Company carries its accounts receivable at cost less, if appropriate, an allowance for doubtful accounts, based on a periodic review of accounts receivable, taking into account past write-offs, collections and current credit conditions. The Company does not generally charge interest on past-due accounts. Allowances for doubtful accounts amount to $nil as of December 31, 2025 (2024: $nil). As of December 31, 2025, accounts receivable, net, include $34,665 relating </w:t>
      </w:r>
      <w:r>
        <w:rPr>
          <w:rFonts w:ascii="Times New Roman" w:cs="Times New Roman" w:eastAsia="Times New Roman" w:hAnsi="Times New Roman"/>
          <w:sz w:val="10"/>
          <w:szCs w:val="10"/>
          <w:color w:val="auto"/>
        </w:rPr>
        <w:t>to EUA receivables from charterers (2024: $9,190) and $10,531 relating to Fuel EU receivables from charterers (2024: $nil).</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 Vessels in operation</w:t>
      </w:r>
    </w:p>
    <w:p>
      <w:pPr>
        <w:spacing w:after="0" w:line="136"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Vessels are generally recorded at their historical cost, which consists of the acquisition price and any material expenses incurred upon acquisition, adjusted for the fair value of intangible assets or liabilities associated with above or below market charters attached to the vessels at acquisition. See Intangible Assets and Liabilities at Note 2(l) below. Vessels acquired in a corporate transaction accounted for as an asset acquisition are stated at the acquisition price, which consists of consideration paid, plus transaction costs, considering pro rata allocation based on vessels fair value at the acquisition date. Vessels acquired in a corporate transaction accounted for as a business combination are recorded at fair value. Vessels acquired as part of the Marathon Merger in 2008 were accounted for under ASC 805, which required that the vessels be recorded at fair value, less the negative goodwill arising as a result of the accounting for the merger.</w:t>
      </w:r>
    </w:p>
    <w:p>
      <w:pPr>
        <w:spacing w:after="0" w:line="9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Subsequent expenditures for major improvements and upgrades are capitalized, provided they appreciably extend the life, increase the earnings capacity or improve the efficiency or safety of the vessels.</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Borrowing costs incurred during the construction of vessels or as part of the prefinancing of the acquisition of vessels are capitalized. There was no capitalized interest for the years ending December 31, 2025, 2024 and 2023.</w:t>
      </w:r>
    </w:p>
    <w:p>
      <w:pPr>
        <w:spacing w:after="0" w:line="123"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Vessels are stated less accumulated depreciation and impairment, if applicable. Vessels are depreciated to their estimated residual value using the straight-line method over their estimated useful lives which are reviewed on an ongoing basis to ensure they reflect current technology, service potential and vessel structure. The useful lives are estimated to be 30 years from original delivery by the shipyard.</w:t>
      </w:r>
    </w:p>
    <w:p>
      <w:pPr>
        <w:spacing w:after="0" w:line="8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Management estimates the residual values of the Company’s container vessels based on a scrap value cost of steel times the weight of the vessel noted in lightweight tons (LWT). Residual values are periodically reviewed and revised to recognize changes in conditions, new regulations or other reasons. Revision of residual values affect the depreciable amount of the vessels and affects depreciation expense in the period of the revision and future periods. Management estimated the residual values of its vessels based on scrap rate of $400 per LWT.</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For any vessel group which is impaired, the impairment charge is recorded against the cost of the vessel and the accumulated depreciation as at the date of impairment is removed from the accounts.</w:t>
      </w:r>
    </w:p>
    <w:p>
      <w:pPr>
        <w:spacing w:after="0" w:line="13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cost and related accumulated depreciation of assets retired or sold are removed from the accounts at the time of sale or retirement and any gain or loss is included in the Consolidated Statements of Income.</w:t>
      </w:r>
    </w:p>
    <w:p>
      <w:pPr>
        <w:spacing w:after="0" w:line="123" w:lineRule="exact"/>
        <w:rPr>
          <w:sz w:val="20"/>
          <w:szCs w:val="20"/>
          <w:color w:val="auto"/>
        </w:rPr>
      </w:pPr>
    </w:p>
    <w:p>
      <w:pPr>
        <w:ind w:left="5528"/>
        <w:spacing w:after="0"/>
        <w:rPr>
          <w:sz w:val="20"/>
          <w:szCs w:val="20"/>
          <w:color w:val="auto"/>
        </w:rPr>
      </w:pPr>
      <w:r>
        <w:rPr>
          <w:rFonts w:ascii="Times New Roman" w:cs="Times New Roman" w:eastAsia="Times New Roman" w:hAnsi="Times New Roman"/>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1" w:name="page112"/>
    <w:bookmarkEnd w:id="11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128" w:hanging="128"/>
        <w:spacing w:after="0"/>
        <w:tabs>
          <w:tab w:leader="none" w:pos="128" w:val="left"/>
        </w:tabs>
        <w:numPr>
          <w:ilvl w:val="0"/>
          <w:numId w:val="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 Assets Held for Sale</w:t>
      </w:r>
    </w:p>
    <w:p>
      <w:pPr>
        <w:spacing w:after="0" w:line="127"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 Company classifies assets and disposal groups as being held for sale when the following criteria are met: management has committed to a plan to sell the asset (disposal group); the asset (disposal group) is available for immediate sale in its present condition; an active program to locate a buyer and other actions required to complete the plan to sell the asset (disposal group) have been initiated; the sale of the asset (disposal group) is probable, and transfer of the asset (disposal group) is expected to qualify for recognition as a completed sale within one year; the asset (disposal group) is being actively marketed for sale at a price that is reasonable in relation to its current fair value; and actions required to complete the plan indicate that it is unlikely that significant changes to the plan will be made or that the plan will be withdrawn. Long-lived assets or disposal groups classified as held for sale are measured at the lower of their carrying amount or fair value less cost to sell. These assets are not depreciated once they meet the criteria to be held for sale. As of December 31, 2024, Tasman, which was agreed to be sold for a sale price of $31,500, did not meet the criteria as held for sale, as it was under charter and not available for immediate sale. Tasman was sold on March 10, 2025 (see Note 4).</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(k) Deferred dry dock and special survey costs, net</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Drydocking costs are reported in the Consolidated Balance Sheets within “Deferred dry dock and special survey costs, net”, and include planned major maintenance and overhaul activities for ongoing certification. The Company follows the deferral method of accounting for drydocking costs, whereby actual costs incurred are deferred and amortized on a straight-line basis over the period of five years until approximately the next scheduled drydocking. Any remaining unamortized balance from the previous drydocking is written-off.</w:t>
      </w:r>
    </w:p>
    <w:p>
      <w:pPr>
        <w:spacing w:after="0" w:line="92"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The amortization period reflects the estimated useful economic life of the deferred dry dock and special survey costs, which is the period between each drydocking. Costs incurred during the drydocking relating to routine repairs and maintenance are expensed. The unamortized portion of drydocking costs for vessels sold is included as part of the carrying amount of the vessel in determining the gain or (loss) on sale of the vessel.</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 Intangible assets and liabilities – charter agreements</w:t>
      </w:r>
    </w:p>
    <w:p>
      <w:pPr>
        <w:spacing w:after="0" w:line="127"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The Company’s intangible assets and liabilities consist of unfavorable lease terms on charter agreements acquired in assets acquisitions. When intangible assets or liabilities associated with the acquisition of a vessel are identified, they are recorded at fair value. Fair value is determined by reference to market data and the discounted amount of expected future cash flows. Where charter rates are higher than market charter rates, an intangible asset is recorded, based on the difference between the acquired charter rate and the market charter rate for an equivalent vessel and equivalent duration of charter party at the date the vessel is delivered. Where charter rates are less than market charter rates, an intangible liability is recorded, based on the difference between the acquired charter rate and the market charter rate for an equivalent vessel. The determination of the fair value of acquired assets and liabilities requires the Company to make significant assumptions and estimates of many variables including market charter rates (including duration), the level of utilization of its vessels and its weighted average cost-of capital (“WACC”). The estimated market charter rate (including duration) is considered a significant assumption. The use of different assumptions could result in a material change in the fair value of these items, which could have a material impact on the Company’s financial position and results of operations. The amortizable value of favorable and unfavorable leases is amortized over the remaining life of the relevant lease term and the amortization expense or income respectively is included under the caption “Amortization of intangible liabilities-charter agreements” in the Consolidated Statements of Income. For any vessel group which is impaired, the impairment charge is recorded against the cost of the vessel and the accumulated depreciation as at the date of impairment is removed from the accounts.</w:t>
      </w:r>
    </w:p>
    <w:p>
      <w:pPr>
        <w:spacing w:after="0" w:line="9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2" w:name="page113"/>
    <w:bookmarkEnd w:id="11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128" w:hanging="128"/>
        <w:spacing w:after="0"/>
        <w:tabs>
          <w:tab w:leader="none" w:pos="128" w:val="left"/>
        </w:tabs>
        <w:numPr>
          <w:ilvl w:val="0"/>
          <w:numId w:val="5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 Impairment of Long-lived assets</w:t>
      </w:r>
    </w:p>
    <w:p>
      <w:pPr>
        <w:spacing w:after="0" w:line="127"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Tangible fixed assets, such as vessels, that are held and used or to be disposed of by the Company are reviewed for impairment when events or changes in circumstances indicate that their carrying amounts may not be recoverable. In these circumstances, the Company performs step one of the impairment test by comparing the undiscounted projected net operating cash flows for each vessel group to its carrying value. A vessel group comprises the vessel, the unamortized portion of deferred drydocking related to the vessel and the related carrying value of the intangible asset or liability (if any) with respect to the time charter attached to the vessel at its purchase. If the undiscounted projected net operating cash flows of the vessel group are less than its carrying amount, management proceeds to step two of the impairment assessment by comparing the vessel group’s carrying amount to its fair value, including any applicable charter, and an impairment loss is recorded equal to the difference between the vessel group’s carrying value and fair value. Fair value is determined with the assistance from valuations obtained from third party independent ship brokers.</w:t>
      </w:r>
    </w:p>
    <w:p>
      <w:pPr>
        <w:spacing w:after="0" w:line="98"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The Company uses a number of assumptions in projecting its undiscounted net operating cash flows analysis including, among others, (i) revenue assumptions for charter rates on expiry of existing charters, which are based on forecast charter rates, where relevant, in the four years from the date of the impairment test and a reversion to the historical mean of time charter rates for each vessel thereafter (ii) off-hire days, which are based on actual off-hire statistics for the Company’s fleet (iii) operating costs, based on current levels escalated over time based on long term trends (iv) dry docking frequency, duration and cost (v) estimated useful life, which is assessed as a total of 30 years from original delivery by the shipyard and (vi) scrap values.</w:t>
      </w:r>
    </w:p>
    <w:p>
      <w:pPr>
        <w:spacing w:after="0" w:line="9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Revenue assumptions are based on contracted charter rates up to the end of the existing contract of each vessel, and thereafter, estimated time charter rates for the remaining life of the vessel. The estimated time charter rate used for non-contracted revenue days of each vessel is considered a significant assumption. Recognizing that the container shipping industry is cyclical and subject to significant volatility based on factors beyond the Company’s control, management believes that using forecast charter rates in the four years from the date of the impairment assessment and a reversion to the historical mean of time charter rates thereafter, represents a reasonable benchmark for the estimated time charter rates for the non-contracted revenue days, and takes into account the volatility and cyclicality of the market.</w:t>
      </w:r>
    </w:p>
    <w:p>
      <w:pPr>
        <w:spacing w:after="0" w:line="9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2025,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2025.</w:t>
      </w:r>
    </w:p>
    <w:p>
      <w:pPr>
        <w:spacing w:after="0" w:line="10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2024,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2024.</w:t>
      </w:r>
    </w:p>
    <w:p>
      <w:pPr>
        <w:spacing w:after="0" w:line="95"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 As a result, the Company recorded an impairment loss of $18,830 for two vessel groups with a total aggregate carrying amount of $43,830 which was written down to their fair value of $25,000 (see Note 4).</w:t>
      </w:r>
    </w:p>
    <w:p>
      <w:pPr>
        <w:spacing w:after="0" w:line="9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3" w:name="page114"/>
    <w:bookmarkEnd w:id="11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128" w:hanging="128"/>
        <w:spacing w:after="0"/>
        <w:tabs>
          <w:tab w:leader="none" w:pos="128" w:val="left"/>
        </w:tabs>
        <w:numPr>
          <w:ilvl w:val="0"/>
          <w:numId w:val="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 Deferred financing costs</w:t>
      </w:r>
    </w:p>
    <w:p>
      <w:pPr>
        <w:spacing w:after="0" w:line="13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Costs incurred in connection with obtaining long-term debt and in obtaining amendments to existing facilities are recorded as deferred financing costs and are amortized to interest expense using the effective interest method over the estimated duration of the related debt. Such costs include fees paid to the lenders or on the lenders’ behalf and associated legal and other professional fees. Debt issuance costs, other than any up-front arrangement fee for revolving credit facilities, related to a recognized debt liability are presented as a direct deduction from the carrying amount of that debt.</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 Preferred shares</w:t>
      </w:r>
    </w:p>
    <w:p>
      <w:pPr>
        <w:spacing w:after="0" w:line="127"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A total of 14,000 of the Company’s 8.75% Series B Cumulative Redeemable Perpetual Preferred Shares (“Series B Preferred Shares”) were originally issued in August 2014 and have been included within Equity in the Consolidated Balance Sheets since their initial issue in August 2014. Additional Series B Preferred Shares were issued in 2019, 2020 and 2021. Dividends on the Series B Preferred Shares are presented as a reduction of Retained Earnings or addition to Accumulated Deficit in the Consolidated Statements of Changes in Shareholders’ Equity as their nature is similar to that of an equity instrument rather than a liability. Holders of Series B Preferred Shares, which may only be redeemed at the discretion of the Company, are entitled to receive a dividend equal to 8.75% per annum on the stated liquidation preference, should such dividend be declared, and rank senior to the common shares with respect to dividend rights and rights upon liquidation, dissolution or winding up of the Company.</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 Other comprehensive income</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Other comprehensive income, which is reported in the Consolidated Statements of Changes in Shareholders’ Equity, consists of net income and other gains and losses affecting equity that, under U.S. GAAP, are excluded from net income. Under ASU 2011-05, an entity reporting comprehensive income in a single continuous financial statement shall present its components in two sections, net income and other comprehensive income.</w:t>
      </w:r>
    </w:p>
    <w:p>
      <w:pPr>
        <w:spacing w:after="0" w:line="8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(q) Revenue recognition and related expense</w:t>
      </w:r>
    </w:p>
    <w:p>
      <w:pPr>
        <w:spacing w:after="0" w:line="127" w:lineRule="exact"/>
        <w:rPr>
          <w:sz w:val="20"/>
          <w:szCs w:val="20"/>
          <w:color w:val="auto"/>
        </w:rPr>
      </w:pPr>
    </w:p>
    <w:p>
      <w:pPr>
        <w:jc w:val="both"/>
        <w:ind w:left="8"/>
        <w:spacing w:after="0" w:line="253" w:lineRule="auto"/>
        <w:rPr>
          <w:sz w:val="20"/>
          <w:szCs w:val="20"/>
          <w:color w:val="auto"/>
        </w:rPr>
      </w:pPr>
      <w:r>
        <w:rPr>
          <w:rFonts w:ascii="Times New Roman" w:cs="Times New Roman" w:eastAsia="Times New Roman" w:hAnsi="Times New Roman"/>
          <w:sz w:val="12"/>
          <w:szCs w:val="12"/>
          <w:color w:val="auto"/>
        </w:rPr>
        <w:t>The Company charters out its vessels on time charters which involves placing a vessel at a charterer’s disposal for a specified period of time during which the charterer uses the vessel in return for the payment of a specified daily hire rate. Such charters are accounted for as operating leases and therefore revenue is recognized on a straight-line basis as the average revenues over the rental periods of such charter agreements, as service is performed. Cash received in excess of earned revenue is recorded as deferred revenue. If a time charter contains one or more consecutive option periods, then subject to the options being exercisable solely by the Company, the time charter revenue will be recognized on a straight-line basis over the total remaining life of the time charter, including any options which are more likely than not to be exercised. If a time charter is modified, including the agreement of a direct continuation at a different rate, the time charter revenue will be recognized on a straight-line basis over the total remaining life of the time charter from the date of modification, adjusted for any prepaid or accrued balance from the original lease, generally on a straight-line basis over the new lease term (the remaining balance from the original lease, adjusted for the additional or terminated periods). During the years ended December 31, 2025, 2024 and 2023, amounts of $4,012 loss, $8,823 loss and $4,025 loss, respectively, were recorded in time charter-revenues for such modifications and revenues recognized on a straight-line basis. Any difference between the charter rate invoiced and the time charter revenue recognized is classified as, or released from, deferred revenue. As of December 31, 2025, current asset and non-current asset from implementing the straight-line basis, amounting to $12,643 ($9,657 and $9,027 as of December 31, 2024, and 2023, respectively) and $10,344 ($19,670 and $15,139 as of December 31, 2024, and 2023, respectively), respectively, are presented in the Consolidated Balance Sheets in the line item “Prepaid expenses and other current assets” and “Other non-current assets”, respectively. As of December 31, 2025, current liability and non-current liability from implementing the straight-line basis, amounting to $8,624 ($5,310 and $113 as of December 31, 2024, and 2023, respectively) and $3,797 ($9,438 and $651 as of December 31, 2024, and 2023, respectively), are presented in the Consolidated Balance Sheets in the line item “Current portion of deferred revenue” and “Deferred revenue, net of current portion”, respectively.</w:t>
      </w:r>
    </w:p>
    <w:p>
      <w:pPr>
        <w:spacing w:after="0" w:line="36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 Revenue recognition and related expense (continued)</w:t>
      </w:r>
    </w:p>
    <w:p>
      <w:pPr>
        <w:spacing w:after="0" w:line="127"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Revenues are recorded net of address commissions, which represent a discount provided directly to the charterer based on a fixed percentage of the agreed upon charter rate. Charter revenue received in advance which relates to the period after a balance sheet date is recorded as deferred revenue within current liabilities until the respective charter services are rendered.</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Under time charter arrangements the Company, as owner, is responsible for all the operating expenses of the vessels, such as crew costs, insurance, repairs and maintenance, and such costs are expensed as incurred and are included in vessel operating expenses.</w:t>
      </w:r>
    </w:p>
    <w:p>
      <w:pPr>
        <w:spacing w:after="0" w:line="8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Commission paid to brokers to facilitate the agreement of a new charter are included in time charter and voyage expenses as are certain expenses related to a voyage, such as the costs of bunker fuel consumed when a vessel is off-hire or idle.</w:t>
      </w:r>
    </w:p>
    <w:p>
      <w:pPr>
        <w:spacing w:after="0" w:line="8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Leases: </w:t>
      </w:r>
      <w:r>
        <w:rPr>
          <w:rFonts w:ascii="Times New Roman" w:cs="Times New Roman" w:eastAsia="Times New Roman" w:hAnsi="Times New Roman"/>
          <w:sz w:val="12"/>
          <w:szCs w:val="12"/>
          <w:color w:val="auto"/>
        </w:rPr>
        <w:t>In cases of lease agreements where the Company acts as the lessee, the Company recognizes an operating lease asset and a corresponding lease liability on the Consolidated Balance Sheets. Following initial recognition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with regards to subsequent measurement the Company remeasures lease liability and right of use asset at each reporting date.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Leases where the Company acts as the lessor are classified as either operating or sales-type / direct financing leases.</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cases of lease agreements where the Company acts as the lessor under an operating lease, the Company keeps the underlying asset on the Consolidated Balance Sheets and continues to depreciate the assets over its useful life. In cases of lease agreements where the Company acts as the lessor under a sales-type / direct financing lease, the Company derecognizes the underlying asset and records a net investment in the lease. The Company acts as a lessor under operating leases in connection with all of its charter out - bareboat-out arrangements.</w:t>
      </w:r>
    </w:p>
    <w:p>
      <w:pPr>
        <w:spacing w:after="0" w:line="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cases of sale and leaseback transactions, if the transfer of the asset to the lessor does not qualify as a sale, then the transaction constitutes a failed sale and leaseback and is accounted for as a financial liability. For a sale to have occurred, the control of the asset would need to be transferred to the lessor, and the lessor would need to obtain substantially all the benefits from the use of the asset.</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elected the practical expedient which allows the Company to treat the lease and non-lease components as a single lease component for the leases where the timing and pattern of transfer for the non-lease component and the associated lease component to the lessees are the same and the lease component, if accounted for separately, would be classified as an operating lease. The combined component is therefore accounted for as an operating lease under ASC 842, as the lease components are the predominant characteristics.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 Foreign currency transactions</w:t>
      </w:r>
    </w:p>
    <w:p>
      <w:pPr>
        <w:spacing w:after="0" w:line="12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Company’s functional currency is the U.S. dollar as substantially all revenues and a majority of expenditures are denominated in U.S. dollars. Monetary assets and liabilities denominated in foreign currencies are translated at the rate of exchange at the balance sheet dates. Expenses paid in foreign currencies are recorded at the rate of exchange at the transaction date. Exchange gains and losses are included in the determination of Net Income.</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 Stock-based compensation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has awarded incentive stock awards to its senior management and Directors, among others, as part of their compensation.</w:t>
      </w:r>
    </w:p>
    <w:p>
      <w:pPr>
        <w:spacing w:after="0" w:line="123"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For share-based employee compensation that is classified as equity, the associated compensation cost is recognized over the requisite service period. The requisite service period is the period during which an employee is required to provide services in exchange for an award, which often is the vesting period.</w:t>
      </w: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5" w:name="page116"/>
    <w:bookmarkEnd w:id="115"/>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128" w:hanging="128"/>
        <w:spacing w:after="0"/>
        <w:tabs>
          <w:tab w:leader="none" w:pos="128" w:val="left"/>
        </w:tabs>
        <w:numPr>
          <w:ilvl w:val="0"/>
          <w:numId w:val="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 Stock-based compensation (continued)</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Using the graded vesting method of expensing the incentive stock awards, the weighted average fair value of the stock awards is recognized as compensation costs in the Consolidated Statements of Income over the vesting period. The fair value of the incentive stock awards for time vesting and performance based awards is calculated by multiplying the number of shares of stock by the fair value of the shares at the closing market price of a share of our common stock on the date of the grant, modified as appropriate to take into account the features of such grants. The Company has not factored any anticipated forfeiture into these calculations based on the limited number of participants.</w:t>
      </w:r>
    </w:p>
    <w:p>
      <w:pPr>
        <w:spacing w:after="0" w:line="92"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Company’s performance-based compensation expenses are calculated based on the valuation at the grant date, and recognized based on the probability of achieving those targets. The Company assesses the probability of the performance targets being achieved at each balance sheet date, and expenses are recognized accordingly.</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 Income taxes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and its Marshall Island subsidiaries are exempt from taxation in the Marshall Islands. Otherwise, the Company’s vessels are liable for tax based on the tonnage of the vessel, under the regulations applicable to the country of incorporation of the vessel owning company, which is included within vessels’ operating expenses. Certain inactive Hong Kong subsidiaries (one was dissolved in 2025 and two remain inactive as of December 31, 2025) are also liable for income tax on interest income earned from non-shipping activities.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had one subsidiary in the United Kingdom that was dissolved on September 24, 2024, and no tax is anticipated.</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recognizes uncertain tax positions only if it is more likely than not that the tax position will be sustained on examination by the taxing authorities, based solely on the technical merits of the position.</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(u) Dividends</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Dividends are recorded in the period in which they are declared by the Board of Directors of the Company (the “Board of Directors”). Dividends to be paid are presented in the Consolidated Balance Sheets in the line item “Accrued Liabilities”.</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(v) Earnings per share</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Basic earnings per common share are based on income available to common shareholders divided by the weighted average number of common shares outstanding during the period, excluding unvested stock awards. Diluted income per common share is calculated by applying the treasury stock method. All unvested stock awards that have a dilutive effect are included in the calculation. The basic and diluted earnings per share for the period are presented for each category of participating common shares under the two-class method.</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 Risks Associated with Concentration</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is exposed to certain concentration risks that may adversely affect the Company’s financial position in the near term:</w:t>
      </w:r>
    </w:p>
    <w:p>
      <w:pPr>
        <w:spacing w:after="0" w:line="123" w:lineRule="exact"/>
        <w:rPr>
          <w:sz w:val="20"/>
          <w:szCs w:val="20"/>
          <w:color w:val="auto"/>
        </w:rPr>
      </w:pPr>
    </w:p>
    <w:p>
      <w:pPr>
        <w:ind w:left="8" w:hanging="8"/>
        <w:spacing w:after="0" w:line="279" w:lineRule="auto"/>
        <w:tabs>
          <w:tab w:leader="none" w:pos="159"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derives its revenue from liner companies which are exposed to the cyclicality of the container shipping industry. For operating revenue from significant customers constituting more than 10% of total time charter revenue, refer to Note 13.</w:t>
      </w:r>
    </w:p>
    <w:p>
      <w:pPr>
        <w:spacing w:after="0" w:line="93" w:lineRule="exact"/>
        <w:rPr>
          <w:rFonts w:ascii="Times New Roman" w:cs="Times New Roman" w:eastAsia="Times New Roman" w:hAnsi="Times New Roman"/>
          <w:sz w:val="12"/>
          <w:szCs w:val="12"/>
          <w:color w:val="auto"/>
        </w:rPr>
      </w:pPr>
    </w:p>
    <w:p>
      <w:pPr>
        <w:ind w:left="8" w:hanging="8"/>
        <w:spacing w:after="0" w:line="279" w:lineRule="auto"/>
        <w:tabs>
          <w:tab w:leader="none" w:pos="187" w:val="left"/>
        </w:tabs>
        <w:numPr>
          <w:ilvl w:val="0"/>
          <w:numId w:val="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is a minimum concentration of credit risk with respect to cash and cash equivalents at December 31, 2025, to the extent that substantially all of the amounts are deposited with eight banks (2024: eight banks). The Company believes this risk is remote as the banks are high credit quality financial institutions.</w:t>
      </w:r>
    </w:p>
    <w:p>
      <w:pPr>
        <w:spacing w:after="0" w:line="34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6" w:name="page117"/>
    <w:bookmarkEnd w:id="11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128" w:hanging="128"/>
        <w:spacing w:after="0"/>
        <w:tabs>
          <w:tab w:leader="none" w:pos="128" w:val="left"/>
        </w:tabs>
        <w:numPr>
          <w:ilvl w:val="0"/>
          <w:numId w:val="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(x) Segment Reporting</w:t>
      </w:r>
    </w:p>
    <w:p>
      <w:pPr>
        <w:spacing w:after="0" w:line="127"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 Company derives its revenues from chartering vessels to liner companies. The Company reports financial information and evaluates its operations by charter revenues and not by the length of ship employment for its customers. The Company does not use discrete financial information to evaluate operating results for each vessel or type of charter. Management does not identify expenses, profitability or other financial information by vessel or charter type. The Company’s Executive Chairman, Chief Executive Officer and Chief Financial Officer, collectively, who are the Chief Operating Decision Maker ("CODM"), review operating results solely by revenue per day and consolidated net income of the fleet and thus the Company has determined that it operates under one operating and reportable segment. Consolidated vessel operating expense information presented within the Consolidated Statements of Income are considered to be significant expenses. Furthermore, when the Company charters a vessel to a charterer, the charterer is free to trade the vessel worldwide, subject to restrictions as per the charter agreement, and, as a result, the disclosure of geographic information is impracticable.</w:t>
      </w:r>
    </w:p>
    <w:p>
      <w:pPr>
        <w:spacing w:after="0" w:line="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w:t>
      </w:r>
    </w:p>
    <w:p>
      <w:pPr>
        <w:spacing w:after="0" w:line="12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Financial instruments carried on the Consolidated Balance Sheets include cash and cash equivalents, restricted cash and other instruments, time deposits, trade receivables and payables, other receivables and other liabilities, amounts due to/from related parties, derivatives and long-term debt. The particular recognition methods applicable to each class of financial instrument are disclosed in the applicable significant policy description of each item or included below as applicable.</w:t>
      </w:r>
    </w:p>
    <w:p>
      <w:pPr>
        <w:spacing w:after="0" w:line="88"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Fair value measurement: </w:t>
      </w:r>
      <w:r>
        <w:rPr>
          <w:rFonts w:ascii="Times New Roman" w:cs="Times New Roman" w:eastAsia="Times New Roman" w:hAnsi="Times New Roman"/>
          <w:sz w:val="12"/>
          <w:szCs w:val="12"/>
          <w:color w:val="auto"/>
        </w:rPr>
        <w:t>Fair value is defined as the price that would be received to sell an asset or paid to transfer a liability (i.e. the “exit price”) in an orderly transaction between market participants at the measurement date.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hierarchy is broken down into three levels based on the observability of inputs as follows:</w:t>
      </w:r>
    </w:p>
    <w:p>
      <w:pPr>
        <w:spacing w:after="0" w:line="85" w:lineRule="exact"/>
        <w:rPr>
          <w:sz w:val="20"/>
          <w:szCs w:val="20"/>
          <w:color w:val="auto"/>
        </w:rPr>
      </w:pPr>
    </w:p>
    <w:p>
      <w:pPr>
        <w:jc w:val="both"/>
        <w:ind w:left="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Level 1 </w:t>
      </w:r>
      <w:r>
        <w:rPr>
          <w:rFonts w:ascii="Times New Roman" w:cs="Times New Roman" w:eastAsia="Times New Roman" w:hAnsi="Times New Roman"/>
          <w:sz w:val="12"/>
          <w:szCs w:val="12"/>
          <w:color w:val="auto"/>
        </w:rPr>
        <w:t>– Valuations based on quoted prices in active markets for identical assets or liabilities that the Company has the ability to access. Valuation adjustments and block discounts are not applied to Level 1 instruments. Since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valuations are based on quoted prices that are readily and regularly available in an active market, valuation of these products does not entail a significant degree of judgment.</w:t>
      </w:r>
    </w:p>
    <w:p>
      <w:pPr>
        <w:spacing w:after="0" w:line="7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Level 2 </w:t>
      </w:r>
      <w:r>
        <w:rPr>
          <w:rFonts w:ascii="Times New Roman" w:cs="Times New Roman" w:eastAsia="Times New Roman" w:hAnsi="Times New Roman"/>
          <w:sz w:val="12"/>
          <w:szCs w:val="12"/>
          <w:color w:val="auto"/>
        </w:rPr>
        <w:t>– Valuations based on one or more quoted prices in markets that are not active or for which all significant inputs are observable, either directly or indirectly.</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Level 3 </w:t>
      </w:r>
      <w:r>
        <w:rPr>
          <w:rFonts w:ascii="Times New Roman" w:cs="Times New Roman" w:eastAsia="Times New Roman" w:hAnsi="Times New Roman"/>
          <w:sz w:val="12"/>
          <w:szCs w:val="12"/>
          <w:color w:val="auto"/>
        </w:rPr>
        <w:t>– Valuations based on inputs that are unobservable and significant to the overall fair value measurement.</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Fair value of assets and liabilities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methods and assumptions were used to estimate the fair value of each class of financial instrument:</w:t>
      </w:r>
    </w:p>
    <w:p>
      <w:pPr>
        <w:spacing w:after="0" w:line="119"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Cash and cash equivalents, restricted cash and other instruments, time deposits, amounts due to/from related parties: </w:t>
      </w:r>
      <w:r>
        <w:rPr>
          <w:rFonts w:ascii="Times New Roman" w:cs="Times New Roman" w:eastAsia="Times New Roman" w:hAnsi="Times New Roman"/>
          <w:sz w:val="12"/>
          <w:szCs w:val="12"/>
          <w:color w:val="auto"/>
        </w:rPr>
        <w:t>The carrying amounts reported in the Consolidated Balance Sheets for these balances approximate their fair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value because of the short maturity or short-term nature of these balances.</w:t>
      </w:r>
    </w:p>
    <w:p>
      <w:pPr>
        <w:spacing w:after="0" w:line="85"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Long-term debt, including current portion, net: </w:t>
      </w:r>
      <w:r>
        <w:rPr>
          <w:rFonts w:ascii="Times New Roman" w:cs="Times New Roman" w:eastAsia="Times New Roman" w:hAnsi="Times New Roman"/>
          <w:sz w:val="12"/>
          <w:szCs w:val="12"/>
          <w:color w:val="auto"/>
        </w:rPr>
        <w:t>The carrying value of our long term bank loans and sale and leaseback agreements continues to approximate its fair value generally due to their variable interest rates. The carrying</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value has been adjusted to reflect the net presentation of deferred finance costs.</w:t>
      </w:r>
    </w:p>
    <w:p>
      <w:pPr>
        <w:spacing w:after="0" w:line="29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 (continued)</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estimated fair values of the Company’s financial instruments are as follows:</w:t>
      </w:r>
    </w:p>
    <w:p>
      <w:pPr>
        <w:sectPr>
          <w:pgSz w:w="11900" w:h="16838" w:orient="portrait"/>
          <w:cols w:equalWidth="0" w:num="1">
            <w:col w:w="11300"/>
          </w:cols>
          <w:pgMar w:left="300" w:top="201" w:right="299" w:bottom="1440" w:gutter="0" w:footer="0" w:header="0"/>
        </w:sectPr>
      </w:pPr>
    </w:p>
    <w:p>
      <w:pPr>
        <w:spacing w:after="0" w:line="290"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2"/>
          <w:szCs w:val="12"/>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3801110</wp:posOffset>
            </wp:positionH>
            <wp:positionV relativeFrom="paragraph">
              <wp:posOffset>13335</wp:posOffset>
            </wp:positionV>
            <wp:extent cx="1663065"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3">
                      <a:extLst>
                        <a:ext uri="{28A0092B-C50C-407E-A947-70E740481C1C}"/>
                      </a:extLst>
                    </a:blip>
                    <a:srcRect/>
                    <a:stretch>
                      <a:fillRect/>
                    </a:stretch>
                  </pic:blipFill>
                  <pic:spPr bwMode="auto">
                    <a:xfrm>
                      <a:off x="0" y="0"/>
                      <a:ext cx="1663065" cy="5715"/>
                    </a:xfrm>
                    <a:prstGeom prst="rect">
                      <a:avLst/>
                    </a:prstGeom>
                    <a:noFill/>
                  </pic:spPr>
                </pic:pic>
              </a:graphicData>
            </a:graphic>
          </wp:anchor>
        </w:drawing>
        <w:drawing>
          <wp:anchor simplePos="0" relativeHeight="251657728" behindDoc="1" locked="0" layoutInCell="0" allowOverlap="1">
            <wp:simplePos x="0" y="0"/>
            <wp:positionH relativeFrom="column">
              <wp:posOffset>3801110</wp:posOffset>
            </wp:positionH>
            <wp:positionV relativeFrom="paragraph">
              <wp:posOffset>-83185</wp:posOffset>
            </wp:positionV>
            <wp:extent cx="1663065"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4">
                      <a:extLst>
                        <a:ext uri="{28A0092B-C50C-407E-A947-70E740481C1C}"/>
                      </a:extLst>
                    </a:blip>
                    <a:srcRect/>
                    <a:stretch>
                      <a:fillRect/>
                    </a:stretch>
                  </pic:blipFill>
                  <pic:spPr bwMode="auto">
                    <a:xfrm>
                      <a:off x="0" y="0"/>
                      <a:ext cx="1663065" cy="5715"/>
                    </a:xfrm>
                    <a:prstGeom prst="rect">
                      <a:avLst/>
                    </a:prstGeom>
                    <a:noFill/>
                  </pic:spPr>
                </pic:pic>
              </a:graphicData>
            </a:graphic>
          </wp:anchor>
        </w:drawing>
      </w:r>
    </w:p>
    <w:p>
      <w:pPr>
        <w:spacing w:after="0" w:line="1" w:lineRule="exact"/>
        <w:rPr>
          <w:sz w:val="20"/>
          <w:szCs w:val="20"/>
          <w:color w:val="auto"/>
        </w:rPr>
      </w:pPr>
    </w:p>
    <w:p>
      <w:pPr>
        <w:ind w:left="6580"/>
        <w:spacing w:after="0"/>
        <w:tabs>
          <w:tab w:leader="none" w:pos="7980" w:val="left"/>
        </w:tabs>
        <w:rPr>
          <w:sz w:val="20"/>
          <w:szCs w:val="20"/>
          <w:color w:val="auto"/>
        </w:rPr>
      </w:pPr>
      <w:r>
        <w:rPr>
          <w:rFonts w:ascii="Times New Roman" w:cs="Times New Roman" w:eastAsia="Times New Roman" w:hAnsi="Times New Roman"/>
          <w:sz w:val="12"/>
          <w:szCs w:val="12"/>
          <w:b w:val="1"/>
          <w:bCs w:val="1"/>
          <w:color w:val="auto"/>
        </w:rPr>
        <w:t>Book Value</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20" w:lineRule="exact"/>
        <w:rPr>
          <w:sz w:val="20"/>
          <w:szCs w:val="20"/>
          <w:color w:val="auto"/>
        </w:rPr>
      </w:pPr>
      <w:r>
        <w:rPr>
          <w:sz w:val="20"/>
          <w:szCs w:val="20"/>
          <w:color w:val="auto"/>
        </w:rPr>
        <w:br w:type="column"/>
      </w:r>
    </w:p>
    <w:p>
      <w:pPr>
        <w:spacing w:after="0" w:line="27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2"/>
          <w:szCs w:val="12"/>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13335</wp:posOffset>
            </wp:positionV>
            <wp:extent cx="1634490"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5">
                      <a:extLst>
                        <a:ext uri="{28A0092B-C50C-407E-A947-70E740481C1C}"/>
                      </a:extLst>
                    </a:blip>
                    <a:srcRect/>
                    <a:stretch>
                      <a:fillRect/>
                    </a:stretch>
                  </pic:blipFill>
                  <pic:spPr bwMode="auto">
                    <a:xfrm>
                      <a:off x="0" y="0"/>
                      <a:ext cx="1634490" cy="5715"/>
                    </a:xfrm>
                    <a:prstGeom prst="rect">
                      <a:avLst/>
                    </a:prstGeom>
                    <a:noFill/>
                  </pic:spPr>
                </pic:pic>
              </a:graphicData>
            </a:graphic>
          </wp:anchor>
        </w:drawing>
        <w:drawing>
          <wp:anchor simplePos="0" relativeHeight="251657728" behindDoc="1" locked="0" layoutInCell="0" allowOverlap="1">
            <wp:simplePos x="0" y="0"/>
            <wp:positionH relativeFrom="column">
              <wp:posOffset>-366395</wp:posOffset>
            </wp:positionH>
            <wp:positionV relativeFrom="paragraph">
              <wp:posOffset>-83185</wp:posOffset>
            </wp:positionV>
            <wp:extent cx="163449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6">
                      <a:extLst>
                        <a:ext uri="{28A0092B-C50C-407E-A947-70E740481C1C}"/>
                      </a:extLst>
                    </a:blip>
                    <a:srcRect/>
                    <a:stretch>
                      <a:fillRect/>
                    </a:stretch>
                  </pic:blipFill>
                  <pic:spPr bwMode="auto">
                    <a:xfrm>
                      <a:off x="0" y="0"/>
                      <a:ext cx="1634490" cy="5715"/>
                    </a:xfrm>
                    <a:prstGeom prst="rect">
                      <a:avLst/>
                    </a:prstGeom>
                    <a:noFill/>
                  </pic:spPr>
                </pic:pic>
              </a:graphicData>
            </a:graphic>
          </wp:anchor>
        </w:drawing>
      </w:r>
    </w:p>
    <w:p>
      <w:pPr>
        <w:spacing w:after="0" w:line="1"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2"/>
          <w:szCs w:val="12"/>
          <w:b w:val="1"/>
          <w:bCs w:val="1"/>
          <w:color w:val="auto"/>
        </w:rPr>
        <w:t>Book Value</w:t>
      </w:r>
      <w:r>
        <w:rPr>
          <w:sz w:val="20"/>
          <w:szCs w:val="20"/>
          <w:color w:val="auto"/>
        </w:rPr>
        <w:tab/>
      </w:r>
      <w:r>
        <w:rPr>
          <w:rFonts w:ascii="Times New Roman" w:cs="Times New Roman" w:eastAsia="Times New Roman" w:hAnsi="Times New Roman"/>
          <w:sz w:val="11"/>
          <w:szCs w:val="11"/>
          <w:b w:val="1"/>
          <w:bCs w:val="1"/>
          <w:color w:val="auto"/>
        </w:rPr>
        <w:t>Fair Value</w:t>
      </w:r>
    </w:p>
    <w:p>
      <w:pPr>
        <w:spacing w:after="0" w:line="15" w:lineRule="exact"/>
        <w:rPr>
          <w:sz w:val="20"/>
          <w:szCs w:val="20"/>
          <w:color w:val="auto"/>
        </w:rPr>
      </w:pPr>
    </w:p>
    <w:p>
      <w:pPr>
        <w:sectPr>
          <w:pgSz w:w="11900" w:h="16838" w:orient="portrait"/>
          <w:cols w:equalWidth="0" w:num="2">
            <w:col w:w="8580" w:space="720"/>
            <w:col w:w="2000"/>
          </w:cols>
          <w:pgMar w:left="300" w:top="201" w:right="29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446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52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273,876</w:t>
            </w:r>
          </w:p>
        </w:tc>
        <w:tc>
          <w:tcPr>
            <w:tcW w:w="580" w:type="dxa"/>
            <w:vAlign w:val="bottom"/>
            <w:tcBorders>
              <w:top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tcBorders>
              <w:top w:val="single" w:sz="8" w:color="auto"/>
            </w:tcBorders>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273,876</w:t>
            </w:r>
          </w:p>
        </w:tc>
        <w:tc>
          <w:tcPr>
            <w:tcW w:w="480" w:type="dxa"/>
            <w:vAlign w:val="bottom"/>
            <w:tcBorders>
              <w:top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tcBorders>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141,375</w:t>
            </w:r>
          </w:p>
        </w:tc>
        <w:tc>
          <w:tcPr>
            <w:tcW w:w="440" w:type="dxa"/>
            <w:vAlign w:val="bottom"/>
            <w:tcBorders>
              <w:top w:val="single" w:sz="8" w:color="auto"/>
            </w:tcBorders>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141,375</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Time deposits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199,100</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199,100</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26,150</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26,150</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Restricted cash and other instruments</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164,120</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164,120</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106,249</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106,249</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Derivative assets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5,234</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5,234</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20,406</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20,406</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148</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148</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342</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Due to related parties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(692)</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(692)</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(723)</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(723)</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Credit facilities and financial liabilities, including current portion, net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(689,142)</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(694,709)</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(684,057)</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(691,099)</w:t>
            </w:r>
          </w:p>
        </w:tc>
      </w:tr>
      <w:tr>
        <w:trPr>
          <w:trHeight w:val="279"/>
        </w:trPr>
        <w:tc>
          <w:tcPr>
            <w:tcW w:w="4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4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Fair Value Measurements as at December 31, 2025</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33"/>
        </w:trPr>
        <w:tc>
          <w:tcPr>
            <w:tcW w:w="446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Level I</w:t>
            </w: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Level II</w:t>
            </w: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Level III</w:t>
            </w:r>
          </w:p>
        </w:tc>
      </w:tr>
      <w:tr>
        <w:trPr>
          <w:trHeight w:val="133"/>
        </w:trPr>
        <w:tc>
          <w:tcPr>
            <w:tcW w:w="44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5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273,876</w:t>
            </w:r>
          </w:p>
        </w:tc>
        <w:tc>
          <w:tcPr>
            <w:tcW w:w="58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273,876</w:t>
            </w:r>
          </w:p>
        </w:tc>
        <w:tc>
          <w:tcPr>
            <w:tcW w:w="48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Time deposits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199,100</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199,100</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Restricted cash and other instruments</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164,120</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164,120</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Derivative assets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5,234</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5,234</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148</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148</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Due to related parties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(692)</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(692)</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Credit facilities and financial liabilities, including current portion, net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(694,709)</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(694,709)</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279"/>
        </w:trPr>
        <w:tc>
          <w:tcPr>
            <w:tcW w:w="4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4"/>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r>
        <w:trPr>
          <w:trHeight w:val="142"/>
        </w:trPr>
        <w:tc>
          <w:tcPr>
            <w:tcW w:w="44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84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Fair Value Measurements as at December 31, 2024</w:t>
            </w:r>
          </w:p>
        </w:tc>
        <w:tc>
          <w:tcPr>
            <w:tcW w:w="4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r>
      <w:tr>
        <w:trPr>
          <w:trHeight w:val="133"/>
        </w:trPr>
        <w:tc>
          <w:tcPr>
            <w:tcW w:w="4460" w:type="dxa"/>
            <w:vAlign w:val="bottom"/>
            <w:tcBorders>
              <w:bottom w:val="single" w:sz="8" w:color="CCEEFF"/>
            </w:tcBorders>
          </w:tcPr>
          <w:p>
            <w:pPr>
              <w:spacing w:after="0"/>
              <w:rPr>
                <w:sz w:val="11"/>
                <w:szCs w:val="11"/>
                <w:color w:val="auto"/>
              </w:rPr>
            </w:pPr>
          </w:p>
        </w:tc>
        <w:tc>
          <w:tcPr>
            <w:tcW w:w="15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5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Level I</w:t>
            </w:r>
          </w:p>
        </w:tc>
        <w:tc>
          <w:tcPr>
            <w:tcW w:w="4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Level II</w:t>
            </w:r>
          </w:p>
        </w:tc>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Level III</w:t>
            </w:r>
          </w:p>
        </w:tc>
      </w:tr>
      <w:tr>
        <w:trPr>
          <w:trHeight w:val="133"/>
        </w:trPr>
        <w:tc>
          <w:tcPr>
            <w:tcW w:w="44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Cash and cash equivalents</w:t>
            </w:r>
          </w:p>
        </w:tc>
        <w:tc>
          <w:tcPr>
            <w:tcW w:w="152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18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141,375</w:t>
            </w:r>
          </w:p>
        </w:tc>
        <w:tc>
          <w:tcPr>
            <w:tcW w:w="58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line="133" w:lineRule="exact"/>
              <w:rPr>
                <w:sz w:val="20"/>
                <w:szCs w:val="20"/>
                <w:color w:val="auto"/>
              </w:rPr>
            </w:pPr>
            <w:r>
              <w:rPr>
                <w:rFonts w:ascii="Times New Roman" w:cs="Times New Roman" w:eastAsia="Times New Roman" w:hAnsi="Times New Roman"/>
                <w:sz w:val="12"/>
                <w:szCs w:val="12"/>
                <w:color w:val="auto"/>
              </w:rPr>
              <w:t>141,375</w:t>
            </w:r>
          </w:p>
        </w:tc>
        <w:tc>
          <w:tcPr>
            <w:tcW w:w="48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Time deposits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26,150</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26,150</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Restricted cash</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106,249</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106,249</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Derivative assets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20,406</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20,406</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Due from related parties</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342</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342</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Due to related parties</w:t>
            </w:r>
          </w:p>
        </w:tc>
        <w:tc>
          <w:tcPr>
            <w:tcW w:w="20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(723)</w:t>
            </w:r>
          </w:p>
        </w:tc>
        <w:tc>
          <w:tcPr>
            <w:tcW w:w="5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rPr>
              <w:t>(723)</w:t>
            </w:r>
          </w:p>
        </w:tc>
        <w:tc>
          <w:tcPr>
            <w:tcW w:w="48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4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Credit facilities and financial liabilities, including current portion, net</w:t>
            </w:r>
          </w:p>
        </w:tc>
        <w:tc>
          <w:tcPr>
            <w:tcW w:w="2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(691,099)</w:t>
            </w:r>
          </w:p>
        </w:tc>
        <w:tc>
          <w:tcPr>
            <w:tcW w:w="5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(691,099)</w:t>
            </w:r>
          </w:p>
        </w:tc>
        <w:tc>
          <w:tcPr>
            <w:tcW w:w="44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531"/>
        </w:trPr>
        <w:tc>
          <w:tcPr>
            <w:tcW w:w="44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2"/>
                <w:szCs w:val="12"/>
                <w:color w:val="auto"/>
              </w:rPr>
              <w:t>F-20</w:t>
            </w:r>
          </w:p>
        </w:tc>
        <w:tc>
          <w:tcPr>
            <w:tcW w:w="7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 (continued)</w:t>
      </w:r>
    </w:p>
    <w:p>
      <w:pPr>
        <w:spacing w:after="0" w:line="1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In December 2021, the Company purchased interest rate caps with an aggregate notional amount of $484,106, which amortizes over time as the Company’s outstanding debt balances decline. In February 2022, the Company further hedged its exposure by putting in place two USD one-month LIBOR interest rate caps of 0.75% through fourth quarter 2026, on $507,891 of its floating rate debt. The second-interest rate cap was not designated as a cash flow hedge and therefore the negative fair value adjustment of $4,952 as of December 31, 2025, was recorded through Consolidated Statements of Income ($5,170 negative fair value adjustment and $5,372 negative fair value adjustment for December 31, 2024, and 2023, respectively). ASC 815-20-25-13a stipulates that an entity may designate either all or certain future interest payments on variable-rate debt as the hedged exposure in a cash flow hedge relationship. The Company is designating certain future interest payments on its outstanding variable-rate debt as the hedged item in this relationship. Under ASC 815-20-25-106e, “for cash flow hedges of the interest payments on only a portion of the principal amount of the interest-bearing asset or liability, the notional amount of the interest rate cap designated as the hedging instrument matches the principal amount of the portion of the asset or liability on which the hedged interest payments are based”. In this case, the Company has designated only a portion of its outstanding debt (initially, $253,946) as the hedged item, and any interest payments beyond the notional amount of the interest rate cap in any given period are not designated as being hedged. During 2023,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 The Company assesses the effectiveness of the hedges on an ongoing basis. The amounts included in accumulated other comprehensive income will be reclassified to interest expense should the hedge no longer be considered effective.</w:t>
      </w:r>
    </w:p>
    <w:p>
      <w:pPr>
        <w:spacing w:after="0" w:line="10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2025, 2024 and 2023, following a quantitative assessment, part of the hedges were no longer considered effective and an amount of $nil, ($877) and ($214), respectively, was reclassified to other comprehensive income to the Consolidated Statements of Income.</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The objective of the hedges is to reduce the variability of cash flows associated with the interest rates relating to the Company’s variable rate borrowings. When derivatives are used, the Company is exposed to credit loss in the event of non-performance by the counterparties; however, non-performance is not anticipated.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requires companies to recognize all derivative instruments as either assets or liabilities at fair value in the balance sheet. The fair values of the interest rate derivatives are based on quoted market prices for similar instruments from commercial banks (based on significant observable inputs – Level 2 inputs).</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April 4, 2024, the Company entered into a foreign exchange option strip (“FX option”) to purchase €3,000, with monthly settlements, starting April 11, 2024, and ended March 13, 2025. The strike price was EURUSD 1.10. The Company entered to this option to hedge the downside foreign exchange risk associated with expenses denominated in EUR against fluctuations between the US Dollar and Euro. This FX option was designated as a cash flow hedge of anticipated expenses totaling €3,000, expected to occur each month. Changes in the fair value of the option other than “intrinsic value” were excluded from the assessment of effectiveness. The effectiveness of the hedging relationship were periodically assessed during the life of the hedge by comparing the terms of the option and the forecasted expenses to ensure that they continued to coincide. Should the critical terms no longer matched exactly, hedge effectiveness (both prospective and retrospective) was assessed by evaluating the dollar-offset ratio of the spot intrinsic value of the actual option contract and a hypothetically perfect option contract.</w:t>
      </w:r>
    </w:p>
    <w:p>
      <w:pPr>
        <w:spacing w:after="0" w:line="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Financial Risk Management: </w:t>
      </w:r>
      <w:r>
        <w:rPr>
          <w:rFonts w:ascii="Times New Roman" w:cs="Times New Roman" w:eastAsia="Times New Roman" w:hAnsi="Times New Roman"/>
          <w:sz w:val="12"/>
          <w:szCs w:val="12"/>
          <w:color w:val="auto"/>
        </w:rPr>
        <w:t>The Company activities expose it to a variety of financial risks including fluctuations in, time charter rates, credit and interest rates risk. Risk management is carried out under policies approved by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management. Guidelines are established for overall risk management, as well as specific areas of operations.</w:t>
      </w: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 Significant Accounting Policies (continued)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(y) Fair Value Measurement and Financial Instruments (continued)</w:t>
      </w:r>
    </w:p>
    <w:p>
      <w:pPr>
        <w:spacing w:after="0" w:line="12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Credit Risk: </w:t>
      </w:r>
      <w:r>
        <w:rPr>
          <w:rFonts w:ascii="Times New Roman" w:cs="Times New Roman" w:eastAsia="Times New Roman" w:hAnsi="Times New Roman"/>
          <w:sz w:val="12"/>
          <w:szCs w:val="12"/>
          <w:color w:val="auto"/>
        </w:rPr>
        <w:t>The Company closely monitors its credit exposure to customers and counter-parties for credit risk. The Company has entered into commercial management agreement with Conchart Commercial Inc. (“Conchart”), pursuant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which Conchart has agreed to provide commercial management services to the Company, including the negotiation, on behalf of the Company, of vessel employment contracts (see Note 14). Conchart has policies in place to ensure that it trades with customers and counterparties with an appropriate credit history. Financial instruments that potentially subject the Company to concentrations of credit risk are accounts receivable and cash and cash equivalents and time deposits. The Company does not believe its exposure to credit risk is likely to have a material adverse effect on its financial position, results of operations or cash flows.</w:t>
      </w:r>
    </w:p>
    <w:p>
      <w:pPr>
        <w:spacing w:after="0" w:line="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Liquidity Risk: </w:t>
      </w:r>
      <w:r>
        <w:rPr>
          <w:rFonts w:ascii="Times New Roman" w:cs="Times New Roman" w:eastAsia="Times New Roman" w:hAnsi="Times New Roman"/>
          <w:sz w:val="12"/>
          <w:szCs w:val="12"/>
          <w:color w:val="auto"/>
        </w:rPr>
        <w:t>Prudent liquidity risk management implies maintaining sufficient cash and marketable securities, the availability of funding through an adequate amount of committed credit facilities and the ability to close out market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positions. The Company monitors cash balances appropriately to meet working capital needs.</w:t>
      </w:r>
    </w:p>
    <w:p>
      <w:pPr>
        <w:spacing w:after="0" w:line="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i w:val="1"/>
          <w:iCs w:val="1"/>
          <w:color w:val="auto"/>
        </w:rPr>
        <w:t xml:space="preserve">Foreign Exchange Risk: </w:t>
      </w:r>
      <w:r>
        <w:rPr>
          <w:rFonts w:ascii="Times New Roman" w:cs="Times New Roman" w:eastAsia="Times New Roman" w:hAnsi="Times New Roman"/>
          <w:sz w:val="12"/>
          <w:szCs w:val="12"/>
          <w:color w:val="auto"/>
        </w:rPr>
        <w:t>Foreign currency transactions are translated into the measurement currency rates prevailing at the dates of transactions. Foreign exchange gains and losses resulting from the settlement of such transactions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from the translation of monetary assets and liabilities denominated in foreign currencies are recognized in the Consolidated Statements of Income.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(z) Derivative instruments</w:t>
      </w:r>
    </w:p>
    <w:p>
      <w:pPr>
        <w:spacing w:after="0" w:line="136"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is exposed to interest rate risk relating to its variable rate borrowings. In December 2021, the Company purchased interest rate caps with an aggregate notional amount of $484,106 (“December 2021 hedging”), which amount reduces over time as the Company’s outstanding debt balances amortize. The objective of the hedges is to reduce the variability of cash flows associated with the interest relating to its variable rate borrowings.</w:t>
      </w:r>
    </w:p>
    <w:p>
      <w:pPr>
        <w:spacing w:after="0" w:line="8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the inception of the transaction, the Company documents the relationship between hedging instruments and hedged items, as well as its risk management objective and the strategy for undertaking various hedging transactions. The Company also documents its assessment, both at the hedge inception and on an ongoing basis, of whether the derivative financial instruments that are used in hedging transactions are highly effective in offsetting changes in fair values or cash flows of hedged items.</w:t>
      </w:r>
    </w:p>
    <w:p>
      <w:pPr>
        <w:spacing w:after="0" w:line="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This transaction is designated as a cash flow hedge, and under ASU 2017-12, cash flow hedge accounting allows all changes in fair value to be recorded through Other Comprehensive Income once hedge effectiveness has been established. Under ASC 815-30-35-38, amounts in accumulated other comprehensive income shall be reclassified into earnings in the same period or periods during which the hedged forecasted transaction affects earnings (i.e., each quarter) and shall be presented in the same income statement line item as the earnings effect of the hedged item in accordance with paragraph 815-20-45-1A.</w:t>
      </w:r>
    </w:p>
    <w:p>
      <w:pPr>
        <w:spacing w:after="0" w:line="9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premium paid related to this derivative was classified in the Consolidated Statements of Cash Flows as operating activities in the line item “Derivative asset”. The premium shall be amortized into earnings “on a systematic and rational basis over the period in which the hedged transaction affects earnings” (ASC 815-30-35-41A); that is, the Company will expense the premium over the life of the interest rate cap in accordance with the “caplet method”, as described in Derivatives Implementation Group (DIG) Issue G20. DIG Issue G20 dictates that the cost of the interest rate cap is recognized on earnings over time, based on the value of each periodic caplet. The cost per period will change as the caplet for that period changes in value. Given that the interest rate cap is forward-starting, expense of the premium will not begin until the effective start date of the interest rate cap, in order to match potential cap revenue with the cap expenses in the period in which they are incurred.</w:t>
      </w:r>
    </w:p>
    <w:p>
      <w:pPr>
        <w:spacing w:after="0" w:line="35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0" w:name="page121"/>
    <w:bookmarkEnd w:id="12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128" w:hanging="128"/>
        <w:spacing w:after="0"/>
        <w:tabs>
          <w:tab w:leader="none" w:pos="128" w:val="left"/>
        </w:tabs>
        <w:numPr>
          <w:ilvl w:val="0"/>
          <w:numId w:val="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Significant Accounting Policies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(z) Derivative instruments (continued)</w:t>
      </w:r>
    </w:p>
    <w:p>
      <w:pPr>
        <w:spacing w:after="0" w:line="136"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In February 2022, the Company purchased two interest rate caps with an aggregate notional amount of $507,891. The first interest rate cap of $253,946 which has been designated as a cash flow hedge, has the same accounting treatment as described above for the December 2021 hedging. The second interest rate cap was not designated as a cash flow hedge and a negative fair value adjustment of $4,952 as at December 31, 2025, was recorded through Consolidated Statements of Income ($5,170 negative fair value adjustment and $5,372 negative fair value adjustment for December 31, 2024 and 2023, respectively).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(see Note 9). As of December 31, 2025, all Company’s loan agreements have been amended and restated to take into effect the transition from LIBOR to the Secured Overnight Financing Rate (“SOFR”) and the relevant provisions on a replacement rate. In addition, the Company’s interest rate caps automatically transited to 1-month Compounded SOFR on July 1, 2023, at a level of 0.64%.</w:t>
      </w:r>
    </w:p>
    <w:p>
      <w:pPr>
        <w:spacing w:after="0" w:line="9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2025, interest rate cap notional amount covers ~75% of the outstanding floating debt. As of December 31, 2025, 2024 and 2023, following a quantitative assessment, part of the hedge was no longer considered effective and an amount of $nil, ($877) and ($214), respectively, was reclassified to other comprehensive income to the Consolidated Statements of Income.</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(zi) Recently issued accounting standards</w:t>
      </w:r>
    </w:p>
    <w:p>
      <w:pPr>
        <w:spacing w:after="0" w:line="127"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In November 2024, the FASB issued ASU 2024-03, Income Statement—Reporting Comprehensive Income—Expense Disaggregation Disclosures (Subtopic 220-40): Disaggregation of Income Statement Expenses. The standard is intended to enhance transparency of income statement disclosures primarily through additional disaggregation of relevant expense captions. The standard is effective for annual reporting periods beginning after December 15, 2026, and interim periods beginning after December 15, 2027, with prospective or retrospective application permitted. The Company is currently evaluating the potential impact of adopting this standard on the Company’s Consolidated Financial Statements and disclosures.</w:t>
      </w:r>
    </w:p>
    <w:p>
      <w:pPr>
        <w:spacing w:after="0" w:line="118"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8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 Restricted Cash and other instruments</w:t>
            </w:r>
          </w:p>
        </w:tc>
        <w:tc>
          <w:tcPr>
            <w:tcW w:w="2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88"/>
        </w:trPr>
        <w:tc>
          <w:tcPr>
            <w:tcW w:w="8440" w:type="dxa"/>
            <w:vAlign w:val="bottom"/>
          </w:tcPr>
          <w:p>
            <w:pPr>
              <w:spacing w:after="0"/>
              <w:rPr>
                <w:sz w:val="20"/>
                <w:szCs w:val="20"/>
                <w:color w:val="auto"/>
              </w:rPr>
            </w:pPr>
            <w:r>
              <w:rPr>
                <w:rFonts w:ascii="Times New Roman" w:cs="Times New Roman" w:eastAsia="Times New Roman" w:hAnsi="Times New Roman"/>
                <w:sz w:val="12"/>
                <w:szCs w:val="12"/>
                <w:color w:val="auto"/>
              </w:rPr>
              <w:t>Restricted cash and other instruments as of December 31, 2025, and 2024 consisted of the following:</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8"/>
        </w:trPr>
        <w:tc>
          <w:tcPr>
            <w:tcW w:w="8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44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Retention accounts</w:t>
            </w:r>
          </w:p>
        </w:tc>
        <w:tc>
          <w:tcPr>
            <w:tcW w:w="220" w:type="dxa"/>
            <w:vAlign w:val="bottom"/>
            <w:tcBorders>
              <w:top w:val="single" w:sz="8" w:color="auto"/>
            </w:tcBorders>
            <w:shd w:val="clear" w:color="auto" w:fill="CCEEFF"/>
          </w:tcPr>
          <w:p>
            <w:pPr>
              <w:jc w:val="right"/>
              <w:ind w:right="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6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15,624</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6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20,724</w:t>
            </w:r>
          </w:p>
        </w:tc>
      </w:tr>
      <w:tr>
        <w:trPr>
          <w:trHeight w:val="144"/>
        </w:trPr>
        <w:tc>
          <w:tcPr>
            <w:tcW w:w="8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bank deposits/Drydock reserves</w:t>
            </w:r>
          </w:p>
        </w:tc>
        <w:tc>
          <w:tcPr>
            <w:tcW w:w="220" w:type="dxa"/>
            <w:vAlign w:val="bottom"/>
          </w:tcPr>
          <w:p>
            <w:pPr>
              <w:spacing w:after="0"/>
              <w:rPr>
                <w:sz w:val="12"/>
                <w:szCs w:val="12"/>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1,402</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w:t>
            </w:r>
          </w:p>
        </w:tc>
      </w:tr>
      <w:tr>
        <w:trPr>
          <w:trHeight w:val="171"/>
        </w:trPr>
        <w:tc>
          <w:tcPr>
            <w:tcW w:w="8440" w:type="dxa"/>
            <w:vAlign w:val="bottom"/>
            <w:shd w:val="clear" w:color="auto" w:fill="CCEEFF"/>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Cash collateral </w:t>
            </w:r>
            <w:r>
              <w:rPr>
                <w:rFonts w:ascii="Times New Roman" w:cs="Times New Roman" w:eastAsia="Times New Roman" w:hAnsi="Times New Roman"/>
                <w:sz w:val="19"/>
                <w:szCs w:val="19"/>
                <w:color w:val="auto"/>
                <w:vertAlign w:val="superscript"/>
              </w:rPr>
              <w:t>(*)</w:t>
            </w:r>
          </w:p>
        </w:tc>
        <w:tc>
          <w:tcPr>
            <w:tcW w:w="22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33,494</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32,850</w:t>
            </w:r>
          </w:p>
        </w:tc>
      </w:tr>
      <w:tr>
        <w:trPr>
          <w:trHeight w:val="133"/>
        </w:trPr>
        <w:tc>
          <w:tcPr>
            <w:tcW w:w="844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Restricted Cash</w:t>
            </w:r>
          </w:p>
        </w:tc>
        <w:tc>
          <w:tcPr>
            <w:tcW w:w="22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50,520</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55,583</w:t>
            </w:r>
          </w:p>
        </w:tc>
      </w:tr>
      <w:tr>
        <w:trPr>
          <w:trHeight w:val="142"/>
        </w:trPr>
        <w:tc>
          <w:tcPr>
            <w:tcW w:w="8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r>
      <w:tr>
        <w:trPr>
          <w:trHeight w:val="171"/>
        </w:trPr>
        <w:tc>
          <w:tcPr>
            <w:tcW w:w="8440" w:type="dxa"/>
            <w:vAlign w:val="bottom"/>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Cash collateral and other instruments </w:t>
            </w:r>
            <w:r>
              <w:rPr>
                <w:rFonts w:ascii="Times New Roman" w:cs="Times New Roman" w:eastAsia="Times New Roman" w:hAnsi="Times New Roman"/>
                <w:sz w:val="19"/>
                <w:szCs w:val="19"/>
                <w:color w:val="auto"/>
                <w:vertAlign w:val="superscript"/>
              </w:rPr>
              <w:t>(*)</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113,588</w:t>
            </w:r>
          </w:p>
        </w:tc>
        <w:tc>
          <w:tcPr>
            <w:tcW w:w="100" w:type="dxa"/>
            <w:vAlign w:val="bottom"/>
          </w:tcPr>
          <w:p>
            <w:pPr>
              <w:spacing w:after="0"/>
              <w:rPr>
                <w:sz w:val="14"/>
                <w:szCs w:val="14"/>
                <w:color w:val="auto"/>
              </w:rPr>
            </w:pPr>
          </w:p>
        </w:tc>
        <w:tc>
          <w:tcPr>
            <w:tcW w:w="2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47,755</w:t>
            </w:r>
          </w:p>
        </w:tc>
      </w:tr>
      <w:tr>
        <w:trPr>
          <w:trHeight w:val="144"/>
        </w:trPr>
        <w:tc>
          <w:tcPr>
            <w:tcW w:w="84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Guarantee deposits</w:t>
            </w:r>
          </w:p>
        </w:tc>
        <w:tc>
          <w:tcPr>
            <w:tcW w:w="220" w:type="dxa"/>
            <w:vAlign w:val="bottom"/>
            <w:shd w:val="clear" w:color="auto" w:fill="CCEEFF"/>
          </w:tcPr>
          <w:p>
            <w:pPr>
              <w:spacing w:after="0"/>
              <w:rPr>
                <w:sz w:val="12"/>
                <w:szCs w:val="12"/>
                <w:color w:val="auto"/>
              </w:rPr>
            </w:pPr>
          </w:p>
        </w:tc>
        <w:tc>
          <w:tcPr>
            <w:tcW w:w="1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r>
      <w:tr>
        <w:trPr>
          <w:trHeight w:val="144"/>
        </w:trPr>
        <w:tc>
          <w:tcPr>
            <w:tcW w:w="84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Restricted bank deposits/Drydock reserves</w:t>
            </w:r>
          </w:p>
        </w:tc>
        <w:tc>
          <w:tcPr>
            <w:tcW w:w="220" w:type="dxa"/>
            <w:vAlign w:val="bottom"/>
          </w:tcPr>
          <w:p>
            <w:pPr>
              <w:spacing w:after="0"/>
              <w:rPr>
                <w:sz w:val="12"/>
                <w:szCs w:val="12"/>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2,900</w:t>
            </w:r>
          </w:p>
        </w:tc>
      </w:tr>
      <w:tr>
        <w:trPr>
          <w:trHeight w:val="133"/>
        </w:trPr>
        <w:tc>
          <w:tcPr>
            <w:tcW w:w="844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Non - Current Restricted Cash and other instruments</w:t>
            </w: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116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113,600</w:t>
            </w:r>
          </w:p>
        </w:tc>
        <w:tc>
          <w:tcPr>
            <w:tcW w:w="1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bottom w:val="single" w:sz="8" w:color="auto"/>
            </w:tcBorders>
            <w:shd w:val="clear" w:color="auto" w:fill="CCEEFF"/>
          </w:tcPr>
          <w:p>
            <w:pPr>
              <w:spacing w:after="0"/>
              <w:rPr>
                <w:sz w:val="11"/>
                <w:szCs w:val="11"/>
                <w:color w:val="auto"/>
              </w:rPr>
            </w:pPr>
          </w:p>
        </w:tc>
        <w:tc>
          <w:tcPr>
            <w:tcW w:w="114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50,666</w:t>
            </w:r>
          </w:p>
        </w:tc>
      </w:tr>
      <w:tr>
        <w:trPr>
          <w:trHeight w:val="133"/>
        </w:trPr>
        <w:tc>
          <w:tcPr>
            <w:tcW w:w="844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Current and Non - Current Restricted Cash and other instruments</w:t>
            </w:r>
          </w:p>
        </w:tc>
        <w:tc>
          <w:tcPr>
            <w:tcW w:w="220" w:type="dxa"/>
            <w:vAlign w:val="bottom"/>
            <w:tcBorders>
              <w:bottom w:val="single" w:sz="8" w:color="auto"/>
            </w:tcBorders>
          </w:tcPr>
          <w:p>
            <w:pPr>
              <w:jc w:val="right"/>
              <w:ind w:right="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6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164,120</w:t>
            </w:r>
          </w:p>
        </w:tc>
        <w:tc>
          <w:tcPr>
            <w:tcW w:w="100" w:type="dxa"/>
            <w:vAlign w:val="bottom"/>
          </w:tcPr>
          <w:p>
            <w:pPr>
              <w:spacing w:after="0"/>
              <w:rPr>
                <w:sz w:val="11"/>
                <w:szCs w:val="11"/>
                <w:color w:val="auto"/>
              </w:rPr>
            </w:pPr>
          </w:p>
        </w:tc>
        <w:tc>
          <w:tcPr>
            <w:tcW w:w="240" w:type="dxa"/>
            <w:vAlign w:val="bottom"/>
            <w:tcBorders>
              <w:bottom w:val="single" w:sz="8" w:color="auto"/>
            </w:tcBorders>
          </w:tcPr>
          <w:p>
            <w:pPr>
              <w:jc w:val="right"/>
              <w:ind w:right="6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106,249</w:t>
            </w:r>
          </w:p>
        </w:tc>
      </w:tr>
    </w:tbl>
    <w:p>
      <w:pPr>
        <w:spacing w:after="0" w:line="106" w:lineRule="exact"/>
        <w:rPr>
          <w:sz w:val="20"/>
          <w:szCs w:val="20"/>
          <w:color w:val="auto"/>
        </w:rPr>
      </w:pPr>
    </w:p>
    <w:p>
      <w:pPr>
        <w:ind w:left="148" w:right="220" w:hanging="143"/>
        <w:spacing w:after="0" w:line="279" w:lineRule="auto"/>
        <w:rPr>
          <w:sz w:val="20"/>
          <w:szCs w:val="20"/>
          <w:color w:val="auto"/>
        </w:rPr>
      </w:pPr>
      <w:r>
        <w:rPr>
          <w:rFonts w:ascii="Times New Roman" w:cs="Times New Roman" w:eastAsia="Times New Roman" w:hAnsi="Times New Roman"/>
          <w:sz w:val="12"/>
          <w:szCs w:val="12"/>
          <w:color w:val="auto"/>
        </w:rPr>
        <w:t>(*)Cash received in advance from charterers is held as cash collateral and other instruments with maturities exceeding three months see Note 2(e). For the years ended December 31, 2025, and 2024, instruments with maturities over three months were $98,656 and $nil, respectively.</w:t>
      </w:r>
    </w:p>
    <w:p>
      <w:pPr>
        <w:spacing w:after="0" w:line="35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 Vessels in Operation</w:t>
            </w: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61"/>
        </w:trPr>
        <w:tc>
          <w:tcPr>
            <w:tcW w:w="7140" w:type="dxa"/>
            <w:vAlign w:val="bottom"/>
          </w:tcPr>
          <w:p>
            <w:pPr>
              <w:spacing w:after="0"/>
              <w:rPr>
                <w:sz w:val="20"/>
                <w:szCs w:val="20"/>
                <w:color w:val="auto"/>
              </w:rPr>
            </w:pPr>
            <w:r>
              <w:rPr>
                <w:rFonts w:ascii="Times New Roman" w:cs="Times New Roman" w:eastAsia="Times New Roman" w:hAnsi="Times New Roman"/>
                <w:sz w:val="12"/>
                <w:szCs w:val="12"/>
                <w:color w:val="auto"/>
              </w:rPr>
              <w:t>Vessels in Operation as of December 31, 2025, 2024 and 2023 consisted of the following:</w:t>
            </w:r>
          </w:p>
        </w:tc>
        <w:tc>
          <w:tcPr>
            <w:tcW w:w="1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91"/>
        </w:trPr>
        <w:tc>
          <w:tcPr>
            <w:tcW w:w="7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Vessel Gross Cost,</w:t>
            </w: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44"/>
        </w:trPr>
        <w:tc>
          <w:tcPr>
            <w:tcW w:w="7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as adjusted for</w:t>
            </w:r>
          </w:p>
        </w:tc>
        <w:tc>
          <w:tcPr>
            <w:tcW w:w="340" w:type="dxa"/>
            <w:vAlign w:val="bottom"/>
          </w:tcPr>
          <w:p>
            <w:pPr>
              <w:spacing w:after="0"/>
              <w:rPr>
                <w:sz w:val="12"/>
                <w:szCs w:val="12"/>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59"/>
        </w:trPr>
        <w:tc>
          <w:tcPr>
            <w:tcW w:w="7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impairment charges</w:t>
            </w:r>
          </w:p>
        </w:tc>
        <w:tc>
          <w:tcPr>
            <w:tcW w:w="340" w:type="dxa"/>
            <w:vAlign w:val="bottom"/>
          </w:tcPr>
          <w:p>
            <w:pPr>
              <w:spacing w:after="0"/>
              <w:rPr>
                <w:sz w:val="13"/>
                <w:szCs w:val="13"/>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b w:val="1"/>
                <w:bCs w:val="1"/>
                <w:color w:val="auto"/>
              </w:rPr>
              <w:t>Depreciation</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Net Book Value</w:t>
            </w:r>
          </w:p>
        </w:tc>
      </w:tr>
      <w:tr>
        <w:trPr>
          <w:trHeight w:val="142"/>
        </w:trPr>
        <w:tc>
          <w:tcPr>
            <w:tcW w:w="7140" w:type="dxa"/>
            <w:vAlign w:val="bottom"/>
            <w:tcBorders>
              <w:top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As of January 1, 2023</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1,886,158</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(262,851)</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1,623,307</w:t>
            </w:r>
          </w:p>
        </w:tc>
      </w:tr>
      <w:tr>
        <w:trPr>
          <w:trHeight w:val="142"/>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2"/>
                <w:szCs w:val="12"/>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138,802</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138,802</w:t>
            </w:r>
          </w:p>
        </w:tc>
      </w:tr>
      <w:tr>
        <w:trPr>
          <w:trHeight w:val="144"/>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(72,443)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(72,443)</w:t>
            </w:r>
          </w:p>
        </w:tc>
      </w:tr>
      <w:tr>
        <w:trPr>
          <w:trHeight w:val="162"/>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Impairment loss</w:t>
            </w:r>
          </w:p>
        </w:tc>
        <w:tc>
          <w:tcPr>
            <w:tcW w:w="1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(25,544)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6,714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(18,830)</w:t>
            </w:r>
          </w:p>
        </w:tc>
      </w:t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Disposals</w:t>
            </w:r>
          </w:p>
        </w:tc>
        <w:tc>
          <w:tcPr>
            <w:tcW w:w="18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(6,803)</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68</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(6,735)</w:t>
            </w:r>
          </w:p>
        </w:tc>
      </w:tr>
      <w:tr>
        <w:trPr>
          <w:trHeight w:val="142"/>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1,992,613</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(328,512)</w:t>
            </w: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1,664,101</w:t>
            </w:r>
          </w:p>
        </w:tc>
      </w:tr>
      <w:tr>
        <w:trPr>
          <w:trHeight w:val="142"/>
        </w:trPr>
        <w:tc>
          <w:tcPr>
            <w:tcW w:w="7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2"/>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296,242</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296,242</w:t>
            </w:r>
          </w:p>
        </w:tc>
      </w:t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(75,703)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(75,703)</w:t>
            </w:r>
          </w:p>
        </w:tc>
      </w:tr>
      <w:tr>
        <w:trPr>
          <w:trHeight w:val="142"/>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color w:val="auto"/>
              </w:rPr>
              <w:t>As of December 31, 2024</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2,288,855</w:t>
            </w:r>
          </w:p>
        </w:tc>
        <w:tc>
          <w:tcPr>
            <w:tcW w:w="10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(404,215)</w:t>
            </w: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1,884,640</w:t>
            </w:r>
          </w:p>
        </w:tc>
      </w:tr>
      <w:tr>
        <w:trPr>
          <w:trHeight w:val="142"/>
        </w:trPr>
        <w:tc>
          <w:tcPr>
            <w:tcW w:w="7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62"/>
        </w:trPr>
        <w:tc>
          <w:tcPr>
            <w:tcW w:w="71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Additions</w:t>
            </w:r>
          </w:p>
        </w:tc>
        <w:tc>
          <w:tcPr>
            <w:tcW w:w="180" w:type="dxa"/>
            <w:vAlign w:val="bottom"/>
          </w:tcPr>
          <w:p>
            <w:pPr>
              <w:spacing w:after="0"/>
              <w:rPr>
                <w:sz w:val="14"/>
                <w:szCs w:val="14"/>
                <w:color w:val="auto"/>
              </w:rPr>
            </w:pPr>
          </w:p>
        </w:tc>
        <w:tc>
          <w:tcPr>
            <w:tcW w:w="11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203,314</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203,314</w:t>
            </w:r>
          </w:p>
        </w:tc>
      </w:tr>
      <w:tr>
        <w:trPr>
          <w:trHeight w:val="162"/>
        </w:trPr>
        <w:tc>
          <w:tcPr>
            <w:tcW w:w="7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Depreciation</w:t>
            </w:r>
          </w:p>
        </w:tc>
        <w:tc>
          <w:tcPr>
            <w:tcW w:w="18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(91,906)</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(91,906)</w:t>
            </w:r>
          </w:p>
        </w:tc>
      </w:tr>
      <w:tr>
        <w:trPr>
          <w:trHeight w:val="158"/>
        </w:trPr>
        <w:tc>
          <w:tcPr>
            <w:tcW w:w="714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color w:val="auto"/>
              </w:rPr>
              <w:t>Disposals</w:t>
            </w:r>
          </w:p>
        </w:tc>
        <w:tc>
          <w:tcPr>
            <w:tcW w:w="1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(61,111)</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27,951</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(33,160)</w:t>
            </w:r>
          </w:p>
        </w:tc>
      </w:tr>
      <w:tr>
        <w:trPr>
          <w:trHeight w:val="137"/>
        </w:trPr>
        <w:tc>
          <w:tcPr>
            <w:tcW w:w="7140" w:type="dxa"/>
            <w:vAlign w:val="bottom"/>
            <w:tcBorders>
              <w:bottom w:val="single" w:sz="8" w:color="CCEEFF"/>
            </w:tcBorders>
            <w:shd w:val="clear" w:color="auto" w:fill="CCEEFF"/>
          </w:tcPr>
          <w:p>
            <w:pPr>
              <w:ind w:left="60"/>
              <w:spacing w:after="0" w:line="137" w:lineRule="exact"/>
              <w:rPr>
                <w:sz w:val="20"/>
                <w:szCs w:val="20"/>
                <w:color w:val="auto"/>
              </w:rPr>
            </w:pPr>
            <w:r>
              <w:rPr>
                <w:rFonts w:ascii="Times New Roman" w:cs="Times New Roman" w:eastAsia="Times New Roman" w:hAnsi="Times New Roman"/>
                <w:sz w:val="12"/>
                <w:szCs w:val="12"/>
                <w:b w:val="1"/>
                <w:bCs w:val="1"/>
                <w:color w:val="auto"/>
              </w:rPr>
              <w:t>As of December 31, 2025</w:t>
            </w:r>
          </w:p>
        </w:tc>
        <w:tc>
          <w:tcPr>
            <w:tcW w:w="18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b w:val="1"/>
                <w:bCs w:val="1"/>
                <w:color w:val="auto"/>
              </w:rPr>
              <w:t>2,431,058</w:t>
            </w:r>
          </w:p>
        </w:tc>
        <w:tc>
          <w:tcPr>
            <w:tcW w:w="100" w:type="dxa"/>
            <w:vAlign w:val="bottom"/>
            <w:tcBorders>
              <w:bottom w:val="single" w:sz="8" w:color="CCEEFF"/>
            </w:tcBorders>
            <w:shd w:val="clear" w:color="auto" w:fill="CCEEFF"/>
          </w:tcPr>
          <w:p>
            <w:pPr>
              <w:spacing w:after="0"/>
              <w:rPr>
                <w:sz w:val="11"/>
                <w:szCs w:val="11"/>
                <w:color w:val="auto"/>
              </w:rPr>
            </w:pPr>
          </w:p>
        </w:tc>
        <w:tc>
          <w:tcPr>
            <w:tcW w:w="340" w:type="dxa"/>
            <w:vAlign w:val="bottom"/>
            <w:tcBorders>
              <w:bottom w:val="single" w:sz="8" w:color="auto"/>
            </w:tcBorders>
            <w:shd w:val="clear" w:color="auto" w:fill="CCEEFF"/>
          </w:tcPr>
          <w:p>
            <w:pPr>
              <w:jc w:val="right"/>
              <w:ind w:right="160"/>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shd w:val="clear" w:color="auto" w:fill="CCEEFF"/>
          </w:tcPr>
          <w:p>
            <w:pPr>
              <w:jc w:val="right"/>
              <w:ind w:right="20"/>
              <w:spacing w:after="0" w:line="137" w:lineRule="exact"/>
              <w:rPr>
                <w:sz w:val="20"/>
                <w:szCs w:val="20"/>
                <w:color w:val="auto"/>
              </w:rPr>
            </w:pPr>
            <w:r>
              <w:rPr>
                <w:rFonts w:ascii="Times New Roman" w:cs="Times New Roman" w:eastAsia="Times New Roman" w:hAnsi="Times New Roman"/>
                <w:sz w:val="12"/>
                <w:szCs w:val="12"/>
                <w:b w:val="1"/>
                <w:bCs w:val="1"/>
                <w:color w:val="auto"/>
              </w:rPr>
              <w:t>(468,170)</w:t>
            </w: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auto"/>
            </w:tcBorders>
            <w:shd w:val="clear" w:color="auto" w:fill="CCEEFF"/>
          </w:tcPr>
          <w:p>
            <w:pPr>
              <w:jc w:val="right"/>
              <w:ind w:right="120"/>
              <w:spacing w:after="0" w:line="137" w:lineRule="exact"/>
              <w:rPr>
                <w:sz w:val="20"/>
                <w:szCs w:val="20"/>
                <w:color w:val="auto"/>
              </w:rPr>
            </w:pPr>
            <w:r>
              <w:rPr>
                <w:rFonts w:ascii="Times New Roman" w:cs="Times New Roman" w:eastAsia="Times New Roman" w:hAnsi="Times New Roman"/>
                <w:sz w:val="12"/>
                <w:szCs w:val="12"/>
                <w:b w:val="1"/>
                <w:bCs w:val="1"/>
                <w:color w:val="auto"/>
              </w:rPr>
              <w:t>$</w:t>
            </w:r>
          </w:p>
        </w:tc>
        <w:tc>
          <w:tcPr>
            <w:tcW w:w="1020" w:type="dxa"/>
            <w:vAlign w:val="bottom"/>
            <w:tcBorders>
              <w:bottom w:val="single" w:sz="8" w:color="auto"/>
            </w:tcBorders>
            <w:shd w:val="clear" w:color="auto" w:fill="CCEEFF"/>
          </w:tcPr>
          <w:p>
            <w:pPr>
              <w:jc w:val="right"/>
              <w:spacing w:after="0" w:line="137" w:lineRule="exact"/>
              <w:rPr>
                <w:sz w:val="20"/>
                <w:szCs w:val="20"/>
                <w:color w:val="auto"/>
              </w:rPr>
            </w:pPr>
            <w:r>
              <w:rPr>
                <w:rFonts w:ascii="Times New Roman" w:cs="Times New Roman" w:eastAsia="Times New Roman" w:hAnsi="Times New Roman"/>
                <w:sz w:val="12"/>
                <w:szCs w:val="12"/>
                <w:b w:val="1"/>
                <w:bCs w:val="1"/>
                <w:color w:val="auto"/>
              </w:rPr>
              <w:t>1,962,888</w:t>
            </w:r>
          </w:p>
        </w:tc>
      </w:tr>
    </w:tbl>
    <w:p>
      <w:pPr>
        <w:spacing w:after="0" w:line="13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of December 31, 2025, 2024, and 2023, the Company had made additions for vessel expenditures, reefers, emissions management, ERP modules, ballast water treatments and other capitalized vessel expenses. As of December 31, 2025, 2024 and 2023 unpaid capitalized expenses were $11,550, $13,556, and $2,679, respectively.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2025 Vessel acquisitions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the fourth quarter of 2025, the Company agreed to purchase three ECO 8,586 TEU, Korean-built containerships for an aggregate price of approximately $90,000, of which two were delivered on various dates in December 2025 and the third one on January 9, 2026. As of December 31, 2025, the Company had paid in advance $30,200 for the acquisition of the third ECO 8,586 TEU vessel, Cypress, which was delivered on January 9, 2026. The Company funded the acquisitions with cash on hand, with the potential to attach financing subsequently.</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00" w:type="dxa"/>
            <w:vAlign w:val="bottom"/>
            <w:tcBorders>
              <w:bottom w:val="single" w:sz="8" w:color="auto"/>
            </w:tcBorders>
          </w:tcPr>
          <w:p>
            <w:pPr>
              <w:jc w:val="center"/>
              <w:ind w:left="181"/>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600" w:type="dxa"/>
            <w:vAlign w:val="bottom"/>
            <w:tcBorders>
              <w:bottom w:val="single" w:sz="8" w:color="auto"/>
            </w:tcBorders>
          </w:tcPr>
          <w:p>
            <w:pPr>
              <w:jc w:val="center"/>
              <w:ind w:left="36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60"/>
        </w:trPr>
        <w:tc>
          <w:tcPr>
            <w:tcW w:w="2900" w:type="dxa"/>
            <w:vAlign w:val="bottom"/>
            <w:shd w:val="clear" w:color="auto" w:fill="CCEEFF"/>
          </w:tcPr>
          <w:p>
            <w:pPr>
              <w:jc w:val="center"/>
              <w:ind w:left="201"/>
              <w:spacing w:after="0" w:line="160" w:lineRule="exact"/>
              <w:rPr>
                <w:sz w:val="20"/>
                <w:szCs w:val="20"/>
                <w:color w:val="auto"/>
              </w:rPr>
            </w:pPr>
            <w:r>
              <w:rPr>
                <w:rFonts w:ascii="Times New Roman" w:cs="Times New Roman" w:eastAsia="Times New Roman" w:hAnsi="Times New Roman"/>
                <w:sz w:val="11"/>
                <w:szCs w:val="11"/>
                <w:color w:val="auto"/>
                <w:w w:val="96"/>
              </w:rPr>
              <w:t xml:space="preserve">Koi </w:t>
            </w:r>
            <w:r>
              <w:rPr>
                <w:rFonts w:ascii="Times New Roman" w:cs="Times New Roman" w:eastAsia="Times New Roman" w:hAnsi="Times New Roman"/>
                <w:sz w:val="18"/>
                <w:szCs w:val="18"/>
                <w:color w:val="auto"/>
                <w:w w:val="96"/>
                <w:vertAlign w:val="superscript"/>
              </w:rPr>
              <w:t>(*)</w:t>
            </w:r>
          </w:p>
        </w:tc>
        <w:tc>
          <w:tcPr>
            <w:tcW w:w="2600" w:type="dxa"/>
            <w:vAlign w:val="bottom"/>
            <w:shd w:val="clear" w:color="auto" w:fill="CCEEFF"/>
          </w:tcPr>
          <w:p>
            <w:pPr>
              <w:jc w:val="center"/>
              <w:ind w:left="360"/>
              <w:spacing w:after="0"/>
              <w:rPr>
                <w:sz w:val="20"/>
                <w:szCs w:val="20"/>
                <w:color w:val="auto"/>
              </w:rPr>
            </w:pPr>
            <w:r>
              <w:rPr>
                <w:rFonts w:ascii="Times New Roman" w:cs="Times New Roman" w:eastAsia="Times New Roman" w:hAnsi="Times New Roman"/>
                <w:sz w:val="12"/>
                <w:szCs w:val="12"/>
                <w:color w:val="auto"/>
                <w:w w:val="96"/>
              </w:rPr>
              <w:t>8,586</w:t>
            </w:r>
          </w:p>
        </w:tc>
        <w:tc>
          <w:tcPr>
            <w:tcW w:w="16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2011</w:t>
            </w:r>
          </w:p>
        </w:tc>
        <w:tc>
          <w:tcPr>
            <w:tcW w:w="19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$30,000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29, 2025</w:t>
            </w:r>
          </w:p>
        </w:tc>
      </w:tr>
      <w:tr>
        <w:trPr>
          <w:trHeight w:val="263"/>
        </w:trPr>
        <w:tc>
          <w:tcPr>
            <w:tcW w:w="2900" w:type="dxa"/>
            <w:vAlign w:val="bottom"/>
          </w:tcPr>
          <w:p>
            <w:pPr>
              <w:jc w:val="center"/>
              <w:ind w:left="181"/>
              <w:spacing w:after="0"/>
              <w:rPr>
                <w:sz w:val="20"/>
                <w:szCs w:val="20"/>
                <w:color w:val="auto"/>
              </w:rPr>
            </w:pPr>
            <w:r>
              <w:rPr>
                <w:rFonts w:ascii="Times New Roman" w:cs="Times New Roman" w:eastAsia="Times New Roman" w:hAnsi="Times New Roman"/>
                <w:sz w:val="12"/>
                <w:szCs w:val="12"/>
                <w:color w:val="auto"/>
                <w:w w:val="95"/>
              </w:rPr>
              <w:t xml:space="preserve">Lotus A </w:t>
            </w:r>
            <w:r>
              <w:rPr>
                <w:rFonts w:ascii="Times New Roman" w:cs="Times New Roman" w:eastAsia="Times New Roman" w:hAnsi="Times New Roman"/>
                <w:sz w:val="19"/>
                <w:szCs w:val="19"/>
                <w:color w:val="auto"/>
                <w:w w:val="95"/>
                <w:vertAlign w:val="superscript"/>
              </w:rPr>
              <w:t>(*)</w:t>
            </w:r>
          </w:p>
        </w:tc>
        <w:tc>
          <w:tcPr>
            <w:tcW w:w="2600" w:type="dxa"/>
            <w:vAlign w:val="bottom"/>
          </w:tcPr>
          <w:p>
            <w:pPr>
              <w:jc w:val="center"/>
              <w:ind w:left="360"/>
              <w:spacing w:after="0"/>
              <w:rPr>
                <w:sz w:val="20"/>
                <w:szCs w:val="20"/>
                <w:color w:val="auto"/>
              </w:rPr>
            </w:pPr>
            <w:r>
              <w:rPr>
                <w:rFonts w:ascii="Times New Roman" w:cs="Times New Roman" w:eastAsia="Times New Roman" w:hAnsi="Times New Roman"/>
                <w:sz w:val="12"/>
                <w:szCs w:val="12"/>
                <w:color w:val="auto"/>
                <w:w w:val="96"/>
              </w:rPr>
              <w:t>8,586</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2010</w:t>
            </w:r>
          </w:p>
        </w:tc>
        <w:tc>
          <w:tcPr>
            <w:tcW w:w="1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$30,000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12, 2025</w:t>
            </w:r>
          </w:p>
        </w:tc>
      </w:tr>
    </w:tbl>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charters of the two ECO 8,586 TEU Vessels resulted in an intangible liability of $38,122 that was recognized and will be amortized over the remaining useful life of the charters.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January 2025, the Company took delivery of the fourth high-reefer ECO 9,019 TEU Vessel as per below:</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80" w:type="dxa"/>
            <w:vAlign w:val="bottom"/>
            <w:tcBorders>
              <w:bottom w:val="single" w:sz="8" w:color="auto"/>
            </w:tcBorders>
          </w:tcPr>
          <w:p>
            <w:pPr>
              <w:jc w:val="center"/>
              <w:ind w:left="201"/>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620" w:type="dxa"/>
            <w:vAlign w:val="bottom"/>
            <w:tcBorders>
              <w:bottom w:val="single" w:sz="8" w:color="auto"/>
            </w:tcBorders>
          </w:tcPr>
          <w:p>
            <w:pPr>
              <w:jc w:val="center"/>
              <w:ind w:left="38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18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60"/>
        </w:trPr>
        <w:tc>
          <w:tcPr>
            <w:tcW w:w="2880" w:type="dxa"/>
            <w:vAlign w:val="bottom"/>
            <w:shd w:val="clear" w:color="auto" w:fill="CCEEFF"/>
          </w:tcPr>
          <w:p>
            <w:pPr>
              <w:jc w:val="center"/>
              <w:ind w:left="221"/>
              <w:spacing w:after="0" w:line="160" w:lineRule="exact"/>
              <w:rPr>
                <w:sz w:val="20"/>
                <w:szCs w:val="20"/>
                <w:color w:val="auto"/>
              </w:rPr>
            </w:pPr>
            <w:r>
              <w:rPr>
                <w:rFonts w:ascii="Times New Roman" w:cs="Times New Roman" w:eastAsia="Times New Roman" w:hAnsi="Times New Roman"/>
                <w:sz w:val="11"/>
                <w:szCs w:val="11"/>
                <w:color w:val="auto"/>
                <w:w w:val="99"/>
              </w:rPr>
              <w:t xml:space="preserve">Czech </w:t>
            </w:r>
            <w:r>
              <w:rPr>
                <w:rFonts w:ascii="Times New Roman" w:cs="Times New Roman" w:eastAsia="Times New Roman" w:hAnsi="Times New Roman"/>
                <w:sz w:val="18"/>
                <w:szCs w:val="18"/>
                <w:color w:val="auto"/>
                <w:w w:val="99"/>
                <w:vertAlign w:val="superscript"/>
              </w:rPr>
              <w:t>(*)</w:t>
            </w:r>
          </w:p>
        </w:tc>
        <w:tc>
          <w:tcPr>
            <w:tcW w:w="262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2"/>
                <w:szCs w:val="12"/>
                <w:color w:val="auto"/>
              </w:rPr>
              <w:t>9,019</w:t>
            </w:r>
          </w:p>
        </w:tc>
        <w:tc>
          <w:tcPr>
            <w:tcW w:w="168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rPr>
              <w:t>2015</w:t>
            </w:r>
          </w:p>
        </w:tc>
        <w:tc>
          <w:tcPr>
            <w:tcW w:w="1940" w:type="dxa"/>
            <w:vAlign w:val="bottom"/>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color w:val="auto"/>
              </w:rPr>
              <w:t>$68,391</w:t>
            </w:r>
          </w:p>
        </w:tc>
        <w:tc>
          <w:tcPr>
            <w:tcW w:w="218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w w:val="99"/>
              </w:rPr>
              <w:t>January 9, 2025</w:t>
            </w:r>
          </w:p>
        </w:tc>
      </w:tr>
    </w:tbl>
    <w:p>
      <w:pPr>
        <w:spacing w:after="0" w:line="133" w:lineRule="exact"/>
        <w:rPr>
          <w:sz w:val="20"/>
          <w:szCs w:val="20"/>
          <w:color w:val="auto"/>
        </w:rPr>
      </w:pPr>
    </w:p>
    <w:p>
      <w:pPr>
        <w:ind w:left="140" w:right="360" w:hanging="143"/>
        <w:spacing w:after="0" w:line="279" w:lineRule="auto"/>
        <w:rPr>
          <w:sz w:val="20"/>
          <w:szCs w:val="20"/>
          <w:color w:val="auto"/>
        </w:rPr>
      </w:pPr>
      <w:r>
        <w:rPr>
          <w:rFonts w:ascii="Times New Roman" w:cs="Times New Roman" w:eastAsia="Times New Roman" w:hAnsi="Times New Roman"/>
          <w:sz w:val="12"/>
          <w:szCs w:val="12"/>
          <w:color w:val="auto"/>
        </w:rPr>
        <w:t>(*)The charter of the fourth high-reefer ECO 9,019 TEU Vessels resulted in an intangible liability of $15,987 that was recognized and is being amortized over the remaining useful life of the charter. As of December 31, 2024, the Company had paid $6,850 advance for this vessel acquisition.</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2" w:name="page123"/>
    <w:bookmarkEnd w:id="12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18" w:lineRule="exact"/>
        <w:rPr>
          <w:sz w:val="20"/>
          <w:szCs w:val="20"/>
          <w:color w:val="auto"/>
        </w:rPr>
      </w:pPr>
    </w:p>
    <w:p>
      <w:pPr>
        <w:ind w:left="8" w:right="9540" w:hanging="8"/>
        <w:spacing w:after="0" w:line="550" w:lineRule="auto"/>
        <w:tabs>
          <w:tab w:leader="none" w:pos="126" w:val="left"/>
        </w:tabs>
        <w:numPr>
          <w:ilvl w:val="0"/>
          <w:numId w:val="5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Vessels in Operation (continued) 2024 Vessels acquisitions</w:t>
      </w:r>
    </w:p>
    <w:p>
      <w:pPr>
        <w:ind w:left="8"/>
        <w:spacing w:after="0"/>
        <w:rPr>
          <w:sz w:val="20"/>
          <w:szCs w:val="20"/>
          <w:color w:val="auto"/>
        </w:rPr>
      </w:pPr>
      <w:r>
        <w:rPr>
          <w:rFonts w:ascii="Times New Roman" w:cs="Times New Roman" w:eastAsia="Times New Roman" w:hAnsi="Times New Roman"/>
          <w:sz w:val="12"/>
          <w:szCs w:val="12"/>
          <w:color w:val="auto"/>
        </w:rPr>
        <w:t>In December 2024, the Company took delivery of the three high-reefer ECO 9,019 TEU Vessels as per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306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440" w:type="dxa"/>
            <w:vAlign w:val="bottom"/>
            <w:tcBorders>
              <w:bottom w:val="single" w:sz="8" w:color="auto"/>
            </w:tcBorders>
          </w:tcPr>
          <w:p>
            <w:pPr>
              <w:jc w:val="center"/>
              <w:ind w:left="20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0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60"/>
        </w:trPr>
        <w:tc>
          <w:tcPr>
            <w:tcW w:w="3060" w:type="dxa"/>
            <w:vAlign w:val="bottom"/>
            <w:shd w:val="clear" w:color="auto" w:fill="CCEEFF"/>
          </w:tcPr>
          <w:p>
            <w:pPr>
              <w:jc w:val="center"/>
              <w:ind w:left="41"/>
              <w:spacing w:after="0" w:line="160" w:lineRule="exact"/>
              <w:rPr>
                <w:sz w:val="20"/>
                <w:szCs w:val="20"/>
                <w:color w:val="auto"/>
              </w:rPr>
            </w:pPr>
            <w:r>
              <w:rPr>
                <w:rFonts w:ascii="Times New Roman" w:cs="Times New Roman" w:eastAsia="Times New Roman" w:hAnsi="Times New Roman"/>
                <w:sz w:val="11"/>
                <w:szCs w:val="11"/>
                <w:color w:val="auto"/>
              </w:rPr>
              <w:t xml:space="preserve">Sydney Express </w:t>
            </w:r>
            <w:r>
              <w:rPr>
                <w:rFonts w:ascii="Times New Roman" w:cs="Times New Roman" w:eastAsia="Times New Roman" w:hAnsi="Times New Roman"/>
                <w:sz w:val="18"/>
                <w:szCs w:val="18"/>
                <w:color w:val="auto"/>
                <w:vertAlign w:val="superscript"/>
              </w:rPr>
              <w:t>(*)</w:t>
            </w:r>
          </w:p>
        </w:tc>
        <w:tc>
          <w:tcPr>
            <w:tcW w:w="244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6"/>
              </w:rPr>
              <w:t>9,019</w:t>
            </w:r>
          </w:p>
        </w:tc>
        <w:tc>
          <w:tcPr>
            <w:tcW w:w="16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2016</w:t>
            </w:r>
          </w:p>
        </w:tc>
        <w:tc>
          <w:tcPr>
            <w:tcW w:w="19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$68,500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6, 2024</w:t>
            </w:r>
          </w:p>
        </w:tc>
      </w:tr>
      <w:tr>
        <w:trPr>
          <w:trHeight w:val="171"/>
        </w:trPr>
        <w:tc>
          <w:tcPr>
            <w:tcW w:w="3060" w:type="dxa"/>
            <w:vAlign w:val="bottom"/>
          </w:tcPr>
          <w:p>
            <w:pPr>
              <w:jc w:val="center"/>
              <w:ind w:left="21"/>
              <w:spacing w:after="0" w:line="171" w:lineRule="exact"/>
              <w:rPr>
                <w:sz w:val="20"/>
                <w:szCs w:val="20"/>
                <w:color w:val="auto"/>
              </w:rPr>
            </w:pPr>
            <w:r>
              <w:rPr>
                <w:rFonts w:ascii="Times New Roman" w:cs="Times New Roman" w:eastAsia="Times New Roman" w:hAnsi="Times New Roman"/>
                <w:sz w:val="12"/>
                <w:szCs w:val="12"/>
                <w:color w:val="auto"/>
                <w:w w:val="96"/>
              </w:rPr>
              <w:t xml:space="preserve">Istanbul Express </w:t>
            </w:r>
            <w:r>
              <w:rPr>
                <w:rFonts w:ascii="Times New Roman" w:cs="Times New Roman" w:eastAsia="Times New Roman" w:hAnsi="Times New Roman"/>
                <w:sz w:val="19"/>
                <w:szCs w:val="19"/>
                <w:color w:val="auto"/>
                <w:w w:val="96"/>
                <w:vertAlign w:val="superscript"/>
              </w:rPr>
              <w:t>(*)</w:t>
            </w:r>
          </w:p>
        </w:tc>
        <w:tc>
          <w:tcPr>
            <w:tcW w:w="2440" w:type="dxa"/>
            <w:vAlign w:val="bottom"/>
          </w:tcPr>
          <w:p>
            <w:pPr>
              <w:jc w:val="center"/>
              <w:ind w:left="200"/>
              <w:spacing w:after="0"/>
              <w:rPr>
                <w:sz w:val="20"/>
                <w:szCs w:val="20"/>
                <w:color w:val="auto"/>
              </w:rPr>
            </w:pPr>
            <w:r>
              <w:rPr>
                <w:rFonts w:ascii="Times New Roman" w:cs="Times New Roman" w:eastAsia="Times New Roman" w:hAnsi="Times New Roman"/>
                <w:sz w:val="12"/>
                <w:szCs w:val="12"/>
                <w:color w:val="auto"/>
                <w:w w:val="96"/>
              </w:rPr>
              <w:t>9,019</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2016</w:t>
            </w:r>
          </w:p>
        </w:tc>
        <w:tc>
          <w:tcPr>
            <w:tcW w:w="190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rPr>
              <w:t>$68,500</w:t>
            </w:r>
          </w:p>
        </w:tc>
        <w:tc>
          <w:tcPr>
            <w:tcW w:w="22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December 11, 2024</w:t>
            </w:r>
          </w:p>
        </w:tc>
      </w:tr>
      <w:tr>
        <w:trPr>
          <w:trHeight w:val="171"/>
        </w:trPr>
        <w:tc>
          <w:tcPr>
            <w:tcW w:w="3060" w:type="dxa"/>
            <w:vAlign w:val="bottom"/>
            <w:shd w:val="clear" w:color="auto" w:fill="CCEEFF"/>
          </w:tcPr>
          <w:p>
            <w:pPr>
              <w:jc w:val="center"/>
              <w:ind w:left="41"/>
              <w:spacing w:after="0" w:line="171" w:lineRule="exact"/>
              <w:rPr>
                <w:sz w:val="20"/>
                <w:szCs w:val="20"/>
                <w:color w:val="auto"/>
              </w:rPr>
            </w:pPr>
            <w:r>
              <w:rPr>
                <w:rFonts w:ascii="Times New Roman" w:cs="Times New Roman" w:eastAsia="Times New Roman" w:hAnsi="Times New Roman"/>
                <w:sz w:val="12"/>
                <w:szCs w:val="12"/>
                <w:color w:val="auto"/>
                <w:w w:val="97"/>
              </w:rPr>
              <w:t xml:space="preserve">Bremerhaven Express </w:t>
            </w:r>
            <w:r>
              <w:rPr>
                <w:rFonts w:ascii="Times New Roman" w:cs="Times New Roman" w:eastAsia="Times New Roman" w:hAnsi="Times New Roman"/>
                <w:sz w:val="19"/>
                <w:szCs w:val="19"/>
                <w:color w:val="auto"/>
                <w:w w:val="97"/>
                <w:vertAlign w:val="superscript"/>
              </w:rPr>
              <w:t>(*)</w:t>
            </w:r>
          </w:p>
        </w:tc>
        <w:tc>
          <w:tcPr>
            <w:tcW w:w="2440" w:type="dxa"/>
            <w:vAlign w:val="bottom"/>
            <w:shd w:val="clear" w:color="auto" w:fill="CCEEFF"/>
          </w:tcPr>
          <w:p>
            <w:pPr>
              <w:jc w:val="center"/>
              <w:ind w:left="200"/>
              <w:spacing w:after="0"/>
              <w:rPr>
                <w:sz w:val="20"/>
                <w:szCs w:val="20"/>
                <w:color w:val="auto"/>
              </w:rPr>
            </w:pPr>
            <w:r>
              <w:rPr>
                <w:rFonts w:ascii="Times New Roman" w:cs="Times New Roman" w:eastAsia="Times New Roman" w:hAnsi="Times New Roman"/>
                <w:sz w:val="12"/>
                <w:szCs w:val="12"/>
                <w:color w:val="auto"/>
                <w:w w:val="96"/>
              </w:rPr>
              <w:t>9,019</w:t>
            </w:r>
          </w:p>
        </w:tc>
        <w:tc>
          <w:tcPr>
            <w:tcW w:w="1680" w:type="dxa"/>
            <w:vAlign w:val="bottom"/>
            <w:shd w:val="clear" w:color="auto" w:fill="CCEE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2015</w:t>
            </w:r>
          </w:p>
        </w:tc>
        <w:tc>
          <w:tcPr>
            <w:tcW w:w="1900" w:type="dxa"/>
            <w:vAlign w:val="bottom"/>
            <w:shd w:val="clear" w:color="auto" w:fill="CCEEFF"/>
          </w:tcPr>
          <w:p>
            <w:pPr>
              <w:jc w:val="center"/>
              <w:ind w:right="40"/>
              <w:spacing w:after="0"/>
              <w:rPr>
                <w:sz w:val="20"/>
                <w:szCs w:val="20"/>
                <w:color w:val="auto"/>
              </w:rPr>
            </w:pPr>
            <w:r>
              <w:rPr>
                <w:rFonts w:ascii="Times New Roman" w:cs="Times New Roman" w:eastAsia="Times New Roman" w:hAnsi="Times New Roman"/>
                <w:sz w:val="12"/>
                <w:szCs w:val="12"/>
                <w:color w:val="auto"/>
              </w:rPr>
              <w:t>$68,500</w:t>
            </w:r>
          </w:p>
        </w:tc>
        <w:tc>
          <w:tcPr>
            <w:tcW w:w="2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December 30, 2024</w:t>
            </w: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charters of the three high-reefer ECO 9,019 TEU Vessels resulted in an intangible liability of $49,295 that was recognized and will be amortized over the remaining useful life of the charters.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2023 Vessels acquisitions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 May and June 2023, the Company took delivery of the four 8,544 TEU Vessels as per below:</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2960" w:type="dxa"/>
            <w:vAlign w:val="bottom"/>
            <w:tcBorders>
              <w:bottom w:val="single" w:sz="8" w:color="auto"/>
            </w:tcBorders>
          </w:tcPr>
          <w:p>
            <w:pPr>
              <w:jc w:val="center"/>
              <w:ind w:left="120"/>
              <w:spacing w:after="0"/>
              <w:rPr>
                <w:sz w:val="20"/>
                <w:szCs w:val="20"/>
                <w:color w:val="auto"/>
              </w:rPr>
            </w:pPr>
            <w:r>
              <w:rPr>
                <w:rFonts w:ascii="Times New Roman" w:cs="Times New Roman" w:eastAsia="Times New Roman" w:hAnsi="Times New Roman"/>
                <w:sz w:val="12"/>
                <w:szCs w:val="12"/>
                <w:b w:val="1"/>
                <w:bCs w:val="1"/>
                <w:color w:val="auto"/>
                <w:w w:val="99"/>
              </w:rPr>
              <w:t>Name</w:t>
            </w:r>
          </w:p>
        </w:tc>
        <w:tc>
          <w:tcPr>
            <w:tcW w:w="2540" w:type="dxa"/>
            <w:vAlign w:val="bottom"/>
            <w:tcBorders>
              <w:bottom w:val="single" w:sz="8" w:color="auto"/>
            </w:tcBorders>
          </w:tcPr>
          <w:p>
            <w:pPr>
              <w:jc w:val="center"/>
              <w:ind w:left="300"/>
              <w:spacing w:after="0"/>
              <w:rPr>
                <w:sz w:val="20"/>
                <w:szCs w:val="20"/>
                <w:color w:val="auto"/>
              </w:rPr>
            </w:pPr>
            <w:r>
              <w:rPr>
                <w:rFonts w:ascii="Times New Roman" w:cs="Times New Roman" w:eastAsia="Times New Roman" w:hAnsi="Times New Roman"/>
                <w:sz w:val="12"/>
                <w:szCs w:val="12"/>
                <w:b w:val="1"/>
                <w:bCs w:val="1"/>
                <w:color w:val="auto"/>
                <w:w w:val="98"/>
              </w:rPr>
              <w:t>Capacity in TEUs</w:t>
            </w:r>
          </w:p>
        </w:tc>
        <w:tc>
          <w:tcPr>
            <w:tcW w:w="1680" w:type="dxa"/>
            <w:vAlign w:val="bottom"/>
            <w:tcBorders>
              <w:bottom w:val="single" w:sz="8" w:color="auto"/>
            </w:tcBorders>
          </w:tcPr>
          <w:p>
            <w:pPr>
              <w:jc w:val="center"/>
              <w:ind w:left="20"/>
              <w:spacing w:after="0"/>
              <w:rPr>
                <w:sz w:val="20"/>
                <w:szCs w:val="20"/>
                <w:color w:val="auto"/>
              </w:rPr>
            </w:pPr>
            <w:r>
              <w:rPr>
                <w:rFonts w:ascii="Times New Roman" w:cs="Times New Roman" w:eastAsia="Times New Roman" w:hAnsi="Times New Roman"/>
                <w:sz w:val="12"/>
                <w:szCs w:val="12"/>
                <w:b w:val="1"/>
                <w:bCs w:val="1"/>
                <w:color w:val="auto"/>
                <w:w w:val="96"/>
              </w:rPr>
              <w:t>Year Built</w:t>
            </w:r>
          </w:p>
        </w:tc>
        <w:tc>
          <w:tcPr>
            <w:tcW w:w="19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8"/>
              </w:rPr>
              <w:t>Purchase Price</w:t>
            </w:r>
          </w:p>
        </w:tc>
        <w:tc>
          <w:tcPr>
            <w:tcW w:w="2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Delivery date</w:t>
            </w:r>
          </w:p>
        </w:tc>
      </w:tr>
      <w:tr>
        <w:trPr>
          <w:trHeight w:val="133"/>
        </w:trPr>
        <w:tc>
          <w:tcPr>
            <w:tcW w:w="2960" w:type="dxa"/>
            <w:vAlign w:val="bottom"/>
            <w:shd w:val="clear" w:color="auto" w:fill="CCECFF"/>
          </w:tcPr>
          <w:p>
            <w:pPr>
              <w:jc w:val="center"/>
              <w:ind w:left="140"/>
              <w:spacing w:after="0" w:line="133" w:lineRule="exact"/>
              <w:rPr>
                <w:sz w:val="20"/>
                <w:szCs w:val="20"/>
                <w:color w:val="auto"/>
              </w:rPr>
            </w:pPr>
            <w:r>
              <w:rPr>
                <w:rFonts w:ascii="Times New Roman" w:cs="Times New Roman" w:eastAsia="Times New Roman" w:hAnsi="Times New Roman"/>
                <w:sz w:val="12"/>
                <w:szCs w:val="12"/>
                <w:color w:val="auto"/>
              </w:rPr>
              <w:t>GSL Alexandra</w:t>
            </w:r>
          </w:p>
        </w:tc>
        <w:tc>
          <w:tcPr>
            <w:tcW w:w="2540" w:type="dxa"/>
            <w:vAlign w:val="bottom"/>
            <w:shd w:val="clear" w:color="auto" w:fill="CCECFF"/>
          </w:tcPr>
          <w:p>
            <w:pPr>
              <w:jc w:val="center"/>
              <w:ind w:left="300"/>
              <w:spacing w:after="0" w:line="133" w:lineRule="exact"/>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shd w:val="clear" w:color="auto" w:fill="CCECFF"/>
          </w:tcPr>
          <w:p>
            <w:pPr>
              <w:jc w:val="center"/>
              <w:ind w:left="20"/>
              <w:spacing w:after="0" w:line="133" w:lineRule="exact"/>
              <w:rPr>
                <w:sz w:val="20"/>
                <w:szCs w:val="20"/>
                <w:color w:val="auto"/>
              </w:rPr>
            </w:pPr>
            <w:r>
              <w:rPr>
                <w:rFonts w:ascii="Times New Roman" w:cs="Times New Roman" w:eastAsia="Times New Roman" w:hAnsi="Times New Roman"/>
                <w:sz w:val="12"/>
                <w:szCs w:val="12"/>
                <w:color w:val="auto"/>
                <w:w w:val="99"/>
              </w:rPr>
              <w:t>2004</w:t>
            </w:r>
          </w:p>
        </w:tc>
        <w:tc>
          <w:tcPr>
            <w:tcW w:w="1960" w:type="dxa"/>
            <w:vAlign w:val="bottom"/>
            <w:shd w:val="clear" w:color="auto" w:fill="CCECFF"/>
          </w:tcPr>
          <w:p>
            <w:pPr>
              <w:jc w:val="center"/>
              <w:ind w:right="100"/>
              <w:spacing w:after="0" w:line="133" w:lineRule="exact"/>
              <w:rPr>
                <w:sz w:val="20"/>
                <w:szCs w:val="20"/>
                <w:color w:val="auto"/>
              </w:rPr>
            </w:pPr>
            <w:r>
              <w:rPr>
                <w:rFonts w:ascii="Times New Roman" w:cs="Times New Roman" w:eastAsia="Times New Roman" w:hAnsi="Times New Roman"/>
                <w:sz w:val="12"/>
                <w:szCs w:val="12"/>
                <w:color w:val="auto"/>
              </w:rPr>
              <w:t>$30,000</w:t>
            </w:r>
          </w:p>
        </w:tc>
        <w:tc>
          <w:tcPr>
            <w:tcW w:w="2160" w:type="dxa"/>
            <w:vAlign w:val="bottom"/>
            <w:shd w:val="clear" w:color="auto" w:fill="CCECFF"/>
          </w:tcPr>
          <w:p>
            <w:pPr>
              <w:jc w:val="center"/>
              <w:ind w:right="40"/>
              <w:spacing w:after="0" w:line="133" w:lineRule="exact"/>
              <w:rPr>
                <w:sz w:val="20"/>
                <w:szCs w:val="20"/>
                <w:color w:val="auto"/>
              </w:rPr>
            </w:pPr>
            <w:r>
              <w:rPr>
                <w:rFonts w:ascii="Times New Roman" w:cs="Times New Roman" w:eastAsia="Times New Roman" w:hAnsi="Times New Roman"/>
                <w:sz w:val="12"/>
                <w:szCs w:val="12"/>
                <w:color w:val="auto"/>
              </w:rPr>
              <w:t>June 2, 2023</w:t>
            </w:r>
          </w:p>
        </w:tc>
      </w:tr>
      <w:tr>
        <w:trPr>
          <w:trHeight w:val="144"/>
        </w:trPr>
        <w:tc>
          <w:tcPr>
            <w:tcW w:w="296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rPr>
              <w:t>GSL Sofia</w:t>
            </w:r>
          </w:p>
        </w:tc>
        <w:tc>
          <w:tcPr>
            <w:tcW w:w="25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2003</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$30,000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22, 2023</w:t>
            </w:r>
          </w:p>
        </w:tc>
      </w:tr>
      <w:tr>
        <w:trPr>
          <w:trHeight w:val="144"/>
        </w:trPr>
        <w:tc>
          <w:tcPr>
            <w:tcW w:w="2960" w:type="dxa"/>
            <w:vAlign w:val="bottom"/>
            <w:shd w:val="clear" w:color="auto" w:fill="CCECFF"/>
          </w:tcPr>
          <w:p>
            <w:pPr>
              <w:jc w:val="center"/>
              <w:ind w:left="120"/>
              <w:spacing w:after="0"/>
              <w:rPr>
                <w:sz w:val="20"/>
                <w:szCs w:val="20"/>
                <w:color w:val="auto"/>
              </w:rPr>
            </w:pPr>
            <w:r>
              <w:rPr>
                <w:rFonts w:ascii="Times New Roman" w:cs="Times New Roman" w:eastAsia="Times New Roman" w:hAnsi="Times New Roman"/>
                <w:sz w:val="12"/>
                <w:szCs w:val="12"/>
                <w:color w:val="auto"/>
              </w:rPr>
              <w:t>GSL Effie</w:t>
            </w:r>
          </w:p>
        </w:tc>
        <w:tc>
          <w:tcPr>
            <w:tcW w:w="2540" w:type="dxa"/>
            <w:vAlign w:val="bottom"/>
            <w:shd w:val="clear" w:color="auto" w:fill="CCECFF"/>
          </w:tcPr>
          <w:p>
            <w:pPr>
              <w:jc w:val="center"/>
              <w:ind w:left="300"/>
              <w:spacing w:after="0"/>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shd w:val="clear" w:color="auto" w:fill="CCECFF"/>
          </w:tcPr>
          <w:p>
            <w:pPr>
              <w:jc w:val="center"/>
              <w:ind w:left="20"/>
              <w:spacing w:after="0"/>
              <w:rPr>
                <w:sz w:val="20"/>
                <w:szCs w:val="20"/>
                <w:color w:val="auto"/>
              </w:rPr>
            </w:pPr>
            <w:r>
              <w:rPr>
                <w:rFonts w:ascii="Times New Roman" w:cs="Times New Roman" w:eastAsia="Times New Roman" w:hAnsi="Times New Roman"/>
                <w:sz w:val="12"/>
                <w:szCs w:val="12"/>
                <w:color w:val="auto"/>
                <w:w w:val="99"/>
              </w:rPr>
              <w:t>2003</w:t>
            </w:r>
          </w:p>
        </w:tc>
        <w:tc>
          <w:tcPr>
            <w:tcW w:w="1960" w:type="dxa"/>
            <w:vAlign w:val="bottom"/>
            <w:shd w:val="clear" w:color="auto" w:fill="CCECFF"/>
          </w:tcPr>
          <w:p>
            <w:pPr>
              <w:jc w:val="center"/>
              <w:ind w:right="100"/>
              <w:spacing w:after="0"/>
              <w:rPr>
                <w:sz w:val="20"/>
                <w:szCs w:val="20"/>
                <w:color w:val="auto"/>
              </w:rPr>
            </w:pPr>
            <w:r>
              <w:rPr>
                <w:rFonts w:ascii="Times New Roman" w:cs="Times New Roman" w:eastAsia="Times New Roman" w:hAnsi="Times New Roman"/>
                <w:sz w:val="12"/>
                <w:szCs w:val="12"/>
                <w:color w:val="auto"/>
              </w:rPr>
              <w:t>$30,000</w:t>
            </w:r>
          </w:p>
        </w:tc>
        <w:tc>
          <w:tcPr>
            <w:tcW w:w="2160" w:type="dxa"/>
            <w:vAlign w:val="bottom"/>
            <w:shd w:val="clear" w:color="auto" w:fill="CCECFF"/>
          </w:tcPr>
          <w:p>
            <w:pPr>
              <w:jc w:val="center"/>
              <w:ind w:right="40"/>
              <w:spacing w:after="0"/>
              <w:rPr>
                <w:sz w:val="20"/>
                <w:szCs w:val="20"/>
                <w:color w:val="auto"/>
              </w:rPr>
            </w:pPr>
            <w:r>
              <w:rPr>
                <w:rFonts w:ascii="Times New Roman" w:cs="Times New Roman" w:eastAsia="Times New Roman" w:hAnsi="Times New Roman"/>
                <w:sz w:val="12"/>
                <w:szCs w:val="12"/>
                <w:color w:val="auto"/>
                <w:w w:val="98"/>
              </w:rPr>
              <w:t>May 30, 2023</w:t>
            </w:r>
          </w:p>
        </w:tc>
      </w:tr>
      <w:tr>
        <w:trPr>
          <w:trHeight w:val="155"/>
        </w:trPr>
        <w:tc>
          <w:tcPr>
            <w:tcW w:w="2960" w:type="dxa"/>
            <w:vAlign w:val="bottom"/>
          </w:tcPr>
          <w:p>
            <w:pPr>
              <w:jc w:val="center"/>
              <w:ind w:left="140"/>
              <w:spacing w:after="0"/>
              <w:rPr>
                <w:sz w:val="20"/>
                <w:szCs w:val="20"/>
                <w:color w:val="auto"/>
              </w:rPr>
            </w:pPr>
            <w:r>
              <w:rPr>
                <w:rFonts w:ascii="Times New Roman" w:cs="Times New Roman" w:eastAsia="Times New Roman" w:hAnsi="Times New Roman"/>
                <w:sz w:val="12"/>
                <w:szCs w:val="12"/>
                <w:color w:val="auto"/>
                <w:w w:val="96"/>
              </w:rPr>
              <w:t>GSL Lydia</w:t>
            </w:r>
          </w:p>
        </w:tc>
        <w:tc>
          <w:tcPr>
            <w:tcW w:w="2540" w:type="dxa"/>
            <w:vAlign w:val="bottom"/>
          </w:tcPr>
          <w:p>
            <w:pPr>
              <w:jc w:val="center"/>
              <w:ind w:left="300"/>
              <w:spacing w:after="0"/>
              <w:rPr>
                <w:sz w:val="20"/>
                <w:szCs w:val="20"/>
                <w:color w:val="auto"/>
              </w:rPr>
            </w:pPr>
            <w:r>
              <w:rPr>
                <w:rFonts w:ascii="Times New Roman" w:cs="Times New Roman" w:eastAsia="Times New Roman" w:hAnsi="Times New Roman"/>
                <w:sz w:val="12"/>
                <w:szCs w:val="12"/>
                <w:color w:val="auto"/>
                <w:w w:val="96"/>
              </w:rPr>
              <w:t>8,544</w:t>
            </w:r>
          </w:p>
        </w:tc>
        <w:tc>
          <w:tcPr>
            <w:tcW w:w="1680" w:type="dxa"/>
            <w:vAlign w:val="bottom"/>
          </w:tcPr>
          <w:p>
            <w:pPr>
              <w:jc w:val="center"/>
              <w:ind w:left="20"/>
              <w:spacing w:after="0"/>
              <w:rPr>
                <w:sz w:val="20"/>
                <w:szCs w:val="20"/>
                <w:color w:val="auto"/>
              </w:rPr>
            </w:pPr>
            <w:r>
              <w:rPr>
                <w:rFonts w:ascii="Times New Roman" w:cs="Times New Roman" w:eastAsia="Times New Roman" w:hAnsi="Times New Roman"/>
                <w:sz w:val="12"/>
                <w:szCs w:val="12"/>
                <w:color w:val="auto"/>
                <w:w w:val="99"/>
              </w:rPr>
              <w:t>2003</w:t>
            </w:r>
          </w:p>
        </w:tc>
        <w:tc>
          <w:tcPr>
            <w:tcW w:w="1960" w:type="dxa"/>
            <w:vAlign w:val="bottom"/>
          </w:tcPr>
          <w:p>
            <w:pPr>
              <w:jc w:val="center"/>
              <w:ind w:right="100"/>
              <w:spacing w:after="0"/>
              <w:rPr>
                <w:sz w:val="20"/>
                <w:szCs w:val="20"/>
                <w:color w:val="auto"/>
              </w:rPr>
            </w:pPr>
            <w:r>
              <w:rPr>
                <w:rFonts w:ascii="Times New Roman" w:cs="Times New Roman" w:eastAsia="Times New Roman" w:hAnsi="Times New Roman"/>
                <w:sz w:val="12"/>
                <w:szCs w:val="12"/>
                <w:color w:val="auto"/>
              </w:rPr>
              <w:t>$33,300</w:t>
            </w:r>
          </w:p>
        </w:tc>
        <w:tc>
          <w:tcPr>
            <w:tcW w:w="2160" w:type="dxa"/>
            <w:vAlign w:val="bottom"/>
          </w:tcPr>
          <w:p>
            <w:pPr>
              <w:jc w:val="center"/>
              <w:ind w:right="40"/>
              <w:spacing w:after="0"/>
              <w:rPr>
                <w:sz w:val="20"/>
                <w:szCs w:val="20"/>
                <w:color w:val="auto"/>
              </w:rPr>
            </w:pPr>
            <w:r>
              <w:rPr>
                <w:rFonts w:ascii="Times New Roman" w:cs="Times New Roman" w:eastAsia="Times New Roman" w:hAnsi="Times New Roman"/>
                <w:sz w:val="12"/>
                <w:szCs w:val="12"/>
                <w:color w:val="auto"/>
                <w:w w:val="98"/>
              </w:rPr>
              <w:t>June 26, 2023</w:t>
            </w:r>
          </w:p>
        </w:tc>
      </w:tr>
    </w:tbl>
    <w:p>
      <w:pPr>
        <w:spacing w:after="0" w:line="1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2025 Sale of Vessels</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 May 2025, Dimitris Y was contracted to be sold for $35,600 and was delivered to the buyers on October 13, 2025. Vessel’s net proceeds from the sale of vessel were $35,085. On July 28, 2025, the vessel was released as collateral under the Company’s $350,000 5.69% Senior Secured Notes due 2027. The net gain from the sale of vessel was $17,943.</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 February 2025, the Company agreed to sell Keta, a 2,207 TEU vessel, which was sold on March 24, 2025, for net proceeds of $11,944, and the vessel was released as collateral under the Company’s $350,000 5.69% Senior Secured Notes due 2027. The net gain from the sale of vessel was $7,121.</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 December 2024, the Company agreed to sell Tasman, a 5,936 TEU vessel, which was sold on March 10, 2025, for net proceeds of $30,846, and the vessel was released as collateral under the Company’s $350,000 5.69% Senior Secured Notes due 2027. The net gain from the sale of vessel was $17,929.</w:t>
      </w:r>
    </w:p>
    <w:p>
      <w:pPr>
        <w:spacing w:after="0" w:line="111"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In February 2025, the Company agreed to sell Akiteta, a 2,220 TEU vessel, which was sold on February 19, 2025, for net proceeds of $10,693, and the vessel was released as collateral under the Company’s $350,000 5.69% Senior Secured Notes due 2027. The net gain from the sale of vessel was $3,279.</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2023 Sale of Vessel</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March 23, 2023, the Company sold GSL Amstel for net proceeds of $5,940, and the vessel was released as collateral under the Company’s $140,000 loan facility with Credit Agricole Corporate and Investment Bank, Hamburg Commercial Bank AG, E.Sun Commercial Bank, Ltd, CTBC Bank Co. Ltd. and Taishin International Bank.</w:t>
      </w:r>
    </w:p>
    <w:p>
      <w:pPr>
        <w:spacing w:after="0" w:line="34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3" w:name="page124"/>
    <w:bookmarkEnd w:id="12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8" w:right="9540" w:hanging="8"/>
        <w:spacing w:after="0" w:line="465" w:lineRule="auto"/>
        <w:tabs>
          <w:tab w:leader="none" w:pos="126" w:val="left"/>
        </w:tabs>
        <w:numPr>
          <w:ilvl w:val="0"/>
          <w:numId w:val="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Vessels in Operation (continued) Impairment</w:t>
      </w: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2025,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2025.</w:t>
      </w:r>
    </w:p>
    <w:p>
      <w:pPr>
        <w:spacing w:after="0" w:line="9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2024, the Company noted that events and circumstances triggered the existence of potential impairment for some of Company’s vessel groups. These indicators included the potential impact of the current container sector on management’s expectation for future revenues, as well as some volatility in the charter market and the vessels’ market values. As a result, the Company performed step one of the impairment assessment of each of the Company’s vessel groups by comparing the undiscounted projected net operating cash flows for each vessel group to their carrying value and step two of the impairment analysis was not required for any vessel group, as their undiscounted projected net operating cash flows exceeded their carrying value. Accordingly, no impairment recorded for the year ended December 31, 2024.</w:t>
      </w:r>
    </w:p>
    <w:p>
      <w:pPr>
        <w:spacing w:after="0" w:line="9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Through the latter part of 2023, the Company noted that events and circumstances triggered the existence of potential impairment for some of the Company’s vessel groups. These indicators included volatility in the charter market and the vessels’ market values, as well as the potential impact of the current container sector on management’s expectation for future revenues. As a result, the Company performed step one of the impairment assessment of each of the Company’s vessel groups by comparing the undiscounted projected net operating cash flows for each vessel group to their carrying value and step two of the impairment analysis was required for two vessel groups, as their undiscounted projected net operating cash flows did not exceed their carrying value.</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a result, as of December 31, 2023, the Company recorded an impairment loss of $18,830 for two vessel groups with a total aggregate carrying amount of $43,830 which was written down to their fair value of $25,000 (see Note 4).</w:t>
      </w:r>
    </w:p>
    <w:p>
      <w:pPr>
        <w:spacing w:after="0" w:line="12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total impairment loss recognized for the years ended December 31, 2025, 2024 and 2023 amounted to $nil, $nil and $18,830, respectively.</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Collateral</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of December 31, 2025, 16 vessels were mortgaged as collateral under the 5.69% Senior Secured Notes due 2027 and 36 vessels under the Company’s loan facilities and sale and leaseback agreements. Eighteen vessels were unencumbered as of December 31, 2025.</w:t>
      </w:r>
    </w:p>
    <w:p>
      <w:pPr>
        <w:spacing w:after="0" w:line="8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Advances for vessel acquisitions and other additions</w:t>
      </w:r>
    </w:p>
    <w:p>
      <w:pPr>
        <w:spacing w:after="0" w:line="127"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As of December 31, 2025, and December 31, 2024, the Company made $30,200 and $6,850, respectively, advances for vessel acquisitions, which were delivered on January 9, 2026, and January 9, 2025. As of December 31, 2025, and December 31, 2024, the Company had also made advances for other vessel additions totaling $5,761 and $11,784, respectively.</w:t>
      </w:r>
    </w:p>
    <w:p>
      <w:pPr>
        <w:spacing w:after="0" w:line="345"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884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4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60"/>
        </w:trPr>
        <w:tc>
          <w:tcPr>
            <w:tcW w:w="840" w:type="dxa"/>
            <w:vAlign w:val="bottom"/>
          </w:tcPr>
          <w:p>
            <w:pPr>
              <w:spacing w:after="0"/>
              <w:rPr>
                <w:sz w:val="22"/>
                <w:szCs w:val="22"/>
                <w:color w:val="auto"/>
              </w:rPr>
            </w:pPr>
          </w:p>
        </w:tc>
        <w:tc>
          <w:tcPr>
            <w:tcW w:w="8840" w:type="dxa"/>
            <w:vAlign w:val="bottom"/>
          </w:tcPr>
          <w:p>
            <w:pPr>
              <w:jc w:val="center"/>
              <w:ind w:left="70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48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88"/>
        </w:trPr>
        <w:tc>
          <w:tcPr>
            <w:tcW w:w="840" w:type="dxa"/>
            <w:vAlign w:val="bottom"/>
          </w:tcPr>
          <w:p>
            <w:pPr>
              <w:spacing w:after="0"/>
              <w:rPr>
                <w:sz w:val="24"/>
                <w:szCs w:val="24"/>
                <w:color w:val="auto"/>
              </w:rPr>
            </w:pPr>
          </w:p>
        </w:tc>
        <w:tc>
          <w:tcPr>
            <w:tcW w:w="8840" w:type="dxa"/>
            <w:vAlign w:val="bottom"/>
          </w:tcPr>
          <w:p>
            <w:pPr>
              <w:jc w:val="center"/>
              <w:ind w:left="72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5"/>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5. Deferred dry dock and special survey costs, net</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88"/>
        </w:trPr>
        <w:tc>
          <w:tcPr>
            <w:tcW w:w="968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Deferred dry dock and special survey costs, net, as of December 31, 2025, 2024 and 2023 consisted of the following:</w:t>
            </w: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35"/>
        </w:trPr>
        <w:tc>
          <w:tcPr>
            <w:tcW w:w="840" w:type="dxa"/>
            <w:vAlign w:val="bottom"/>
          </w:tcPr>
          <w:p>
            <w:pPr>
              <w:spacing w:after="0"/>
              <w:rPr>
                <w:sz w:val="24"/>
                <w:szCs w:val="24"/>
                <w:color w:val="auto"/>
              </w:rPr>
            </w:pPr>
          </w:p>
        </w:tc>
        <w:tc>
          <w:tcPr>
            <w:tcW w:w="8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Dry - docking</w:t>
            </w:r>
          </w:p>
        </w:tc>
      </w:tr>
      <w:tr>
        <w:trPr>
          <w:trHeight w:val="159"/>
        </w:trPr>
        <w:tc>
          <w:tcPr>
            <w:tcW w:w="840" w:type="dxa"/>
            <w:vAlign w:val="bottom"/>
            <w:tcBorders>
              <w:bottom w:val="single" w:sz="8" w:color="CCEEFF"/>
            </w:tcBorders>
          </w:tcPr>
          <w:p>
            <w:pPr>
              <w:spacing w:after="0"/>
              <w:rPr>
                <w:sz w:val="13"/>
                <w:szCs w:val="13"/>
                <w:color w:val="auto"/>
              </w:rPr>
            </w:pPr>
          </w:p>
        </w:tc>
        <w:tc>
          <w:tcPr>
            <w:tcW w:w="884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Costs</w:t>
            </w:r>
          </w:p>
        </w:tc>
      </w:tr>
      <w:tr>
        <w:trPr>
          <w:trHeight w:val="133"/>
        </w:trPr>
        <w:tc>
          <w:tcPr>
            <w:tcW w:w="968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January 1, 2023</w:t>
            </w:r>
          </w:p>
        </w:tc>
        <w:tc>
          <w:tcPr>
            <w:tcW w:w="480" w:type="dxa"/>
            <w:vAlign w:val="bottom"/>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54,663</w:t>
            </w:r>
          </w:p>
        </w:tc>
      </w:tr>
      <w:tr>
        <w:trPr>
          <w:trHeight w:val="144"/>
        </w:trPr>
        <w:tc>
          <w:tcPr>
            <w:tcW w:w="96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38,341</w:t>
            </w:r>
          </w:p>
        </w:tc>
      </w:tr>
      <w:tr>
        <w:trPr>
          <w:trHeight w:val="144"/>
        </w:trPr>
        <w:tc>
          <w:tcPr>
            <w:tcW w:w="9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48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(19,284)</w:t>
            </w:r>
          </w:p>
        </w:tc>
      </w:tr>
      <w:tr>
        <w:trPr>
          <w:trHeight w:val="133"/>
        </w:trPr>
        <w:tc>
          <w:tcPr>
            <w:tcW w:w="9680" w:type="dxa"/>
            <w:vAlign w:val="bottom"/>
            <w:tcBorders>
              <w:bottom w:val="single" w:sz="8" w:color="CCEEFF"/>
            </w:tcBorders>
            <w:gridSpan w:val="2"/>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2023</w:t>
            </w:r>
          </w:p>
        </w:tc>
        <w:tc>
          <w:tcPr>
            <w:tcW w:w="480" w:type="dxa"/>
            <w:vAlign w:val="bottom"/>
            <w:tcBorders>
              <w:bottom w:val="single" w:sz="8" w:color="auto"/>
            </w:tcBorders>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73,720</w:t>
            </w:r>
          </w:p>
        </w:tc>
      </w:tr>
      <w:tr>
        <w:trPr>
          <w:trHeight w:val="142"/>
        </w:trPr>
        <w:tc>
          <w:tcPr>
            <w:tcW w:w="9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42,506</w:t>
            </w:r>
          </w:p>
        </w:tc>
      </w:tr>
      <w:tr>
        <w:trPr>
          <w:trHeight w:val="144"/>
        </w:trPr>
        <w:tc>
          <w:tcPr>
            <w:tcW w:w="9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(24,287)</w:t>
            </w:r>
          </w:p>
        </w:tc>
      </w:tr>
      <w:tr>
        <w:trPr>
          <w:trHeight w:val="133"/>
        </w:trPr>
        <w:tc>
          <w:tcPr>
            <w:tcW w:w="968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2024</w:t>
            </w:r>
          </w:p>
        </w:tc>
        <w:tc>
          <w:tcPr>
            <w:tcW w:w="480" w:type="dxa"/>
            <w:vAlign w:val="bottom"/>
            <w:tcBorders>
              <w:bottom w:val="single" w:sz="8" w:color="auto"/>
            </w:tcBorders>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91,939</w:t>
            </w:r>
          </w:p>
        </w:tc>
      </w:tr>
      <w:tr>
        <w:trPr>
          <w:trHeight w:val="142"/>
        </w:trPr>
        <w:tc>
          <w:tcPr>
            <w:tcW w:w="968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Additions</w:t>
            </w:r>
          </w:p>
        </w:tc>
        <w:tc>
          <w:tcPr>
            <w:tcW w:w="48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58,189</w:t>
            </w:r>
          </w:p>
        </w:tc>
      </w:tr>
      <w:tr>
        <w:trPr>
          <w:trHeight w:val="144"/>
        </w:trPr>
        <w:tc>
          <w:tcPr>
            <w:tcW w:w="96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Amortization</w:t>
            </w:r>
          </w:p>
        </w:tc>
        <w:tc>
          <w:tcPr>
            <w:tcW w:w="48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(30,055)</w:t>
            </w:r>
          </w:p>
        </w:tc>
      </w:tr>
      <w:tr>
        <w:trPr>
          <w:trHeight w:val="144"/>
        </w:trPr>
        <w:tc>
          <w:tcPr>
            <w:tcW w:w="9680" w:type="dxa"/>
            <w:vAlign w:val="bottom"/>
            <w:tcBorders>
              <w:bottom w:val="single" w:sz="8" w:color="CCEEFF"/>
            </w:tcBorders>
            <w:gridSpan w:val="2"/>
          </w:tcPr>
          <w:p>
            <w:pPr>
              <w:ind w:left="160"/>
              <w:spacing w:after="0"/>
              <w:rPr>
                <w:sz w:val="20"/>
                <w:szCs w:val="20"/>
                <w:color w:val="auto"/>
              </w:rPr>
            </w:pPr>
            <w:r>
              <w:rPr>
                <w:rFonts w:ascii="Times New Roman" w:cs="Times New Roman" w:eastAsia="Times New Roman" w:hAnsi="Times New Roman"/>
                <w:sz w:val="12"/>
                <w:szCs w:val="12"/>
                <w:color w:val="auto"/>
              </w:rPr>
              <w:t>Write-off on disposal</w:t>
            </w:r>
          </w:p>
        </w:tc>
        <w:tc>
          <w:tcPr>
            <w:tcW w:w="4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(9,137)</w:t>
            </w:r>
          </w:p>
        </w:tc>
      </w:tr>
      <w:tr>
        <w:trPr>
          <w:trHeight w:val="133"/>
        </w:trPr>
        <w:tc>
          <w:tcPr>
            <w:tcW w:w="9680" w:type="dxa"/>
            <w:vAlign w:val="bottom"/>
            <w:tcBorders>
              <w:bottom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As of December 31, 2025</w:t>
            </w:r>
          </w:p>
        </w:tc>
        <w:tc>
          <w:tcPr>
            <w:tcW w:w="480" w:type="dxa"/>
            <w:vAlign w:val="bottom"/>
            <w:tcBorders>
              <w:bottom w:val="single" w:sz="8" w:color="auto"/>
            </w:tcBorders>
            <w:shd w:val="clear" w:color="auto" w:fill="CCEEFF"/>
          </w:tcPr>
          <w:p>
            <w:pPr>
              <w:jc w:val="right"/>
              <w:ind w:right="3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110,936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615505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3">
                      <a:extLst>
                        <a:ext uri="{28A0092B-C50C-407E-A947-70E740481C1C}"/>
                      </a:extLst>
                    </a:blip>
                    <a:srcRect/>
                    <a:stretch>
                      <a:fillRect/>
                    </a:stretch>
                  </pic:blipFill>
                  <pic:spPr bwMode="auto">
                    <a:xfrm>
                      <a:off x="0" y="0"/>
                      <a:ext cx="6155055"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-399415</wp:posOffset>
            </wp:positionV>
            <wp:extent cx="6155055" cy="1085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4">
                      <a:extLst>
                        <a:ext uri="{28A0092B-C50C-407E-A947-70E740481C1C}"/>
                      </a:extLst>
                    </a:blip>
                    <a:srcRect/>
                    <a:stretch>
                      <a:fillRect/>
                    </a:stretch>
                  </pic:blipFill>
                  <pic:spPr bwMode="auto">
                    <a:xfrm>
                      <a:off x="0" y="0"/>
                      <a:ext cx="6155055" cy="10858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-679450</wp:posOffset>
            </wp:positionV>
            <wp:extent cx="6155055" cy="571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5">
                      <a:extLst>
                        <a:ext uri="{28A0092B-C50C-407E-A947-70E740481C1C}"/>
                      </a:extLst>
                    </a:blip>
                    <a:srcRect/>
                    <a:stretch>
                      <a:fillRect/>
                    </a:stretch>
                  </pic:blipFill>
                  <pic:spPr bwMode="auto">
                    <a:xfrm>
                      <a:off x="0" y="0"/>
                      <a:ext cx="6155055" cy="5715"/>
                    </a:xfrm>
                    <a:prstGeom prst="rect">
                      <a:avLst/>
                    </a:prstGeom>
                    <a:noFill/>
                  </pic:spPr>
                </pic:pic>
              </a:graphicData>
            </a:graphic>
          </wp:anchor>
        </w:drawing>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Company follows the deferral method of accounting for dry-docking costs in accordance with accounting for planned major maintenance activities, whereby actual costs incurred are deferred and amortized on a straight-line basis over the period of five years until approximately the next scheduled dry-docking, which is generally five years. Any remaining unamortized balance from the previous dry-docking are written-off.</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6. Intangible Liabilities - Charter Agreements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Intangible Liabilities - Charter Agreements as of December 31, 2025, and 2024 consisted of the following:</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56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Opening balance</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49,431</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5,662</w:t>
            </w:r>
          </w:p>
        </w:tc>
      </w:tr>
      <w:tr>
        <w:trPr>
          <w:trHeight w:val="171"/>
        </w:trPr>
        <w:tc>
          <w:tcPr>
            <w:tcW w:w="8560" w:type="dxa"/>
            <w:vAlign w:val="bottom"/>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Additions/(disposals) </w:t>
            </w:r>
            <w:r>
              <w:rPr>
                <w:rFonts w:ascii="Times New Roman" w:cs="Times New Roman" w:eastAsia="Times New Roman" w:hAnsi="Times New Roman"/>
                <w:sz w:val="19"/>
                <w:szCs w:val="19"/>
                <w:color w:val="auto"/>
                <w:vertAlign w:val="superscript"/>
              </w:rPr>
              <w:t>(*)(**)</w:t>
            </w:r>
          </w:p>
        </w:tc>
        <w:tc>
          <w:tcPr>
            <w:tcW w:w="200" w:type="dxa"/>
            <w:vAlign w:val="bottom"/>
          </w:tcPr>
          <w:p>
            <w:pPr>
              <w:spacing w:after="0"/>
              <w:rPr>
                <w:sz w:val="14"/>
                <w:szCs w:val="1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54,109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49,295</w:t>
            </w:r>
          </w:p>
        </w:tc>
      </w:tr>
      <w:tr>
        <w:trPr>
          <w:trHeight w:val="144"/>
        </w:trPr>
        <w:tc>
          <w:tcPr>
            <w:tcW w:w="85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Amortization</w:t>
            </w: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(13,486)</w:t>
            </w: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(5,526)</w:t>
            </w:r>
          </w:p>
        </w:tc>
      </w:tr>
      <w:tr>
        <w:trPr>
          <w:trHeight w:val="140"/>
        </w:trPr>
        <w:tc>
          <w:tcPr>
            <w:tcW w:w="85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90,054</w:t>
            </w:r>
          </w:p>
        </w:tc>
        <w:tc>
          <w:tcPr>
            <w:tcW w:w="10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49,431</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As of December 31, 2024, the charters of the three high-reefer ECO 9,019 TEU Vessels resulted in an intangible liability of $49,295 that was recognized and is being amortized over the remaining useful life of the charters.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first quarter of 2025, the charter of the fourth high-reefer ECO 9,019 TEU Vessels resulted in an intangible liability of $15,987 that was recognized and is being amortized over the remaining useful life of the charter.</w:t>
      </w:r>
    </w:p>
    <w:p>
      <w:pPr>
        <w:spacing w:after="0" w:line="1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color w:val="auto"/>
        </w:rPr>
        <w:t>During December 2025, the charters of the two new ECO 8,586 TEU Vessels resulted in an intangible liability of $38,122 that was recognized and will be amortized over the remaining useful life of the charters.</w:t>
      </w:r>
    </w:p>
    <w:p>
      <w:pPr>
        <w:spacing w:after="0" w:line="139"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Intangible liabilities are related to (a) acquisition of the four high-reefer ECO 9,019 TEU vessels delivered in December 2024 and January 2025, and (b) acquisition of the two new ECO 8,586 TEU Vessels delivered in December 2025, and (c) management’s estimate of the fair value of below-market charters on August 14, 2008, the date of the Marathon Merger. These intangible liabilities are being amortized over the remaining life of the relevant lease terms and the amortization income is included under the caption “Amortization of intangible liabilities-charter agreements” in the Consolidated Statements of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income of intangible liabilities-charter agreements for the years ended December 31, 2025, 2024 and 2023 was $13,486, $5,526 and $8,080, respectively.</w:t>
      </w:r>
    </w:p>
    <w:p>
      <w:pPr>
        <w:spacing w:after="0" w:line="39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8660" w:type="dxa"/>
            <w:vAlign w:val="bottom"/>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7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60"/>
        </w:trPr>
        <w:tc>
          <w:tcPr>
            <w:tcW w:w="840" w:type="dxa"/>
            <w:vAlign w:val="bottom"/>
          </w:tcPr>
          <w:p>
            <w:pPr>
              <w:spacing w:after="0"/>
              <w:rPr>
                <w:sz w:val="22"/>
                <w:szCs w:val="22"/>
                <w:color w:val="auto"/>
              </w:rPr>
            </w:pPr>
          </w:p>
        </w:tc>
        <w:tc>
          <w:tcPr>
            <w:tcW w:w="8660" w:type="dxa"/>
            <w:vAlign w:val="bottom"/>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72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88"/>
        </w:trPr>
        <w:tc>
          <w:tcPr>
            <w:tcW w:w="840" w:type="dxa"/>
            <w:vAlign w:val="bottom"/>
          </w:tcPr>
          <w:p>
            <w:pPr>
              <w:spacing w:after="0"/>
              <w:rPr>
                <w:sz w:val="24"/>
                <w:szCs w:val="24"/>
                <w:color w:val="auto"/>
              </w:rPr>
            </w:pPr>
          </w:p>
        </w:tc>
        <w:tc>
          <w:tcPr>
            <w:tcW w:w="8660" w:type="dxa"/>
            <w:vAlign w:val="bottom"/>
          </w:tcPr>
          <w:p>
            <w:pPr>
              <w:jc w:val="center"/>
              <w:ind w:left="90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22"/>
        </w:trPr>
        <w:tc>
          <w:tcPr>
            <w:tcW w:w="95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6. Intangible Liabilities - Charter Agreements (continued)</w:t>
            </w:r>
          </w:p>
        </w:tc>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70"/>
        </w:trPr>
        <w:tc>
          <w:tcPr>
            <w:tcW w:w="95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aggregate amortization of the intangible liabilities in each of the 12-month periods up to December 31, 2030, is estimated to be as follows:</w:t>
            </w:r>
          </w:p>
        </w:tc>
        <w:tc>
          <w:tcPr>
            <w:tcW w:w="7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88"/>
        </w:trPr>
        <w:tc>
          <w:tcPr>
            <w:tcW w:w="840" w:type="dxa"/>
            <w:vAlign w:val="bottom"/>
            <w:tcBorders>
              <w:bottom w:val="single" w:sz="8" w:color="CCEEFF"/>
            </w:tcBorders>
          </w:tcPr>
          <w:p>
            <w:pPr>
              <w:spacing w:after="0"/>
              <w:rPr>
                <w:sz w:val="24"/>
                <w:szCs w:val="24"/>
                <w:color w:val="auto"/>
              </w:rPr>
            </w:pPr>
          </w:p>
        </w:tc>
        <w:tc>
          <w:tcPr>
            <w:tcW w:w="866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3"/>
        </w:trPr>
        <w:tc>
          <w:tcPr>
            <w:tcW w:w="9500" w:type="dxa"/>
            <w:vAlign w:val="bottom"/>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31, 2026</w:t>
            </w:r>
          </w:p>
        </w:tc>
        <w:tc>
          <w:tcPr>
            <w:tcW w:w="720" w:type="dxa"/>
            <w:vAlign w:val="bottom"/>
            <w:shd w:val="clear" w:color="auto" w:fill="CCEEFF"/>
          </w:tcPr>
          <w:p>
            <w:pPr>
              <w:jc w:val="right"/>
              <w:ind w:right="54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21,412</w:t>
            </w:r>
          </w:p>
        </w:tc>
      </w:tr>
      <w:tr>
        <w:trPr>
          <w:trHeight w:val="144"/>
        </w:trPr>
        <w:tc>
          <w:tcPr>
            <w:tcW w:w="95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21,412</w:t>
            </w:r>
          </w:p>
        </w:tc>
      </w:tr>
      <w:tr>
        <w:trPr>
          <w:trHeight w:val="144"/>
        </w:trPr>
        <w:tc>
          <w:tcPr>
            <w:tcW w:w="9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2028</w:t>
            </w:r>
          </w:p>
        </w:tc>
        <w:tc>
          <w:tcPr>
            <w:tcW w:w="7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21,471</w:t>
            </w:r>
          </w:p>
        </w:tc>
      </w:tr>
      <w:tr>
        <w:trPr>
          <w:trHeight w:val="144"/>
        </w:trPr>
        <w:tc>
          <w:tcPr>
            <w:tcW w:w="950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December 31, 2029</w:t>
            </w:r>
          </w:p>
        </w:tc>
        <w:tc>
          <w:tcPr>
            <w:tcW w:w="7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19,910</w:t>
            </w:r>
          </w:p>
        </w:tc>
      </w:tr>
      <w:tr>
        <w:trPr>
          <w:trHeight w:val="144"/>
        </w:trPr>
        <w:tc>
          <w:tcPr>
            <w:tcW w:w="9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2030</w:t>
            </w:r>
          </w:p>
        </w:tc>
        <w:tc>
          <w:tcPr>
            <w:tcW w:w="72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5,849</w:t>
            </w:r>
          </w:p>
        </w:tc>
      </w:tr>
      <w:tr>
        <w:trPr>
          <w:trHeight w:val="140"/>
        </w:trPr>
        <w:tc>
          <w:tcPr>
            <w:tcW w:w="840" w:type="dxa"/>
            <w:vAlign w:val="bottom"/>
          </w:tcPr>
          <w:p>
            <w:pPr>
              <w:spacing w:after="0"/>
              <w:rPr>
                <w:sz w:val="12"/>
                <w:szCs w:val="12"/>
                <w:color w:val="auto"/>
              </w:rPr>
            </w:pPr>
          </w:p>
        </w:tc>
        <w:tc>
          <w:tcPr>
            <w:tcW w:w="8660" w:type="dxa"/>
            <w:vAlign w:val="bottom"/>
          </w:tcPr>
          <w:p>
            <w:pPr>
              <w:spacing w:after="0"/>
              <w:rPr>
                <w:sz w:val="12"/>
                <w:szCs w:val="12"/>
                <w:color w:val="auto"/>
              </w:rPr>
            </w:pPr>
          </w:p>
        </w:tc>
        <w:tc>
          <w:tcPr>
            <w:tcW w:w="720" w:type="dxa"/>
            <w:vAlign w:val="bottom"/>
            <w:tcBorders>
              <w:bottom w:val="single" w:sz="8" w:color="auto"/>
            </w:tcBorders>
          </w:tcPr>
          <w:p>
            <w:pPr>
              <w:jc w:val="right"/>
              <w:ind w:right="5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0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90,054</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weighted average useful life for the remaining intangible liabilities-charter agreements terms is 4.21 years.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7. Prepaid Expenses and Other Current Assets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Prepaid Expenses and Other Current Assets as at December 31, 2025, and December 31, 2024, consisted of the following: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90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4900" w:type="dxa"/>
            <w:vAlign w:val="bottom"/>
            <w:tcBorders>
              <w:top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Insurance and other claims</w:t>
            </w:r>
          </w:p>
        </w:tc>
        <w:tc>
          <w:tcPr>
            <w:tcW w:w="360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6,358</w:t>
            </w:r>
          </w:p>
        </w:tc>
        <w:tc>
          <w:tcPr>
            <w:tcW w:w="160" w:type="dxa"/>
            <w:vAlign w:val="bottom"/>
            <w:tcBorders>
              <w:top w:val="single" w:sz="8" w:color="CCECFF"/>
            </w:tcBorders>
            <w:shd w:val="clear" w:color="auto" w:fill="CCECFF"/>
          </w:tcPr>
          <w:p>
            <w:pPr>
              <w:spacing w:after="0"/>
              <w:rPr>
                <w:sz w:val="11"/>
                <w:szCs w:val="11"/>
                <w:color w:val="auto"/>
              </w:rPr>
            </w:pPr>
          </w:p>
        </w:tc>
        <w:tc>
          <w:tcPr>
            <w:tcW w:w="200" w:type="dxa"/>
            <w:vAlign w:val="bottom"/>
            <w:tcBorders>
              <w:top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1,606</w:t>
            </w:r>
          </w:p>
        </w:tc>
      </w:tr>
      <w:tr>
        <w:trPr>
          <w:trHeight w:val="144"/>
        </w:trPr>
        <w:tc>
          <w:tcPr>
            <w:tcW w:w="4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Advances to suppliers and other assets</w:t>
            </w: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3,556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5,628</w:t>
            </w:r>
          </w:p>
        </w:tc>
      </w:tr>
      <w:tr>
        <w:trPr>
          <w:trHeight w:val="144"/>
        </w:trPr>
        <w:tc>
          <w:tcPr>
            <w:tcW w:w="49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Prepaid insurances</w:t>
            </w:r>
          </w:p>
        </w:tc>
        <w:tc>
          <w:tcPr>
            <w:tcW w:w="360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3,873</w:t>
            </w:r>
          </w:p>
        </w:tc>
        <w:tc>
          <w:tcPr>
            <w:tcW w:w="160" w:type="dxa"/>
            <w:vAlign w:val="bottom"/>
            <w:shd w:val="clear" w:color="auto" w:fill="CCECFF"/>
          </w:tcPr>
          <w:p>
            <w:pPr>
              <w:spacing w:after="0"/>
              <w:rPr>
                <w:sz w:val="12"/>
                <w:szCs w:val="12"/>
                <w:color w:val="auto"/>
              </w:rPr>
            </w:pPr>
          </w:p>
        </w:tc>
        <w:tc>
          <w:tcPr>
            <w:tcW w:w="200" w:type="dxa"/>
            <w:vAlign w:val="bottom"/>
            <w:shd w:val="clear" w:color="auto" w:fill="CCECFF"/>
          </w:tcPr>
          <w:p>
            <w:pPr>
              <w:spacing w:after="0"/>
              <w:rPr>
                <w:sz w:val="12"/>
                <w:szCs w:val="12"/>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1,732</w:t>
            </w:r>
          </w:p>
        </w:tc>
      </w:tr>
      <w:tr>
        <w:trPr>
          <w:trHeight w:val="171"/>
        </w:trPr>
        <w:tc>
          <w:tcPr>
            <w:tcW w:w="4900" w:type="dxa"/>
            <w:vAlign w:val="bottom"/>
            <w:tcBorders>
              <w:bottom w:val="single" w:sz="8" w:color="CCECFF"/>
            </w:tcBorders>
          </w:tcPr>
          <w:p>
            <w:pPr>
              <w:ind w:left="60"/>
              <w:spacing w:after="0" w:line="171" w:lineRule="exact"/>
              <w:rPr>
                <w:sz w:val="20"/>
                <w:szCs w:val="20"/>
                <w:color w:val="auto"/>
              </w:rPr>
            </w:pPr>
            <w:r>
              <w:rPr>
                <w:rFonts w:ascii="Times New Roman" w:cs="Times New Roman" w:eastAsia="Times New Roman" w:hAnsi="Times New Roman"/>
                <w:sz w:val="12"/>
                <w:szCs w:val="12"/>
                <w:color w:val="auto"/>
              </w:rPr>
              <w:t xml:space="preserve">Other </w:t>
            </w:r>
            <w:r>
              <w:rPr>
                <w:rFonts w:ascii="Times New Roman" w:cs="Times New Roman" w:eastAsia="Times New Roman" w:hAnsi="Times New Roman"/>
                <w:sz w:val="19"/>
                <w:szCs w:val="19"/>
                <w:color w:val="auto"/>
                <w:vertAlign w:val="superscript"/>
              </w:rPr>
              <w:t>(1)</w:t>
            </w:r>
          </w:p>
        </w:tc>
        <w:tc>
          <w:tcPr>
            <w:tcW w:w="360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19,836</w:t>
            </w:r>
          </w:p>
        </w:tc>
        <w:tc>
          <w:tcPr>
            <w:tcW w:w="16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22,983</w:t>
            </w:r>
          </w:p>
        </w:tc>
      </w:tr>
      <w:tr>
        <w:trPr>
          <w:trHeight w:val="153"/>
        </w:trPr>
        <w:tc>
          <w:tcPr>
            <w:tcW w:w="4900" w:type="dxa"/>
            <w:vAlign w:val="bottom"/>
            <w:tcBorders>
              <w:bottom w:val="single" w:sz="8" w:color="CCECFF"/>
            </w:tcBorders>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360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33,623</w:t>
            </w:r>
          </w:p>
        </w:tc>
        <w:tc>
          <w:tcPr>
            <w:tcW w:w="16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31,949</w:t>
            </w:r>
          </w:p>
        </w:tc>
      </w:tr>
      <w:tr>
        <w:trPr>
          <w:trHeight w:val="275"/>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(1)Includes mainly current portion of the straight-line basis of revenue recognition.</w:t>
            </w:r>
          </w:p>
        </w:tc>
        <w:tc>
          <w:tcPr>
            <w:tcW w:w="3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9"/>
        </w:trPr>
        <w:tc>
          <w:tcPr>
            <w:tcW w:w="49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8. Inventories</w:t>
            </w: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1"/>
        </w:trPr>
        <w:tc>
          <w:tcPr>
            <w:tcW w:w="4900" w:type="dxa"/>
            <w:vAlign w:val="bottom"/>
          </w:tcPr>
          <w:p>
            <w:pPr>
              <w:spacing w:after="0"/>
              <w:rPr>
                <w:sz w:val="20"/>
                <w:szCs w:val="20"/>
                <w:color w:val="auto"/>
              </w:rPr>
            </w:pPr>
            <w:r>
              <w:rPr>
                <w:rFonts w:ascii="Times New Roman" w:cs="Times New Roman" w:eastAsia="Times New Roman" w:hAnsi="Times New Roman"/>
                <w:sz w:val="12"/>
                <w:szCs w:val="12"/>
                <w:color w:val="auto"/>
              </w:rPr>
              <w:t>Inventories as at December 31, 2025, and December 31, 2024, consisted of the following:</w:t>
            </w:r>
          </w:p>
        </w:tc>
        <w:tc>
          <w:tcPr>
            <w:tcW w:w="3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8"/>
        </w:trPr>
        <w:tc>
          <w:tcPr>
            <w:tcW w:w="49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490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Bunkers</w:t>
            </w:r>
          </w:p>
        </w:tc>
        <w:tc>
          <w:tcPr>
            <w:tcW w:w="36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452</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1,512</w:t>
            </w:r>
          </w:p>
        </w:tc>
      </w:tr>
      <w:tr>
        <w:trPr>
          <w:trHeight w:val="144"/>
        </w:trPr>
        <w:tc>
          <w:tcPr>
            <w:tcW w:w="4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Lubricants</w:t>
            </w: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13,466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12,354</w:t>
            </w:r>
          </w:p>
        </w:tc>
      </w:tr>
      <w:tr>
        <w:trPr>
          <w:trHeight w:val="144"/>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EUAs</w:t>
            </w:r>
          </w:p>
        </w:tc>
        <w:tc>
          <w:tcPr>
            <w:tcW w:w="3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2,544</w:t>
            </w:r>
          </w:p>
        </w:tc>
      </w:tr>
      <w:tr>
        <w:trPr>
          <w:trHeight w:val="144"/>
        </w:trPr>
        <w:tc>
          <w:tcPr>
            <w:tcW w:w="4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Stores</w:t>
            </w:r>
          </w:p>
        </w:tc>
        <w:tc>
          <w:tcPr>
            <w:tcW w:w="3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1,981</w:t>
            </w:r>
          </w:p>
        </w:tc>
      </w:tr>
      <w:tr>
        <w:trPr>
          <w:trHeight w:val="144"/>
        </w:trPr>
        <w:tc>
          <w:tcPr>
            <w:tcW w:w="49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Victualling</w:t>
            </w:r>
          </w:p>
        </w:tc>
        <w:tc>
          <w:tcPr>
            <w:tcW w:w="36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514</w:t>
            </w:r>
          </w:p>
        </w:tc>
      </w:tr>
      <w:tr>
        <w:trPr>
          <w:trHeight w:val="140"/>
        </w:trPr>
        <w:tc>
          <w:tcPr>
            <w:tcW w:w="49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360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14,600</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18,905</w:t>
            </w:r>
          </w:p>
        </w:tc>
      </w:tr>
      <w:tr>
        <w:trPr>
          <w:trHeight w:val="504"/>
        </w:trPr>
        <w:tc>
          <w:tcPr>
            <w:tcW w:w="490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2"/>
          </w:tcPr>
          <w:p>
            <w:pPr>
              <w:jc w:val="right"/>
              <w:ind w:right="2900"/>
              <w:spacing w:after="0"/>
              <w:rPr>
                <w:sz w:val="20"/>
                <w:szCs w:val="20"/>
                <w:color w:val="auto"/>
              </w:rPr>
            </w:pPr>
            <w:r>
              <w:rPr>
                <w:rFonts w:ascii="Times New Roman" w:cs="Times New Roman" w:eastAsia="Times New Roman" w:hAnsi="Times New Roman"/>
                <w:sz w:val="12"/>
                <w:szCs w:val="12"/>
                <w:color w:val="auto"/>
              </w:rPr>
              <w:t>F-28</w:t>
            </w: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91" w:right="2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9. Derivative Assets</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December 2021, the Company purchased interest rate caps with an aggregate notional amount of $484,106, which amount reduces over time as the Company’s outstanding debt balances amortize. The objective of the hedges is to reduce the variability of cash flows associated with the interest relating to its variable rate borrowings. The Company receives payments on the caps for any period that the one-month USD LIBOR rate is above the strike rate, which is 0.75%. The termination date of the interest rate cap agreements is November 30, 2026. The premium paid to purchase the interest caps was $7,000, which was paid out of cash on December 22, 2021. The premium is being amortized over the life of the interest rate cap by using the caplet method.</w:t>
      </w:r>
    </w:p>
    <w:p>
      <w:pPr>
        <w:spacing w:after="0" w:line="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In February 2022, the Company further hedged its exposure to a potential rising interest rate environment by putting in place two USD one-month LIBOR interest rate caps of 0.75% through fourth quarter 2026, on $507,891 of its floating rate debt. The second interest rate cap was not designated as a cash flow hedge and therefore the negative fair value adjustment of $4,952 as at December 31, 2025 ($5,170 negative fair value adjustment and $5,372 negative fair value adjustment as at December 31, 2024 and 2023, respectively) was recorded through Consolidated Statements of Income. The premium paid by the Company to purchase the interest rate caps was $15,370, which was paid out of cash on the settlement date. ASC 815-20-25-13a stipulates that an entity may designate either all or certain future interest payments on variable-rate debt as the hedged exposure in a cash flow hedge relationship. In this case, the Company has designated only a portion of its outstanding debt (initially, $253,946) as the hedged item, and any interest payments beyond the notional amount of the interest rate cap in any given period are not designated as being hedged. Amount received from interest rate caps for each of the years ended December 31, 2025, 2024 and 2023 was $16,600, $27,027 and $32,549, respectively.</w:t>
      </w:r>
    </w:p>
    <w:p>
      <w:pPr>
        <w:spacing w:after="0" w:line="107"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On April 4, 2024, the Company entered into a foreign exchange option strip (“FX option”) to purchase €3,000, with monthly settlements that started on April 11, 2024 and ended on March 13, 2025. The initial value of the excluded component was equal to the option premium of €417 and was recognized in earnings using the amortization approach as per ASC 815-20-25-83A.</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850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Opening balance</w:t>
            </w:r>
          </w:p>
        </w:tc>
        <w:tc>
          <w:tcPr>
            <w:tcW w:w="2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20,406</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41,506</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FX option premium</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249</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Unrealized loss on derivative assets (interest rate caps)</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(15,933)</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Unrealized loss on FX option</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Fair value adjustment on derivative asset</w:t>
            </w: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(4,952)</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(5,170)</w:t>
            </w:r>
          </w:p>
        </w:tc>
      </w:tr>
      <w:tr>
        <w:trPr>
          <w:trHeight w:val="133"/>
        </w:trPr>
        <w:tc>
          <w:tcPr>
            <w:tcW w:w="85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Closing balance</w:t>
            </w:r>
          </w:p>
        </w:tc>
        <w:tc>
          <w:tcPr>
            <w:tcW w:w="20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5,234</w:t>
            </w:r>
          </w:p>
        </w:tc>
        <w:tc>
          <w:tcPr>
            <w:tcW w:w="160" w:type="dxa"/>
            <w:vAlign w:val="bottom"/>
          </w:tcPr>
          <w:p>
            <w:pPr>
              <w:spacing w:after="0"/>
              <w:rPr>
                <w:sz w:val="11"/>
                <w:szCs w:val="11"/>
                <w:color w:val="auto"/>
              </w:rPr>
            </w:pPr>
          </w:p>
        </w:tc>
        <w:tc>
          <w:tcPr>
            <w:tcW w:w="200" w:type="dxa"/>
            <w:vAlign w:val="bottom"/>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20,406</w:t>
            </w:r>
          </w:p>
        </w:tc>
      </w:tr>
      <w:tr>
        <w:trPr>
          <w:trHeight w:val="144"/>
        </w:trPr>
        <w:tc>
          <w:tcPr>
            <w:tcW w:w="8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Less: Current portion of derivative assets (interest rate caps)</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(14,434)</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Less: Current portion of FX option</w:t>
            </w:r>
          </w:p>
        </w:tc>
        <w:tc>
          <w:tcPr>
            <w:tcW w:w="20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r>
      <w:tr>
        <w:trPr>
          <w:trHeight w:val="140"/>
        </w:trPr>
        <w:tc>
          <w:tcPr>
            <w:tcW w:w="8500" w:type="dxa"/>
            <w:vAlign w:val="bottom"/>
            <w:tcBorders>
              <w:top w:val="single" w:sz="8" w:color="CCEEFF"/>
              <w:bottom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Non-current portion of derivative assets (interest rate caps)</w:t>
            </w:r>
          </w:p>
        </w:tc>
        <w:tc>
          <w:tcPr>
            <w:tcW w:w="20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5,969</w:t>
            </w: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amounts included in accumulated other comprehensive income will be reclassified to interest expense should the hedge no longer be considered effective. The Company assesses the effectiveness of the hedges on an ongoing basis. As of December 31, 2025, interest rate cap notional amount covers ~75% of the outstanding floating debt. As of December 31, 2025, 2024 and 2023, following a quantitative assessment, part of the hedge was no longer considered effective and an amount of $nil, ($877) and ($214) was reclassified to other comprehensive income to the Consolidated Statements of Income. The Company will continue to assess the effectiveness of the hedge on an ongoing basis.</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840" w:type="dxa"/>
            <w:vAlign w:val="bottom"/>
            <w:tcBorders>
              <w:top w:val="single" w:sz="8" w:color="0000EE"/>
            </w:tcBorders>
          </w:tcPr>
          <w:p>
            <w:pPr>
              <w:spacing w:after="0"/>
              <w:rPr>
                <w:sz w:val="15"/>
                <w:szCs w:val="15"/>
                <w:color w:val="auto"/>
              </w:rPr>
            </w:pPr>
          </w:p>
        </w:tc>
        <w:tc>
          <w:tcPr>
            <w:tcW w:w="3180" w:type="dxa"/>
            <w:vAlign w:val="bottom"/>
          </w:tcPr>
          <w:p>
            <w:pPr>
              <w:spacing w:after="0"/>
              <w:rPr>
                <w:sz w:val="15"/>
                <w:szCs w:val="15"/>
                <w:color w:val="auto"/>
              </w:rPr>
            </w:pPr>
          </w:p>
        </w:tc>
        <w:tc>
          <w:tcPr>
            <w:tcW w:w="4680" w:type="dxa"/>
            <w:vAlign w:val="bottom"/>
            <w:gridSpan w:val="3"/>
          </w:tcPr>
          <w:p>
            <w:pPr>
              <w:jc w:val="center"/>
              <w:ind w:right="1380"/>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0"/>
        </w:trPr>
        <w:tc>
          <w:tcPr>
            <w:tcW w:w="84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4680" w:type="dxa"/>
            <w:vAlign w:val="bottom"/>
            <w:gridSpan w:val="3"/>
          </w:tcPr>
          <w:p>
            <w:pPr>
              <w:jc w:val="center"/>
              <w:ind w:right="1380"/>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8"/>
        </w:trPr>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680" w:type="dxa"/>
            <w:vAlign w:val="bottom"/>
            <w:gridSpan w:val="3"/>
          </w:tcPr>
          <w:p>
            <w:pPr>
              <w:jc w:val="center"/>
              <w:ind w:right="1360"/>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10. Accounts Payable</w:t>
            </w: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1"/>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Accounts payable as of December 31, 2025, and 2024 consisted of the following:</w:t>
            </w:r>
          </w:p>
        </w:tc>
        <w:tc>
          <w:tcPr>
            <w:tcW w:w="3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8"/>
        </w:trPr>
        <w:tc>
          <w:tcPr>
            <w:tcW w:w="8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Pr>
          <w:p>
            <w:pPr>
              <w:spacing w:after="0"/>
              <w:rPr>
                <w:sz w:val="24"/>
                <w:szCs w:val="24"/>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33"/>
        </w:trPr>
        <w:tc>
          <w:tcPr>
            <w:tcW w:w="4020" w:type="dxa"/>
            <w:vAlign w:val="bottom"/>
            <w:tcBorders>
              <w:top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Suppliers, repairers</w:t>
            </w:r>
          </w:p>
        </w:tc>
        <w:tc>
          <w:tcPr>
            <w:tcW w:w="3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13,319</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8,884</w:t>
            </w:r>
          </w:p>
        </w:tc>
      </w:tr>
      <w:tr>
        <w:trPr>
          <w:trHeight w:val="144"/>
        </w:trPr>
        <w:tc>
          <w:tcPr>
            <w:tcW w:w="40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Insurers, agents and brokers</w:t>
            </w:r>
          </w:p>
        </w:tc>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w:t>
            </w:r>
          </w:p>
        </w:tc>
      </w:tr>
      <w:tr>
        <w:trPr>
          <w:trHeight w:val="144"/>
        </w:trPr>
        <w:tc>
          <w:tcPr>
            <w:tcW w:w="4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Payables to charterers</w:t>
            </w:r>
          </w:p>
        </w:tc>
        <w:tc>
          <w:tcPr>
            <w:tcW w:w="3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2,030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3,416</w:t>
            </w:r>
          </w:p>
        </w:tc>
      </w:tr>
      <w:tr>
        <w:trPr>
          <w:trHeight w:val="144"/>
        </w:trPr>
        <w:tc>
          <w:tcPr>
            <w:tcW w:w="40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EUAs</w:t>
            </w:r>
          </w:p>
        </w:tc>
        <w:tc>
          <w:tcPr>
            <w:tcW w:w="31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34,709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11,708</w:t>
            </w:r>
          </w:p>
        </w:tc>
      </w:tr>
      <w:tr>
        <w:trPr>
          <w:trHeight w:val="144"/>
        </w:trPr>
        <w:tc>
          <w:tcPr>
            <w:tcW w:w="40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FuelEU</w:t>
            </w:r>
          </w:p>
        </w:tc>
        <w:tc>
          <w:tcPr>
            <w:tcW w:w="3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10,539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44"/>
        </w:trPr>
        <w:tc>
          <w:tcPr>
            <w:tcW w:w="4020" w:type="dxa"/>
            <w:vAlign w:val="bottom"/>
            <w:tcBorders>
              <w:bottom w:val="single" w:sz="8" w:color="CCEE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Other creditors</w:t>
            </w:r>
          </w:p>
        </w:tc>
        <w:tc>
          <w:tcPr>
            <w:tcW w:w="3100" w:type="dxa"/>
            <w:vAlign w:val="bottom"/>
            <w:tcBorders>
              <w:bottom w:val="single" w:sz="8" w:color="CCEEFF"/>
            </w:tcBorders>
          </w:tcPr>
          <w:p>
            <w:pPr>
              <w:spacing w:after="0"/>
              <w:rPr>
                <w:sz w:val="12"/>
                <w:szCs w:val="12"/>
                <w:color w:val="auto"/>
              </w:rPr>
            </w:pPr>
          </w:p>
        </w:tc>
        <w:tc>
          <w:tcPr>
            <w:tcW w:w="1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742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2,116</w:t>
            </w:r>
          </w:p>
        </w:tc>
      </w:tr>
      <w:tr>
        <w:trPr>
          <w:trHeight w:val="153"/>
        </w:trPr>
        <w:tc>
          <w:tcPr>
            <w:tcW w:w="4020" w:type="dxa"/>
            <w:vAlign w:val="bottom"/>
            <w:tcBorders>
              <w:bottom w:val="single" w:sz="8" w:color="CCEEFF"/>
            </w:tcBorders>
            <w:gridSpan w:val="2"/>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3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w:t>
            </w:r>
          </w:p>
        </w:tc>
        <w:tc>
          <w:tcPr>
            <w:tcW w:w="460" w:type="dxa"/>
            <w:vAlign w:val="bottom"/>
            <w:tcBorders>
              <w:bottom w:val="single" w:sz="8" w:color="auto"/>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61,912</w:t>
            </w:r>
          </w:p>
        </w:tc>
        <w:tc>
          <w:tcPr>
            <w:tcW w:w="16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26,334</w:t>
            </w:r>
          </w:p>
        </w:tc>
      </w:tr>
      <w:tr>
        <w:trPr>
          <w:trHeight w:val="275"/>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11. Accrued Liabilities</w:t>
            </w:r>
          </w:p>
        </w:tc>
        <w:tc>
          <w:tcPr>
            <w:tcW w:w="3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61"/>
        </w:trPr>
        <w:tc>
          <w:tcPr>
            <w:tcW w:w="402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Accrued liabilities as of December 31, 2025, and 2024 consisted of the following:</w:t>
            </w:r>
          </w:p>
        </w:tc>
        <w:tc>
          <w:tcPr>
            <w:tcW w:w="31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8"/>
        </w:trPr>
        <w:tc>
          <w:tcPr>
            <w:tcW w:w="840" w:type="dxa"/>
            <w:vAlign w:val="bottom"/>
            <w:tcBorders>
              <w:bottom w:val="single" w:sz="8" w:color="CCECFF"/>
            </w:tcBorders>
          </w:tcPr>
          <w:p>
            <w:pPr>
              <w:spacing w:after="0"/>
              <w:rPr>
                <w:sz w:val="24"/>
                <w:szCs w:val="24"/>
                <w:color w:val="auto"/>
              </w:rPr>
            </w:pPr>
          </w:p>
        </w:tc>
        <w:tc>
          <w:tcPr>
            <w:tcW w:w="3180" w:type="dxa"/>
            <w:vAlign w:val="bottom"/>
            <w:tcBorders>
              <w:bottom w:val="single" w:sz="8" w:color="CCECFF"/>
            </w:tcBorders>
          </w:tcPr>
          <w:p>
            <w:pPr>
              <w:spacing w:after="0"/>
              <w:rPr>
                <w:sz w:val="24"/>
                <w:szCs w:val="24"/>
                <w:color w:val="auto"/>
              </w:rPr>
            </w:pPr>
          </w:p>
        </w:tc>
        <w:tc>
          <w:tcPr>
            <w:tcW w:w="3100" w:type="dxa"/>
            <w:vAlign w:val="bottom"/>
            <w:tcBorders>
              <w:bottom w:val="single" w:sz="8" w:color="CCECFF"/>
            </w:tcBorders>
          </w:tcPr>
          <w:p>
            <w:pPr>
              <w:spacing w:after="0"/>
              <w:rPr>
                <w:sz w:val="24"/>
                <w:szCs w:val="24"/>
                <w:color w:val="auto"/>
              </w:rPr>
            </w:pPr>
          </w:p>
        </w:tc>
        <w:tc>
          <w:tcPr>
            <w:tcW w:w="2040" w:type="dxa"/>
            <w:vAlign w:val="bottom"/>
            <w:tcBorders>
              <w:bottom w:val="single" w:sz="8" w:color="auto"/>
            </w:tcBorders>
            <w:gridSpan w:val="3"/>
          </w:tcPr>
          <w:p>
            <w:pPr>
              <w:jc w:val="center"/>
              <w:ind w:left="8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220" w:type="dxa"/>
            <w:vAlign w:val="bottom"/>
            <w:tcBorders>
              <w:bottom w:val="single" w:sz="8" w:color="CCECFF"/>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151"/>
        </w:trPr>
        <w:tc>
          <w:tcPr>
            <w:tcW w:w="4020" w:type="dxa"/>
            <w:vAlign w:val="bottom"/>
            <w:gridSpan w:val="2"/>
            <w:shd w:val="clear" w:color="auto" w:fill="CCECFF"/>
          </w:tcPr>
          <w:p>
            <w:pPr>
              <w:ind w:left="60"/>
              <w:spacing w:after="0" w:line="151" w:lineRule="exact"/>
              <w:rPr>
                <w:sz w:val="20"/>
                <w:szCs w:val="20"/>
                <w:color w:val="auto"/>
              </w:rPr>
            </w:pPr>
            <w:r>
              <w:rPr>
                <w:rFonts w:ascii="Times New Roman" w:cs="Times New Roman" w:eastAsia="Times New Roman" w:hAnsi="Times New Roman"/>
                <w:sz w:val="11"/>
                <w:szCs w:val="11"/>
                <w:color w:val="auto"/>
              </w:rPr>
              <w:t xml:space="preserve">Accrued expenses </w:t>
            </w:r>
            <w:r>
              <w:rPr>
                <w:rFonts w:ascii="Times New Roman" w:cs="Times New Roman" w:eastAsia="Times New Roman" w:hAnsi="Times New Roman"/>
                <w:sz w:val="17"/>
                <w:szCs w:val="17"/>
                <w:color w:val="auto"/>
                <w:vertAlign w:val="superscript"/>
              </w:rPr>
              <w:t>(1)</w:t>
            </w:r>
          </w:p>
        </w:tc>
        <w:tc>
          <w:tcPr>
            <w:tcW w:w="4480" w:type="dxa"/>
            <w:vAlign w:val="bottom"/>
            <w:gridSpan w:val="2"/>
            <w:shd w:val="clear" w:color="auto" w:fill="CCECFF"/>
          </w:tcPr>
          <w:p>
            <w:pPr>
              <w:jc w:val="right"/>
              <w:ind w:right="12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CFF"/>
          </w:tcPr>
          <w:p>
            <w:pPr>
              <w:spacing w:after="0"/>
              <w:rPr>
                <w:sz w:val="13"/>
                <w:szCs w:val="13"/>
                <w:color w:val="auto"/>
              </w:rPr>
            </w:pPr>
          </w:p>
        </w:tc>
        <w:tc>
          <w:tcPr>
            <w:tcW w:w="4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40,655</w:t>
            </w:r>
          </w:p>
        </w:tc>
        <w:tc>
          <w:tcPr>
            <w:tcW w:w="220" w:type="dxa"/>
            <w:vAlign w:val="bottom"/>
            <w:shd w:val="clear" w:color="auto" w:fill="CCECFF"/>
          </w:tcPr>
          <w:p>
            <w:pPr>
              <w:spacing w:after="0"/>
              <w:rPr>
                <w:sz w:val="13"/>
                <w:szCs w:val="13"/>
                <w:color w:val="auto"/>
              </w:rPr>
            </w:pPr>
          </w:p>
        </w:tc>
        <w:tc>
          <w:tcPr>
            <w:tcW w:w="440" w:type="dxa"/>
            <w:vAlign w:val="bottom"/>
            <w:shd w:val="clear" w:color="auto" w:fill="CCEC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11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40,308</w:t>
            </w:r>
          </w:p>
        </w:tc>
      </w:tr>
      <w:tr>
        <w:trPr>
          <w:trHeight w:val="144"/>
        </w:trPr>
        <w:tc>
          <w:tcPr>
            <w:tcW w:w="4020" w:type="dxa"/>
            <w:vAlign w:val="bottom"/>
            <w:tcBorders>
              <w:bottom w:val="single" w:sz="8" w:color="CCECFF"/>
            </w:tcBorders>
            <w:gridSpan w:val="2"/>
          </w:tcPr>
          <w:p>
            <w:pPr>
              <w:ind w:left="60"/>
              <w:spacing w:after="0"/>
              <w:rPr>
                <w:sz w:val="20"/>
                <w:szCs w:val="20"/>
                <w:color w:val="auto"/>
              </w:rPr>
            </w:pPr>
            <w:r>
              <w:rPr>
                <w:rFonts w:ascii="Times New Roman" w:cs="Times New Roman" w:eastAsia="Times New Roman" w:hAnsi="Times New Roman"/>
                <w:sz w:val="12"/>
                <w:szCs w:val="12"/>
                <w:color w:val="auto"/>
              </w:rPr>
              <w:t>Accrued interest</w:t>
            </w:r>
          </w:p>
        </w:tc>
        <w:tc>
          <w:tcPr>
            <w:tcW w:w="3100" w:type="dxa"/>
            <w:vAlign w:val="bottom"/>
            <w:tcBorders>
              <w:bottom w:val="single" w:sz="8" w:color="CCECFF"/>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7,072</w:t>
            </w:r>
          </w:p>
        </w:tc>
        <w:tc>
          <w:tcPr>
            <w:tcW w:w="220" w:type="dxa"/>
            <w:vAlign w:val="bottom"/>
            <w:tcBorders>
              <w:bottom w:val="single" w:sz="8" w:color="CCEC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6,618</w:t>
            </w:r>
          </w:p>
        </w:tc>
      </w:tr>
      <w:tr>
        <w:trPr>
          <w:trHeight w:val="140"/>
        </w:trPr>
        <w:tc>
          <w:tcPr>
            <w:tcW w:w="4020" w:type="dxa"/>
            <w:vAlign w:val="bottom"/>
            <w:tcBorders>
              <w:bottom w:val="single" w:sz="8" w:color="CCECFF"/>
            </w:tcBorders>
            <w:gridSpan w:val="2"/>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3100" w:type="dxa"/>
            <w:vAlign w:val="bottom"/>
            <w:tcBorders>
              <w:bottom w:val="single" w:sz="8" w:color="CCECFF"/>
            </w:tcBorders>
            <w:shd w:val="clear" w:color="auto" w:fill="CCECFF"/>
          </w:tcPr>
          <w:p>
            <w:pPr>
              <w:spacing w:after="0"/>
              <w:rPr>
                <w:sz w:val="12"/>
                <w:szCs w:val="12"/>
                <w:color w:val="auto"/>
              </w:rPr>
            </w:pPr>
          </w:p>
        </w:tc>
        <w:tc>
          <w:tcPr>
            <w:tcW w:w="1380" w:type="dxa"/>
            <w:vAlign w:val="bottom"/>
            <w:tcBorders>
              <w:bottom w:val="single" w:sz="8" w:color="auto"/>
            </w:tcBorders>
            <w:shd w:val="clear" w:color="auto" w:fill="CCECFF"/>
          </w:tcPr>
          <w:p>
            <w:pPr>
              <w:jc w:val="right"/>
              <w:ind w:right="1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200" w:type="dxa"/>
            <w:vAlign w:val="bottom"/>
            <w:tcBorders>
              <w:bottom w:val="single" w:sz="8" w:color="auto"/>
            </w:tcBorders>
            <w:shd w:val="clear" w:color="auto" w:fill="CCECFF"/>
          </w:tcPr>
          <w:p>
            <w:pPr>
              <w:spacing w:after="0"/>
              <w:rPr>
                <w:sz w:val="12"/>
                <w:szCs w:val="12"/>
                <w:color w:val="auto"/>
              </w:rPr>
            </w:pPr>
          </w:p>
        </w:tc>
        <w:tc>
          <w:tcPr>
            <w:tcW w:w="46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47,727</w:t>
            </w:r>
          </w:p>
        </w:tc>
        <w:tc>
          <w:tcPr>
            <w:tcW w:w="220" w:type="dxa"/>
            <w:vAlign w:val="bottom"/>
            <w:tcBorders>
              <w:bottom w:val="single" w:sz="8" w:color="CCECFF"/>
            </w:tcBorders>
            <w:shd w:val="clear" w:color="auto" w:fill="CCECFF"/>
          </w:tcPr>
          <w:p>
            <w:pPr>
              <w:spacing w:after="0"/>
              <w:rPr>
                <w:sz w:val="12"/>
                <w:szCs w:val="12"/>
                <w:color w:val="auto"/>
              </w:rPr>
            </w:pPr>
          </w:p>
        </w:tc>
        <w:tc>
          <w:tcPr>
            <w:tcW w:w="440" w:type="dxa"/>
            <w:vAlign w:val="bottom"/>
            <w:tcBorders>
              <w:bottom w:val="single" w:sz="8" w:color="auto"/>
            </w:tcBorders>
            <w:shd w:val="clear" w:color="auto" w:fill="CCECFF"/>
          </w:tcPr>
          <w:p>
            <w:pPr>
              <w:jc w:val="right"/>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60" w:type="dxa"/>
            <w:vAlign w:val="bottom"/>
            <w:tcBorders>
              <w:bottom w:val="single" w:sz="8" w:color="auto"/>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spacing w:after="0"/>
              <w:rPr>
                <w:sz w:val="12"/>
                <w:szCs w:val="12"/>
                <w:color w:val="auto"/>
              </w:rPr>
            </w:pPr>
          </w:p>
        </w:tc>
        <w:tc>
          <w:tcPr>
            <w:tcW w:w="1120" w:type="dxa"/>
            <w:vAlign w:val="bottom"/>
            <w:tcBorders>
              <w:bottom w:val="single" w:sz="8" w:color="auto"/>
            </w:tcBorders>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46,926</w:t>
            </w:r>
          </w:p>
        </w:tc>
      </w:tr>
    </w:tbl>
    <w:p>
      <w:pPr>
        <w:spacing w:after="0" w:line="133" w:lineRule="exact"/>
        <w:rPr>
          <w:sz w:val="20"/>
          <w:szCs w:val="20"/>
          <w:color w:val="auto"/>
        </w:rPr>
      </w:pPr>
    </w:p>
    <w:p>
      <w:pPr>
        <w:jc w:val="both"/>
        <w:ind w:left="140" w:right="80" w:hanging="143"/>
        <w:spacing w:after="0" w:line="279" w:lineRule="auto"/>
        <w:rPr>
          <w:sz w:val="20"/>
          <w:szCs w:val="20"/>
          <w:color w:val="auto"/>
        </w:rPr>
      </w:pPr>
      <w:r>
        <w:rPr>
          <w:rFonts w:ascii="Times New Roman" w:cs="Times New Roman" w:eastAsia="Times New Roman" w:hAnsi="Times New Roman"/>
          <w:sz w:val="12"/>
          <w:szCs w:val="12"/>
          <w:color w:val="auto"/>
        </w:rPr>
        <w:t>(1)As of December 31, 2025, accrued expenses include $9,476 (December 31, 2024: $8,191), which reflects 1.00% commission payable to the commercial manager based on the purchase price of already acquired vessels that has been deferred and will be paid upon request of the commercial manager (see Note 14).</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2"/>
          <w:szCs w:val="12"/>
          <w:color w:val="0000EE"/>
        </w:rPr>
        <w:t>Table of Contents</w:t>
      </w:r>
    </w:p>
    <w:tbl>
      <w:tblPr>
        <w:tblLayout w:type="fixed"/>
        <w:tblInd w:w="0" w:type="dxa"/>
        <w:tblCellMar>
          <w:top w:w="0" w:type="dxa"/>
          <w:left w:w="0" w:type="dxa"/>
          <w:bottom w:w="0" w:type="dxa"/>
          <w:right w:w="0" w:type="dxa"/>
        </w:tblCellMar>
      </w:tblPr>
      <w:tr>
        <w:trPr>
          <w:trHeight w:val="179"/>
        </w:trPr>
        <w:tc>
          <w:tcPr>
            <w:tcW w:w="6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120" w:type="dxa"/>
            <w:vAlign w:val="bottom"/>
          </w:tcPr>
          <w:p>
            <w:pPr>
              <w:spacing w:after="0"/>
              <w:rPr>
                <w:sz w:val="15"/>
                <w:szCs w:val="15"/>
                <w:color w:val="auto"/>
              </w:rPr>
            </w:pPr>
          </w:p>
        </w:tc>
        <w:tc>
          <w:tcPr>
            <w:tcW w:w="4740" w:type="dxa"/>
            <w:vAlign w:val="bottom"/>
            <w:gridSpan w:val="2"/>
          </w:tcPr>
          <w:p>
            <w:pPr>
              <w:jc w:val="center"/>
              <w:ind w:right="1326"/>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60"/>
        </w:trPr>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120" w:type="dxa"/>
            <w:vAlign w:val="bottom"/>
          </w:tcPr>
          <w:p>
            <w:pPr>
              <w:spacing w:after="0"/>
              <w:rPr>
                <w:sz w:val="22"/>
                <w:szCs w:val="22"/>
                <w:color w:val="auto"/>
              </w:rPr>
            </w:pPr>
          </w:p>
        </w:tc>
        <w:tc>
          <w:tcPr>
            <w:tcW w:w="4740" w:type="dxa"/>
            <w:vAlign w:val="bottom"/>
            <w:gridSpan w:val="2"/>
          </w:tcPr>
          <w:p>
            <w:pPr>
              <w:jc w:val="center"/>
              <w:ind w:right="1326"/>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88"/>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740" w:type="dxa"/>
            <w:vAlign w:val="bottom"/>
            <w:gridSpan w:val="2"/>
          </w:tcPr>
          <w:p>
            <w:pPr>
              <w:jc w:val="center"/>
              <w:ind w:right="1306"/>
              <w:spacing w:after="0"/>
              <w:rPr>
                <w:sz w:val="20"/>
                <w:szCs w:val="20"/>
                <w:color w:val="auto"/>
              </w:rPr>
            </w:pPr>
            <w:r>
              <w:rPr>
                <w:rFonts w:ascii="Times New Roman" w:cs="Times New Roman" w:eastAsia="Times New Roman" w:hAnsi="Times New Roman"/>
                <w:sz w:val="12"/>
                <w:szCs w:val="12"/>
                <w:color w:val="auto"/>
              </w:rPr>
              <w:t>(Expressed in thousands of U.S. dollars)</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3960" w:type="dxa"/>
            <w:vAlign w:val="bottom"/>
            <w:gridSpan w:val="4"/>
          </w:tcPr>
          <w:p>
            <w:pPr>
              <w:spacing w:after="0"/>
              <w:rPr>
                <w:sz w:val="20"/>
                <w:szCs w:val="20"/>
                <w:color w:val="auto"/>
              </w:rPr>
            </w:pPr>
            <w:r>
              <w:rPr>
                <w:rFonts w:ascii="Times New Roman" w:cs="Times New Roman" w:eastAsia="Times New Roman" w:hAnsi="Times New Roman"/>
                <w:sz w:val="12"/>
                <w:szCs w:val="12"/>
                <w:b w:val="1"/>
                <w:bCs w:val="1"/>
                <w:color w:val="auto"/>
              </w:rPr>
              <w:t>12. Long-Term Debt</w:t>
            </w:r>
          </w:p>
        </w:tc>
        <w:tc>
          <w:tcPr>
            <w:tcW w:w="4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46"/>
        </w:trPr>
        <w:tc>
          <w:tcPr>
            <w:tcW w:w="396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Long-term debt as of December 31, 2025, and 2024 consisted of the following:</w:t>
            </w:r>
          </w:p>
        </w:tc>
        <w:tc>
          <w:tcPr>
            <w:tcW w:w="4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132"/>
        </w:trPr>
        <w:tc>
          <w:tcPr>
            <w:tcW w:w="3960" w:type="dxa"/>
            <w:vAlign w:val="bottom"/>
            <w:gridSpan w:val="4"/>
          </w:tcPr>
          <w:p>
            <w:pPr>
              <w:ind w:left="60"/>
              <w:spacing w:after="0" w:line="132" w:lineRule="exact"/>
              <w:rPr>
                <w:sz w:val="20"/>
                <w:szCs w:val="20"/>
                <w:color w:val="auto"/>
              </w:rPr>
            </w:pPr>
            <w:r>
              <w:rPr>
                <w:rFonts w:ascii="Times New Roman" w:cs="Times New Roman" w:eastAsia="Times New Roman" w:hAnsi="Times New Roman"/>
                <w:sz w:val="12"/>
                <w:szCs w:val="12"/>
                <w:b w:val="1"/>
                <w:bCs w:val="1"/>
                <w:color w:val="auto"/>
              </w:rPr>
              <w:t>Facilities</w:t>
            </w:r>
          </w:p>
        </w:tc>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ind w:left="80"/>
              <w:spacing w:after="0" w:line="132" w:lineRule="exact"/>
              <w:rPr>
                <w:sz w:val="20"/>
                <w:szCs w:val="20"/>
                <w:color w:val="auto"/>
              </w:rPr>
            </w:pPr>
            <w:r>
              <w:rPr>
                <w:rFonts w:ascii="Times New Roman" w:cs="Times New Roman" w:eastAsia="Times New Roman" w:hAnsi="Times New Roman"/>
                <w:sz w:val="12"/>
                <w:szCs w:val="12"/>
                <w:b w:val="1"/>
                <w:bCs w:val="1"/>
                <w:color w:val="auto"/>
              </w:rPr>
              <w:t>December 31, 2025</w:t>
            </w:r>
          </w:p>
        </w:tc>
        <w:tc>
          <w:tcPr>
            <w:tcW w:w="200" w:type="dxa"/>
            <w:vAlign w:val="bottom"/>
          </w:tcPr>
          <w:p>
            <w:pPr>
              <w:spacing w:after="0"/>
              <w:rPr>
                <w:sz w:val="11"/>
                <w:szCs w:val="11"/>
                <w:color w:val="auto"/>
              </w:rPr>
            </w:pPr>
          </w:p>
        </w:tc>
        <w:tc>
          <w:tcPr>
            <w:tcW w:w="1120" w:type="dxa"/>
            <w:vAlign w:val="bottom"/>
          </w:tcPr>
          <w:p>
            <w:pPr>
              <w:jc w:val="right"/>
              <w:spacing w:after="0" w:line="132" w:lineRule="exact"/>
              <w:rPr>
                <w:sz w:val="20"/>
                <w:szCs w:val="20"/>
                <w:color w:val="auto"/>
              </w:rPr>
            </w:pPr>
            <w:r>
              <w:rPr>
                <w:rFonts w:ascii="Times New Roman" w:cs="Times New Roman" w:eastAsia="Times New Roman" w:hAnsi="Times New Roman"/>
                <w:sz w:val="12"/>
                <w:szCs w:val="12"/>
                <w:b w:val="1"/>
                <w:bCs w:val="1"/>
                <w:color w:val="auto"/>
              </w:rPr>
              <w:t>December 31, 2024</w:t>
            </w:r>
          </w:p>
        </w:tc>
      </w:tr>
      <w:tr>
        <w:trPr>
          <w:trHeight w:val="20"/>
        </w:trPr>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20"/>
        </w:trPr>
        <w:tc>
          <w:tcPr>
            <w:tcW w:w="3960" w:type="dxa"/>
            <w:vAlign w:val="bottom"/>
            <w:gridSpan w:val="4"/>
            <w:shd w:val="clear" w:color="auto" w:fill="CCEEFF"/>
          </w:tcPr>
          <w:p>
            <w:pPr>
              <w:ind w:left="60"/>
              <w:spacing w:after="0" w:line="120" w:lineRule="exact"/>
              <w:rPr>
                <w:sz w:val="20"/>
                <w:szCs w:val="20"/>
                <w:color w:val="auto"/>
              </w:rPr>
            </w:pPr>
            <w:r>
              <w:rPr>
                <w:rFonts w:ascii="Times New Roman" w:cs="Times New Roman" w:eastAsia="Times New Roman" w:hAnsi="Times New Roman"/>
                <w:sz w:val="12"/>
                <w:szCs w:val="12"/>
                <w:color w:val="auto"/>
              </w:rPr>
              <w:t>UBS Credit Facility (a)</w:t>
            </w:r>
          </w:p>
        </w:tc>
        <w:tc>
          <w:tcPr>
            <w:tcW w:w="4620" w:type="dxa"/>
            <w:vAlign w:val="bottom"/>
            <w:shd w:val="clear" w:color="auto" w:fill="CCEEFF"/>
          </w:tcPr>
          <w:p>
            <w:pPr>
              <w:spacing w:after="0"/>
              <w:rPr>
                <w:sz w:val="10"/>
                <w:szCs w:val="10"/>
                <w:color w:val="auto"/>
              </w:rPr>
            </w:pPr>
          </w:p>
        </w:tc>
        <w:tc>
          <w:tcPr>
            <w:tcW w:w="120" w:type="dxa"/>
            <w:vAlign w:val="bottom"/>
            <w:shd w:val="clear" w:color="auto" w:fill="CCEEFF"/>
          </w:tcPr>
          <w:p>
            <w:pPr>
              <w:jc w:val="right"/>
              <w:ind w:right="6"/>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71,000</w:t>
            </w: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20"/>
              <w:spacing w:after="0" w:line="120" w:lineRule="exact"/>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spacing w:after="0" w:line="120" w:lineRule="exact"/>
              <w:rPr>
                <w:sz w:val="20"/>
                <w:szCs w:val="20"/>
                <w:color w:val="auto"/>
              </w:rPr>
            </w:pPr>
            <w:r>
              <w:rPr>
                <w:rFonts w:ascii="Times New Roman" w:cs="Times New Roman" w:eastAsia="Times New Roman" w:hAnsi="Times New Roman"/>
                <w:sz w:val="12"/>
                <w:szCs w:val="12"/>
                <w:color w:val="auto"/>
              </w:rPr>
              <w:t>—</w:t>
            </w:r>
          </w:p>
        </w:tc>
      </w:tr>
      <w:tr>
        <w:trPr>
          <w:trHeight w:val="144"/>
        </w:trPr>
        <w:tc>
          <w:tcPr>
            <w:tcW w:w="39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2024 Senior Secured Term Loan Facility (b)</w:t>
            </w: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240,000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288,000</w:t>
            </w:r>
          </w:p>
        </w:tc>
      </w:tr>
      <w:tr>
        <w:trPr>
          <w:trHeight w:val="144"/>
        </w:trPr>
        <w:tc>
          <w:tcPr>
            <w:tcW w:w="39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2027 Secured Notes (c)</w:t>
            </w:r>
          </w:p>
        </w:tc>
        <w:tc>
          <w:tcPr>
            <w:tcW w:w="4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179,375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231,875</w:t>
            </w:r>
          </w:p>
        </w:tc>
      </w:tr>
      <w:tr>
        <w:trPr>
          <w:trHeight w:val="144"/>
        </w:trPr>
        <w:tc>
          <w:tcPr>
            <w:tcW w:w="39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Macquarie loan (d)</w:t>
            </w: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23,500</w:t>
            </w:r>
          </w:p>
        </w:tc>
      </w:tr>
      <w:tr>
        <w:trPr>
          <w:trHeight w:val="144"/>
        </w:trPr>
        <w:tc>
          <w:tcPr>
            <w:tcW w:w="39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E.SUN, MICB, Cathay, Taishin Credit Facility (e)</w:t>
            </w:r>
          </w:p>
        </w:tc>
        <w:tc>
          <w:tcPr>
            <w:tcW w:w="4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8,300</w:t>
            </w:r>
          </w:p>
        </w:tc>
      </w:tr>
      <w:tr>
        <w:trPr>
          <w:trHeight w:val="144"/>
        </w:trPr>
        <w:tc>
          <w:tcPr>
            <w:tcW w:w="39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HCOB, CACIB, ESUN, CTBC, Taishin Credit Facility (f)</w:t>
            </w: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52,111</w:t>
            </w:r>
          </w:p>
        </w:tc>
      </w:tr>
      <w:tr>
        <w:trPr>
          <w:trHeight w:val="133"/>
        </w:trPr>
        <w:tc>
          <w:tcPr>
            <w:tcW w:w="3960" w:type="dxa"/>
            <w:vAlign w:val="bottom"/>
            <w:tcBorders>
              <w:top w:val="single" w:sz="8" w:color="CCEEFF"/>
            </w:tcBorders>
            <w:gridSpan w:val="4"/>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credit facilities</w:t>
            </w:r>
          </w:p>
        </w:tc>
        <w:tc>
          <w:tcPr>
            <w:tcW w:w="4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490,375</w:t>
            </w: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603,786</w:t>
            </w:r>
          </w:p>
        </w:tc>
      </w:tr>
      <w:tr>
        <w:trPr>
          <w:trHeight w:val="133"/>
        </w:trPr>
        <w:tc>
          <w:tcPr>
            <w:tcW w:w="3960" w:type="dxa"/>
            <w:vAlign w:val="bottom"/>
            <w:gridSpan w:val="4"/>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Sale and Leaseback Agreements</w:t>
            </w:r>
          </w:p>
        </w:tc>
        <w:tc>
          <w:tcPr>
            <w:tcW w:w="4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tcPr>
          <w:p>
            <w:pPr>
              <w:spacing w:after="0"/>
              <w:rPr>
                <w:sz w:val="11"/>
                <w:szCs w:val="11"/>
                <w:color w:val="auto"/>
              </w:rPr>
            </w:pPr>
          </w:p>
        </w:tc>
      </w:tr>
      <w:tr>
        <w:trPr>
          <w:trHeight w:val="144"/>
        </w:trPr>
        <w:tc>
          <w:tcPr>
            <w:tcW w:w="39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Minsheng Sale and Leaseback Agreements - $178,000 (m)</w:t>
            </w:r>
          </w:p>
        </w:tc>
        <w:tc>
          <w:tcPr>
            <w:tcW w:w="4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166,788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44,500</w:t>
            </w:r>
          </w:p>
        </w:tc>
      </w:tr>
      <w:tr>
        <w:trPr>
          <w:trHeight w:val="144"/>
        </w:trPr>
        <w:tc>
          <w:tcPr>
            <w:tcW w:w="3960" w:type="dxa"/>
            <w:vAlign w:val="bottom"/>
            <w:tcBorders>
              <w:bottom w:val="single" w:sz="8" w:color="CCEEFF"/>
            </w:tcBorders>
            <w:gridSpan w:val="4"/>
          </w:tcPr>
          <w:p>
            <w:pPr>
              <w:ind w:left="60"/>
              <w:spacing w:after="0"/>
              <w:rPr>
                <w:sz w:val="20"/>
                <w:szCs w:val="20"/>
                <w:color w:val="auto"/>
              </w:rPr>
            </w:pPr>
            <w:r>
              <w:rPr>
                <w:rFonts w:ascii="Times New Roman" w:cs="Times New Roman" w:eastAsia="Times New Roman" w:hAnsi="Times New Roman"/>
                <w:sz w:val="12"/>
                <w:szCs w:val="12"/>
                <w:color w:val="auto"/>
              </w:rPr>
              <w:t>CMBFL Sale and Leaseback Agreements - $120,000 (n)</w:t>
            </w:r>
          </w:p>
        </w:tc>
        <w:tc>
          <w:tcPr>
            <w:tcW w:w="4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37,546</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42,813</w:t>
            </w:r>
          </w:p>
        </w:tc>
      </w:tr>
      <w:tr>
        <w:trPr>
          <w:trHeight w:val="133"/>
        </w:trPr>
        <w:tc>
          <w:tcPr>
            <w:tcW w:w="3960" w:type="dxa"/>
            <w:vAlign w:val="bottom"/>
            <w:gridSpan w:val="4"/>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Sale and Leaseback Agreements</w:t>
            </w:r>
          </w:p>
        </w:tc>
        <w:tc>
          <w:tcPr>
            <w:tcW w:w="462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204,334</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87,313</w:t>
            </w:r>
          </w:p>
        </w:tc>
      </w:tr>
      <w:tr>
        <w:trPr>
          <w:trHeight w:val="133"/>
        </w:trPr>
        <w:tc>
          <w:tcPr>
            <w:tcW w:w="3960" w:type="dxa"/>
            <w:vAlign w:val="bottom"/>
            <w:tcBorders>
              <w:bottom w:val="single" w:sz="8" w:color="CCEEFF"/>
            </w:tcBorders>
            <w:gridSpan w:val="4"/>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borrowings</w:t>
            </w:r>
          </w:p>
        </w:tc>
        <w:tc>
          <w:tcPr>
            <w:tcW w:w="462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694,709</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691,099</w:t>
            </w:r>
          </w:p>
        </w:tc>
      </w:tr>
      <w:tr>
        <w:trPr>
          <w:trHeight w:val="133"/>
        </w:trPr>
        <w:tc>
          <w:tcPr>
            <w:tcW w:w="3960" w:type="dxa"/>
            <w:vAlign w:val="bottom"/>
            <w:gridSpan w:val="4"/>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Less: Current portion of long-term debt</w:t>
            </w:r>
          </w:p>
        </w:tc>
        <w:tc>
          <w:tcPr>
            <w:tcW w:w="4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0"/>
              <w:spacing w:after="0" w:line="133" w:lineRule="exact"/>
              <w:rPr>
                <w:sz w:val="20"/>
                <w:szCs w:val="20"/>
                <w:color w:val="auto"/>
              </w:rPr>
            </w:pPr>
            <w:r>
              <w:rPr>
                <w:rFonts w:ascii="Times New Roman" w:cs="Times New Roman" w:eastAsia="Times New Roman" w:hAnsi="Times New Roman"/>
                <w:sz w:val="12"/>
                <w:szCs w:val="12"/>
                <w:color w:val="auto"/>
              </w:rPr>
              <w:t>(128,500)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(136,559)</w:t>
            </w:r>
          </w:p>
        </w:tc>
      </w:tr>
      <w:tr>
        <w:trPr>
          <w:trHeight w:val="144"/>
        </w:trPr>
        <w:tc>
          <w:tcPr>
            <w:tcW w:w="3960" w:type="dxa"/>
            <w:vAlign w:val="bottom"/>
            <w:gridSpan w:val="4"/>
          </w:tcPr>
          <w:p>
            <w:pPr>
              <w:ind w:left="60"/>
              <w:spacing w:after="0"/>
              <w:rPr>
                <w:sz w:val="20"/>
                <w:szCs w:val="20"/>
                <w:color w:val="auto"/>
              </w:rPr>
            </w:pPr>
            <w:r>
              <w:rPr>
                <w:rFonts w:ascii="Times New Roman" w:cs="Times New Roman" w:eastAsia="Times New Roman" w:hAnsi="Times New Roman"/>
                <w:sz w:val="12"/>
                <w:szCs w:val="12"/>
                <w:color w:val="auto"/>
              </w:rPr>
              <w:t>Less: Current portion of Sale and Leaseback Agreements (m,n,o,p)</w:t>
            </w:r>
          </w:p>
        </w:tc>
        <w:tc>
          <w:tcPr>
            <w:tcW w:w="4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(19,067)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(8,717)</w:t>
            </w:r>
          </w:p>
        </w:tc>
      </w:tr>
      <w:tr>
        <w:trPr>
          <w:trHeight w:val="144"/>
        </w:trPr>
        <w:tc>
          <w:tcPr>
            <w:tcW w:w="39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Less: Deferred financing costs (r)</w:t>
            </w:r>
          </w:p>
        </w:tc>
        <w:tc>
          <w:tcPr>
            <w:tcW w:w="46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(5,567)</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(7,042)</w:t>
            </w:r>
          </w:p>
        </w:tc>
      </w:tr>
      <w:tr>
        <w:trPr>
          <w:trHeight w:val="140"/>
        </w:trPr>
        <w:tc>
          <w:tcPr>
            <w:tcW w:w="3960" w:type="dxa"/>
            <w:vAlign w:val="bottom"/>
            <w:gridSpan w:val="4"/>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Non-current portion of Long-Term Debt</w:t>
            </w:r>
          </w:p>
        </w:tc>
        <w:tc>
          <w:tcPr>
            <w:tcW w:w="462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12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541,575</w:t>
            </w:r>
          </w:p>
        </w:tc>
        <w:tc>
          <w:tcPr>
            <w:tcW w:w="160" w:type="dxa"/>
            <w:vAlign w:val="bottom"/>
          </w:tcPr>
          <w:p>
            <w:pPr>
              <w:spacing w:after="0"/>
              <w:rPr>
                <w:sz w:val="12"/>
                <w:szCs w:val="12"/>
                <w:color w:val="auto"/>
              </w:rPr>
            </w:pPr>
          </w:p>
        </w:tc>
        <w:tc>
          <w:tcPr>
            <w:tcW w:w="200" w:type="dxa"/>
            <w:vAlign w:val="bottom"/>
            <w:tcBorders>
              <w:bottom w:val="single" w:sz="8" w:color="auto"/>
            </w:tcBorders>
          </w:tcPr>
          <w:p>
            <w:pPr>
              <w:jc w:val="right"/>
              <w:ind w:right="2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538,781</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 and Senior Secured Notes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 $85,000 UBS Credit Facility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March 26, 2025, the Company, through certain of its vessel-owning subsidiaries, entered into a $85,000 credit facility with UBS AG (the “UBS Credit Facility”).</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UBS Credit Facility is repayable in 12 equal consecutive quarterly instalments of $7,000, together with a final balloon payment of $1,000 payable together with the last repayment instalment due at maturity in the second quarter of 2028.</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 bears interest at SOFR plus a margin of 2.15% per annum payable quarterly in arrears.</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used the net proceeds from the UBS Credit Facility to prepay in full, the following existing debt facilities (i) Macquarie Credit Facility (fully prepaid on April 3, 2025 the amount of $17,500), (ii) E.SUN, MICB, Cathay, Taishin Credit Facility, and (iii) HCOB, CACIB, ESUN, CTBC, Taishin Credit Facility (fully prepaid on April 3, 2025 the amount of $46,818). On March 28, 2025, the Company fully prepaid, using cash on hand, the amount $5,900 of the E.SUN, MICB, Cathay, Taishin Credit Facility, as no drawdown of the UBS Credit Facility had taken place during the first quarter of 2025.</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full amount under the UBS Credit Facility had been drawn and the outstanding balance was $71,000.</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$300,000 Senior Secured Term Loan Facility CACIB, ABN, Bank of America, First Citizens Bank, CTBC</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August 7, 2024, the Company, through certain of its vessel-owning subsidiaries, entered into a $300,000 senior secured term loan facility (the “2024 Senior Secured Term Loan Facility”). As of December 31, 2024, the banks in this facility were: Credit Agricole Corporate and Investment Bank (“CACIB”), ABN AMRO Bank N.V. (“ABN”), Bank of America N.A. (“BofA”), First Citizens Bank &amp; Trust Company (“First Citizens”) and CTBC Bank Co. Ltd. (“CTBC”) to refinance, or prepay, in full or in part, certain of its outstanding debt facilities.</w:t>
      </w:r>
    </w:p>
    <w:p>
      <w:pPr>
        <w:spacing w:after="0" w:line="3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1" w:right="2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Facilities and Senior Secured Notes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 $300,000 Senior Secured Term Loan Facility CACIB, ABN, Bank of America, First Citizens Bank, CTBC (continued)</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All three tranches were drawn down in the third quarter of 2024 and the term loan facility has a maturity in the third quarter of 2030.</w:t>
      </w:r>
    </w:p>
    <w:p>
      <w:pPr>
        <w:spacing w:after="0" w:line="12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2024 Senior Secured Term Loan Facility is repayable in 12 equal consecutive quarterly instalments of $12,000, four equal consecutive quarterly instalments of $10,000, four equal consecutive quarterly instalments of $8,000 and four equal consecutive quarterly instalments of $6,000 together with a final balloon payment of $60,000 on the term loan facility termination date.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facility’s interest rate is SOFR plus a margin of 1.85% per annum payable quarterly in arrears.</w:t>
      </w:r>
    </w:p>
    <w:p>
      <w:pPr>
        <w:spacing w:after="0" w:line="13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 used the net proceeds from the 2024 Senior Secured Term Loan Facility to refinance or prepay, in full or in part, the following (a) existing debt facilities (i) Sinopac Credit Facility, (ii) Deutsche Bank Credit Facility, (iii) HCOB Credit Facility, (iv) CACIB, Bank Sinopac, CTBC Credit Facility, (v) Chailease Credit Facility, (vi) Syndicated Senior Secured Credit Facility (CACIB, ABN, First-Citizens &amp; Trust Company, Siemens, CTBC, Bank Sinopac, Palatine), (vii) Macquarie loan and (viii) E.SUN, MICB, Cathay, Taishin Credit Facility and (b) existing sale and lease back agreements (i) $54,000 CMBFL Sale and Leaseback Agreement and (ii) Neptune Sale and Leaseback Agreement. The refinancing transaction was accounted as a debt extinguishment.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aggregate principal amount outstanding under the 2024 Senior Secured Term Loan Facility was $240,000.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 5.69% Senior Secured Notes due 2027</w:t>
      </w:r>
    </w:p>
    <w:p>
      <w:pPr>
        <w:spacing w:after="0" w:line="1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June 16, 2022, Knausen Holding LLC (the "Issuer"), an indirect wholly-owned subsidiary of the Company, closed on the private placement of $350,000, led by Goldman Sachs &amp; Co. LLC., of publicly rated/investment grade 5.69% Senior Secured Notes due 2027 (the “2027 Secured Notes”) to a limited number of accredited investors. The fixed interest rate was determined on June 1, 2022, based on the interpolated interest rate of 2.84% plus a margin of 2.85% per annum.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used the net proceeds from the private placement for the repayment of certain of the Company’s then-outstanding indebtedness and for general corporate purposes.</w:t>
      </w:r>
    </w:p>
    <w:p>
      <w:pPr>
        <w:spacing w:after="0" w:line="123"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An amount equal to 15% per annum of the original principal balance of each Note is payable in equal quarterly installments on the 15th day of each of January, April, July, and October starting October 15, 2022, and the remaining unpaid principal balance shall be due and payable on the maturity date of July 15, 2027. Interest accrues on the unpaid balance of the Notes, payable quarterly on the 15th day of January, April, July, and October in each year, such interest commencing and accruing on and from June 14, 2022.</w:t>
      </w:r>
    </w:p>
    <w:p>
      <w:pPr>
        <w:spacing w:after="0" w:line="10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2027 Secured Notes are senior obligations of the Issuer, were initially secured by first priority mortgages on 20 identified vessels owned by subsidiaries of the Issuer (the “Subsidiary Guarantors”) and certain other associated assets and contract rights, as well as share pledges over the Subsidiary Guarantors. In addition, the 2027 Secured Notes are fully and unconditionally guaranteed by the Company.</w:t>
      </w:r>
    </w:p>
    <w:p>
      <w:pPr>
        <w:spacing w:after="0" w:line="8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the first quarter of 2025, Tasman, Keta and Akiteta were sold. All three vessels were released as collateral under the 2027 Secured Notes. Further, Dimitris Y, was contracted to be sold in May 2025, was released as collateral on July 28, 2025, and was delivered to the new owners on October 13, 2025.</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aggregate principal amount outstanding under the 2027 Secured Notes was $179,375.</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0" w:name="page131"/>
    <w:bookmarkEnd w:id="130"/>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35" w:lineRule="exact"/>
        <w:rPr>
          <w:sz w:val="20"/>
          <w:szCs w:val="20"/>
          <w:color w:val="auto"/>
        </w:rPr>
      </w:pPr>
    </w:p>
    <w:p>
      <w:pPr>
        <w:ind w:left="8" w:right="9660" w:hanging="8"/>
        <w:spacing w:after="0" w:line="503" w:lineRule="auto"/>
        <w:tabs>
          <w:tab w:leader="none" w:pos="188" w:val="left"/>
        </w:tabs>
        <w:numPr>
          <w:ilvl w:val="0"/>
          <w:numId w:val="5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Long-Term Debt (continued) Facilities repaid in 2025</w:t>
      </w:r>
    </w:p>
    <w:p>
      <w:pPr>
        <w:ind w:left="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b w:val="1"/>
          <w:bCs w:val="1"/>
          <w:color w:val="auto"/>
        </w:rPr>
        <w:t>d) Macquarie Credit Facility</w:t>
      </w:r>
    </w:p>
    <w:p>
      <w:pPr>
        <w:spacing w:after="0" w:line="14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May 18, 2023, the Company, through certain of its vessel-owning subsidiaries, entered into a credit facility agreement with Macquarie Bank Limited (“Macquarie”) for an amount of $76,000 to finance part of the acquisition cost of four containerships, each with a carrying capacity of, 8,544 TEU vessels for an aggregate purchase price of $123,300. The vessels were delivered during the second quarter of 2023.</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All four tranches were drawdown in the second quarter of 2023 and the credit facility had maturity in May 2026. The facility was repayable in two equal consecutive quarterly instalments of $5,000, six equal consecutive quarterly instalments of $6,000 and one quarterly instalments of $3,000 and two equal consecutive quarterly instalments of $1,000 with a final balloon payment of $25,000 payable three years after the first utilization date. This facility’s interest rate was SOFR plus a margin of 3.50% per annum payable quarterly in arrears.</w:t>
      </w:r>
    </w:p>
    <w:p>
      <w:pPr>
        <w:spacing w:after="0" w:line="119"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September 10, 2024, the Company used a portion of the net proceeds from the 2024 Senior Secured Term Loan Facility entered on August 7, 2024, to partially prepay the amount of $18,500 under this facility (prepayment was deducted from the final balloon payment).</w:t>
      </w:r>
    </w:p>
    <w:p>
      <w:pPr>
        <w:spacing w:after="0" w:line="11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used the net proceeds from the UBS Credit Facility (see Note 12a) and prepaid in full, the following existing debt facilities (i) Macquarie Credit Facility (fully prepaid on April 3, 2025 the amount of $17,500), (ii) E.SUN, MICB, Cathay, Taishin Credit Facility, and (iii) HCOB, CACIB, ESUN, CTBC, Taishin Credit Facility (fully prepaid on April 3, 2025 the amount of $46,818). On March 28, 2025, the Company fully prepaid with its own cash the amount $5,900 of E.SUN, MICB, Cathay, Taishin Credit Facility, as no drawdown of the UBS Credit Facility had taken place during the first quarter of 2025. Prepayment fee on full repayment of Macquarie Credit Facility was $175.</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 $60,000 E.SUN, MICB, Cathay, Taishin Credit Facility</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December 30, 2021, the Company, through certain of its vessel-owning subsidiaries, entered into a syndicated senior secured debt facility with E.SUN Commercial Bank Ltd (“E.SUN”), Cathay United Bank (“Cathay”), Mega International Commercial Bank Co. Ltd (“MICB”) and Taishin International Bank (“Taishin”). The Company used a portion of the net proceeds from this credit facility to fully prepay certain of the Company’s then-outstanding indebtedness. All three tranches were drawn down in January 2022.</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was repayable in eight equal consecutive quarterly instalments of $4,500 and ten equal consecutive quarterly instalments of $2,400.</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facility’s interest was SOFR plus a margin of 2.75% per annum plus Credit Adjustment Spread (“CAS”) payable quarterly in arrears.</w:t>
      </w:r>
    </w:p>
    <w:p>
      <w:pPr>
        <w:spacing w:after="0" w:line="150"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September 11, 2024, the Company used a portion of the net proceeds from the 2024 Senior Secured Term Loan Facility entered on August 7, 2024, to partially prepay the amount of $8,500 under this facility. Following the prepayment, the outstanding balance of the facility was repayable in four equal consecutive quarterly instalments of $2,400 and one quarterly instalment of $1,100 and new maturity would have been in October 2025 from July 2026.</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March 28, 2025, the Company fully prepaid the amount of $5,900 under this facility with its own cash, as no drawdown of the UBS Credit Facility had taken place during the first quarter of 2025 (see Note 12a).</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21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1" w:name="page132"/>
    <w:bookmarkEnd w:id="131"/>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26" w:lineRule="exact"/>
        <w:rPr>
          <w:sz w:val="20"/>
          <w:szCs w:val="20"/>
          <w:color w:val="auto"/>
        </w:rPr>
      </w:pPr>
    </w:p>
    <w:p>
      <w:pPr>
        <w:ind w:left="8" w:right="9660" w:hanging="8"/>
        <w:spacing w:after="0" w:line="503" w:lineRule="auto"/>
        <w:tabs>
          <w:tab w:leader="none" w:pos="188" w:val="left"/>
        </w:tabs>
        <w:numPr>
          <w:ilvl w:val="0"/>
          <w:numId w:val="60"/>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Long-Term Debt (continued) Facilities repaid in 2025</w:t>
      </w:r>
    </w:p>
    <w:p>
      <w:pPr>
        <w:ind w:left="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b w:val="1"/>
          <w:bCs w:val="1"/>
          <w:color w:val="auto"/>
        </w:rPr>
        <w:t>f) $140,000 HCOB, CACIB, ESUN, CTBC, Taishin Credit Facility</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July 6, 2021, the Company, through certain of its vessel-owning subsidiaries, entered into a facility with CACIB, Hamburg Commercial Bank AG (“HCOB”), ESUN, CTBC and Taishin for a total of $140,000 to finance the acquisition of the Twelve Vessels. The full amount was drawdown in July 2021 and the credit facility had a maturity in July 2026.</w:t>
      </w:r>
    </w:p>
    <w:p>
      <w:pPr>
        <w:spacing w:after="0" w:line="111"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The facility was repayable in six equal consecutive quarterly instalments of $8,000, eight equal consecutive quarterly instalments of $5,400 and six equal consecutive quarterly instalments of $2,200 with a final balloon payment of $35,600 payable together with the final instalment. On March 23, 2023, due to the sale of GSL Amstel, the Company repaid $2,838 on this facility of which $1,000 was deducted from the final balloon payment, and the vessel was released as collateral.</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facility’s interest rate was SOFR plus a margin of 3.25% per annum plus a CAS payable quarterly in arrears.</w:t>
      </w:r>
    </w:p>
    <w:p>
      <w:pPr>
        <w:spacing w:after="0" w:line="1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Company used the net proceeds from the UBS Credit Facility (see Note 12a) to prepay in full, the following existing debt facilities (i) Macquarie Credit Facility, (ii) E.SUN, MICB, Cathay, Taishin Credit Facility, and (iii) HCOB, CACIB, ESUN, CTBC, Taishin Credit Facility.</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Facilities repaid in 2024</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 $12,000 Sinopac Capital International Credit Facility</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August 27, 2021, the Company, through certain of its vessel-owning subsidiaries, entered into a secured credit facility for an amount of $12,000 with Sinopac Capital International (HK) Limited (“Sinopac Credit Facility”), which was partially used to fully refinance certain of the Company’s then-outstanding indebtedness. The full amount was drawn down in September 2021 and the credit facility had a maturity in September 2026.</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was repayable in 20 equal consecutive quarterly instalments of $420 with a final balloon of $3,600 payable together with the final instalment.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3.25% per annum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September 11, 2024, the Company used a portion of the net proceeds from the 2024 Senior Secured Term Loan Facility entered on August 7, 2024, and fully prepaid the amount of $6,960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 $51,670 Deutsche Bank AG Credit Facility</w:t>
      </w:r>
    </w:p>
    <w:p>
      <w:pPr>
        <w:spacing w:after="0" w:line="154"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May 6, 2021, the Company, through certain of its vessel-owning subsidiaries, entered into a secured facility for an amount of $51,670 with Deutsche Bank AG (the “Deutsche Bank Credit Facility”), for which the net proceeds were used to refinance certain of the Company’s then-outstanding indebtedness.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was repayable in 20 equal consecutive quarterly instalments of $1,162.45 with a final balloon of $28,421 payable together with the final instalment.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3.25% per annum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August 12, 2024, the Company used a portion of the net proceeds from the 2024 Senior Secured Term Loan Facility entered on August 7, 2024, to fully prepay the amount of $36,558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33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2" w:name="page133"/>
    <w:bookmarkEnd w:id="132"/>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71" w:lineRule="exact"/>
        <w:rPr>
          <w:sz w:val="20"/>
          <w:szCs w:val="20"/>
          <w:color w:val="auto"/>
        </w:rPr>
      </w:pPr>
    </w:p>
    <w:p>
      <w:pPr>
        <w:ind w:left="188" w:hanging="188"/>
        <w:spacing w:after="0"/>
        <w:tabs>
          <w:tab w:leader="none" w:pos="188" w:val="left"/>
        </w:tabs>
        <w:numPr>
          <w:ilvl w:val="0"/>
          <w:numId w:val="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Long-Term Debt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Facilities repaid in 2024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 $64,200 Hamburg Commercial Bank AG Credit Facility</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On April 15, 2021, the Company, through certain of its vessel-owning subsidiaries, entered into a Senior Secured term loan facility with HCOB “the HCOB Credit Facility” for an amount of up to $64,200 in order to finance the acquisition of six out of the Seven Vessels.</w:t>
      </w:r>
    </w:p>
    <w:p>
      <w:pPr>
        <w:spacing w:after="0" w:line="111"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Tranche A, E and F amounting to $32,100 were drawn down in April 2021 and had a maturity date in April 2025, Tranche B and D amounting to $21,400 were drawn down in May 2021 and had a maturity date in May 2025, and Tranche C amounting to $10,700 was drawn down in July 2021 and had a maturity date in July 2025.</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Each Tranche of the facility was repayable in 16 equal consecutive quarterly instalments of $668.75.</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3.50% per annum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September 5, 2024, the Company used a portion of the net proceeds from the 2024 Senior Secured Term Loan Facility entered on August 7, 2024, to fully prepay the amount of $12,706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j) $51,700 CACIB, Bank Sinopac, CTBC Credit Facility</w:t>
      </w:r>
    </w:p>
    <w:p>
      <w:pPr>
        <w:spacing w:after="0" w:line="154" w:lineRule="exact"/>
        <w:rPr>
          <w:sz w:val="20"/>
          <w:szCs w:val="20"/>
          <w:color w:val="auto"/>
        </w:rPr>
      </w:pP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On April 13, 2021, the Company, through certain of its vessel-owning subsidiaries, entered into a secured facility for an amount of $51,700, for which the net proceeds were used to refinance certain of the Company’s then-outstanding indebtedness.</w:t>
      </w:r>
    </w:p>
    <w:p>
      <w:pPr>
        <w:spacing w:after="0" w:line="111"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lenders were CACIB, Bank Sinopac Co. Ltd. (“Bank Sinopac”) and CTBC. The facility was repayable in 20 equal consecutive quarterly instalments of $1,275 with a final balloon of $26,200 payable together with the final instalment.</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2.75% per annum plus a CAS payable quarterly in arrears.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August 9, 2024, the Company used a portion of the net proceeds from the 2024 Senior Secured Term Loan Facility entered on August 7, 2024, to fully prepay the amount of $35,125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k) $9,000 Chailease Credit Facility</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On February 26, 2020, the Company, through certain of its vessel-owning subsidiaries, entered into a secured term facility agreement with Chailease International Financial Services Pte., Ltd. for an amount of $9,000. The Chailease Credit Facility was used to refinance certain of the Company’s then-outstanding indebtedness.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facility was repayable in 36 consecutive monthly instalments of $156 and 24 monthly instalments of $86 with a final balloon of $1,314 payable together with the final instalment.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This facility bore interest at SOFR plus a margin of 4.20% per annum.</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September 12, 2024, the Company used a portion of the net proceeds from the 2024 Senior Secured Term Loan Facility entered on August 7, 2024, to fully prepay the amount of $1,831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33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3" w:name="page134"/>
    <w:bookmarkEnd w:id="133"/>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71" w:lineRule="exact"/>
        <w:rPr>
          <w:sz w:val="20"/>
          <w:szCs w:val="20"/>
          <w:color w:val="auto"/>
        </w:rPr>
      </w:pPr>
    </w:p>
    <w:p>
      <w:pPr>
        <w:ind w:left="188" w:hanging="188"/>
        <w:spacing w:after="0"/>
        <w:tabs>
          <w:tab w:leader="none" w:pos="188" w:val="left"/>
        </w:tabs>
        <w:numPr>
          <w:ilvl w:val="0"/>
          <w:numId w:val="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Long-Term Debt (continued)</w:t>
      </w:r>
    </w:p>
    <w:p>
      <w:pPr>
        <w:spacing w:after="0" w:line="132"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Facilities repaid in 2024 (continued)</w:t>
      </w:r>
    </w:p>
    <w:p>
      <w:pPr>
        <w:spacing w:after="0" w:line="123"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 $268,000 Syndicated Senior Secured Credit Facility (CACIB, ABN, First-Citizens &amp; Trust Company, Siemens, CTBC, Bank Sinopac, Palatine)</w:t>
      </w:r>
    </w:p>
    <w:p>
      <w:pPr>
        <w:spacing w:after="0" w:line="15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September 19, 2019, the Company, through certain of its vessel-owning subsidiaries, entered into a syndicated senior secured credit facility (the “Syndicated Senior Secured Credit Facility”) in order to refinance existing credit facilities that had a maturity date in December 2020, of an outstanding amount of $224,310.</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Senior Syndicated Secured Credit Facility was agreed to be borrowed in two tranches. The Lenders were CACIB, ABN, First-Citizens &amp; Trust Company, Siemens Financial Services Inc (“Siemens”), CTBC, Bank Sinopac and Banque Palatine (“Palatine”).</w:t>
      </w:r>
    </w:p>
    <w:p>
      <w:pPr>
        <w:spacing w:after="0" w:line="111"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Tranche A amounting to $230,000 was drawn down in full on September 24, 2019, and was scheduled to be repaid in 20 consecutive quarterly instalments of $5,200 starting from December 12, 2019, and a balloon payment of $126,000 payable on September 24, 2024.</w:t>
      </w:r>
    </w:p>
    <w:p>
      <w:pPr>
        <w:spacing w:after="0" w:line="11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Tranche B, amounting to $38,000 was drawn down in full on February 10, 2020, and was scheduled to be repaid in 20 consecutive quarterly instalments of $1,000 and a balloon payment of $18,000 payable on the termination date on the fifth anniversary from the utilization date of Tranche A, which falls in September 24, 2024. In January 2022, the Company agreed to a new senior secured debt facility to refinance its outstanding Syndicated Senior Secured Credit Facility, which extended the maturity date from September 2024 to December 2026, amended certain covenants in the Company’s favor at an unchanged rate of LIBOR + 3.00%. On July 1, 2022, the interest rate was SOFR plus a margin of 3.00% plus a CAS and was payable at each quarter end date.</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On August 9, 2024, the Company used a portion of the net proceeds from the 2024 Senior Secured Term Loan Facility entered on August 7, 2024, to fully prepay the amount of $133,200 under this facility.</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this facility was $nil.</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 $178,000 Sale and Leaseback Agreements – Minsheng Financial Leasing</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On December 23, 2024, the Company, through certain of its subsidiaries, entered into two sale and leaseback agreements with Minsheng Financial Leasing (“Minsheng Sale and Leaseback Agreements”) for $44,500, each, to finance the acquisition of two of the newly acquired high-reefer ECO 9,019 TEU vessels, Bremerhaven Express, having closed in December 2024 and the other, Czech, in January 2025. As of December 31, 2024, the Company had drawdown a total of $44,500 to finance the acquisition of Bremerhaven Express. During the first quarter of 2025, the Company entered into two additional sale and leaseback agreements, $44,500 each, to finance the acquisition of the two high-reefer ECO 9,019 TEU Vessels which were delivered in December 2024, Istanbul Express and Sydney Express, both at that moment fully paid in cash. As at March 31, 2025, the Company had drawdown a total of $178,000. The Company has a purchase obligation to acquire the vessels at the end of their lease term and under ASC 842-40, the transaction has been accounted for as a failed sale. In accordance with ASC 842-40, the Company did not derecognize the respective vessels from its balance sheet and accounted for the amounts received under the sale and leaseback agreements as financial liability.</w:t>
      </w:r>
    </w:p>
    <w:p>
      <w:pPr>
        <w:spacing w:after="0" w:line="1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sale and leaseback agreements are repayable in 40 equal consecutive quarterly instalments of $862.5 with a repurchase obligation of $10,000 on the final repayment date.</w:t>
      </w:r>
    </w:p>
    <w:p>
      <w:pPr>
        <w:spacing w:after="0" w:line="150"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sale and leaseback agreement for Bremerhaven Express matures in December 2034, Istanbul Express, Sydney Express and Czech mature in January 2035, and bear interest at SOFR plus a margin of 2.5% per annum payable quarterly in arrears.</w:t>
      </w:r>
    </w:p>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outstanding balance of these sale and leaseback agreements was $166,788.</w:t>
      </w:r>
    </w:p>
    <w:p>
      <w:pPr>
        <w:spacing w:after="0" w:line="33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 $120,000 Sale and Leaseback Agreements – CMBFL Four Vessels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August 26, 2021, the Company, through certain of its subsidiaries, entered into four $30,000 sale and leaseback agreements with CMB Financial Leasing Co. Ltd. (“CMBFL”) to finance the acquisition of the Four Vessels (the “CMBFL Sale and Leaseback Agreement”). As at September 30, 2021, the Company had drawdown a total of $90,000. The drawdown for the fourth vessel, amounting to $30,000, took place on October 13, 2021, together with the delivery of this vessel. The Company has a purchase obligation to acquire the Four Vessels at the end of their lease terms and under ASC 842-40, the transaction has been accounted for as a failed sale. In accordance with ASC 842-40, the Company did not derecognize the respective vessels from its balance sheet and accounted for the amounts received under the sale and leaseback agreement as financial liabilities.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Each sale and leaseback agreement is repayable in 12 equal consecutive quarterly instalments of $1,587.5 and 12 equal consecutive quarterly instalments of $329.2 with a repurchase obligation of $7,000 on the final repayment date.</w:t>
      </w:r>
    </w:p>
    <w:p>
      <w:pPr>
        <w:spacing w:after="0" w:line="150"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sale and leaseback agreements for the three vessels mature in September 2027 and for the fourth vessel in October 2027 and bear interest at SOFR plus a margin of 3.25% per annum plus a CAS payable quarterly in arrears. From November 20, 2024, as per supplemental agreement, the sale and leaseback agreements bear interest at SOFR plus a margin of 2.75% per annum.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outstanding balance of these sale and leaseback agreements was $37,546.</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 repaid in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 $54,000 Sale and Leaseback Agreement – CMBFL</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May 20, 2021, the Company, through one of its subsidiaries, entered into a $54,000 sale and leaseback agreement with CMBFL (the “$54,000 CMBFL Sale and Leaseback”), for which the net proceeds were used to refinance certain of the Company’s then-outstanding indebtedness</w:t>
      </w:r>
      <w:r>
        <w:rPr>
          <w:rFonts w:ascii="Times New Roman" w:cs="Times New Roman" w:eastAsia="Times New Roman" w:hAnsi="Times New Roman"/>
          <w:sz w:val="10"/>
          <w:szCs w:val="10"/>
          <w:color w:val="auto"/>
        </w:rPr>
        <w:t>.</w:t>
      </w:r>
      <w:r>
        <w:rPr>
          <w:rFonts w:ascii="Times New Roman" w:cs="Times New Roman" w:eastAsia="Times New Roman" w:hAnsi="Times New Roman"/>
          <w:sz w:val="12"/>
          <w:szCs w:val="12"/>
          <w:color w:val="auto"/>
        </w:rPr>
        <w:t xml:space="preserve"> The Company had a purchase obligation to acquire the vessel at the end of the lease term and under ASC 842-40, the transaction had been accounted for as a failed sale. In accordance with ASC 842-40, the Company did not derecognize the respective vessel from its balance sheet and accounted for the amount received under the sale and leaseback agreement as a financial liability.</w:t>
      </w:r>
    </w:p>
    <w:p>
      <w:pPr>
        <w:spacing w:after="0" w:line="11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 sale and leaseback agreement was repayable in eight equal consecutive quarterly instalments of $2,025 each and 20 equal consecutive quarterly instalments of $891 with a repurchase obligation of $19,980 on the final repayment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matured in May 2028 and bore interest at SOFR plus a margin of 3.25% per annum plus a CAS payable quarterly in arrears.</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May 2021, on the actual delivery date of the vessel, the Company drew $54,000, which represented vessel purchase price $75,000 less advanced hire of $21,000, which advanced hire neither bore any interest nor was refundable and was set off against payment of the purchase price payable to the Company by the unrelated third party under this agreement.</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August 27, 2024, the Company used a portion of the net proceeds from the 2024 Senior Secured Term Loan Facility entered on August 7, 2024, to fully prepay the amount of $33,345 under this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outstanding balance of this sale and leaseback agreement was $nil.</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Long-Term Debt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Sale and leaseback agreements (finance leases) repaid in 2024 (continued)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 $14,700 Sale and Leaseback Agreement - Neptune Maritime Leasing</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May 12, 2021, the Company, through one of its subsidiaries, entered into a $14,735 sale and leaseback agreement with Neptune Maritime Leasing (the “Neptune Sale and Leaseback Agreement”) to finance the acquisition of GSL Violetta delivered in April 2021. The Company had a purchase obligation to acquire the vessel at the end of the lease term and under ASC 842-40, the transaction had been accounted for as a failed sale. In accordance with ASC 842-40, the Company did not derecognize the respective vessel from its balance sheet and accounted for the amount received under the sale and leaseback agreement as a financial liability. In May 2021, the Company drew $14,735 under this agreement.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The sale and leaseback agreement was repayable in 15 equal consecutive quarterly instalments of $793.87 each and four equal consecutive quarterly instalments of $469.12 with a repurchase obligation of $950 on the last repayment date.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sale and leaseback agreement matured in February 2026 and bore interest at SOFR plus a margin of 4.64% per annum payable quarterly in arrears.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September 12, 2024, the Company used a portion of the net proceeds from the 2024 Senior Secured Term Loan Facility entered on August 7, 2024, to fully prepay the amount of $4,414 under this facility.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 outstanding balance of this sale and leaseback agreement was $nil.</w:t>
      </w:r>
    </w:p>
    <w:p>
      <w:pPr>
        <w:sectPr>
          <w:pgSz w:w="11900" w:h="16838" w:orient="portrait"/>
          <w:cols w:equalWidth="0" w:num="1">
            <w:col w:w="11300"/>
          </w:cols>
          <w:pgMar w:left="300" w:top="201" w:right="299" w:bottom="1440" w:gutter="0" w:footer="0" w:header="0"/>
        </w:sectPr>
      </w:pP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q) Repayment Schedule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Maturities of long-term debt for the years subsequent to December 31, 2025, are as follows:</w:t>
      </w:r>
    </w:p>
    <w:p>
      <w:pPr>
        <w:spacing w:after="0" w:line="2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b w:val="1"/>
          <w:bCs w:val="1"/>
          <w:color w:val="auto"/>
        </w:rPr>
        <w:t>Payment due by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13335</wp:posOffset>
            </wp:positionV>
            <wp:extent cx="7178040" cy="971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6">
                      <a:extLst>
                        <a:ext uri="{28A0092B-C50C-407E-A947-70E740481C1C}"/>
                      </a:extLst>
                    </a:blip>
                    <a:srcRect/>
                    <a:stretch>
                      <a:fillRect/>
                    </a:stretch>
                  </pic:blipFill>
                  <pic:spPr bwMode="auto">
                    <a:xfrm>
                      <a:off x="0" y="0"/>
                      <a:ext cx="7178040" cy="97155"/>
                    </a:xfrm>
                    <a:prstGeom prst="rect">
                      <a:avLst/>
                    </a:prstGeom>
                    <a:noFill/>
                  </pic:spPr>
                </pic:pic>
              </a:graphicData>
            </a:graphic>
          </wp:anchor>
        </w:drawing>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December 31, 2026</w:t>
      </w:r>
    </w:p>
    <w:p>
      <w:pPr>
        <w:spacing w:after="0" w:line="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December 31,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7">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December 31, 2028</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December 31,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914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8">
                      <a:extLst>
                        <a:ext uri="{28A0092B-C50C-407E-A947-70E740481C1C}"/>
                      </a:extLst>
                    </a:blip>
                    <a:srcRect/>
                    <a:stretch>
                      <a:fillRect/>
                    </a:stretch>
                  </pic:blipFill>
                  <pic:spPr bwMode="auto">
                    <a:xfrm>
                      <a:off x="0" y="0"/>
                      <a:ext cx="7178040" cy="9144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2"/>
          <w:szCs w:val="12"/>
          <w:color w:val="auto"/>
        </w:rPr>
        <w:t>December 31, 2030</w:t>
      </w:r>
    </w:p>
    <w:p>
      <w:pPr>
        <w:spacing w:after="0" w:line="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2"/>
          <w:szCs w:val="12"/>
          <w:color w:val="auto"/>
        </w:rPr>
        <w:t>December 31, 2031 and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78040" cy="10287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9">
                      <a:extLst>
                        <a:ext uri="{28A0092B-C50C-407E-A947-70E740481C1C}"/>
                      </a:extLst>
                    </a:blip>
                    <a:srcRect/>
                    <a:stretch>
                      <a:fillRect/>
                    </a:stretch>
                  </pic:blipFill>
                  <pic:spPr bwMode="auto">
                    <a:xfrm>
                      <a:off x="0" y="0"/>
                      <a:ext cx="717804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2"/>
          <w:szCs w:val="12"/>
          <w:b w:val="1"/>
          <w:bCs w:val="1"/>
          <w:color w:val="auto"/>
        </w:rPr>
        <w:t>Amount</w:t>
      </w:r>
    </w:p>
    <w:p>
      <w:pPr>
        <w:spacing w:after="0" w:line="21" w:lineRule="exact"/>
        <w:rPr>
          <w:sz w:val="20"/>
          <w:szCs w:val="20"/>
          <w:color w:val="auto"/>
        </w:rPr>
      </w:pPr>
    </w:p>
    <w:p>
      <w:pPr>
        <w:ind w:left="829" w:hanging="829"/>
        <w:spacing w:after="0"/>
        <w:tabs>
          <w:tab w:leader="none" w:pos="829"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147,567</w:t>
      </w:r>
    </w:p>
    <w:p>
      <w:pPr>
        <w:spacing w:after="0" w:line="15" w:lineRule="exact"/>
        <w:rPr>
          <w:rFonts w:ascii="Times New Roman" w:cs="Times New Roman" w:eastAsia="Times New Roman" w:hAnsi="Times New Roman"/>
          <w:sz w:val="12"/>
          <w:szCs w:val="12"/>
          <w:color w:val="auto"/>
        </w:rPr>
      </w:pPr>
    </w:p>
    <w:p>
      <w:pPr>
        <w:ind w:left="82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246,954</w:t>
      </w:r>
    </w:p>
    <w:p>
      <w:pPr>
        <w:spacing w:after="0" w:line="6" w:lineRule="exact"/>
        <w:rPr>
          <w:rFonts w:ascii="Times New Roman" w:cs="Times New Roman" w:eastAsia="Times New Roman" w:hAnsi="Times New Roman"/>
          <w:sz w:val="12"/>
          <w:szCs w:val="12"/>
          <w:color w:val="auto"/>
        </w:rPr>
      </w:pPr>
    </w:p>
    <w:p>
      <w:pPr>
        <w:ind w:left="8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66,800</w:t>
      </w:r>
    </w:p>
    <w:p>
      <w:pPr>
        <w:spacing w:after="0" w:line="6" w:lineRule="exact"/>
        <w:rPr>
          <w:rFonts w:ascii="Times New Roman" w:cs="Times New Roman" w:eastAsia="Times New Roman" w:hAnsi="Times New Roman"/>
          <w:sz w:val="12"/>
          <w:szCs w:val="12"/>
          <w:color w:val="auto"/>
        </w:rPr>
      </w:pPr>
    </w:p>
    <w:p>
      <w:pPr>
        <w:ind w:left="8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43,800</w:t>
      </w:r>
    </w:p>
    <w:p>
      <w:pPr>
        <w:spacing w:after="0" w:line="6" w:lineRule="exact"/>
        <w:rPr>
          <w:rFonts w:ascii="Times New Roman" w:cs="Times New Roman" w:eastAsia="Times New Roman" w:hAnsi="Times New Roman"/>
          <w:sz w:val="12"/>
          <w:szCs w:val="12"/>
          <w:color w:val="auto"/>
        </w:rPr>
      </w:pPr>
    </w:p>
    <w:p>
      <w:pPr>
        <w:ind w:left="8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91,800</w:t>
      </w:r>
    </w:p>
    <w:p>
      <w:pPr>
        <w:spacing w:after="0" w:line="6" w:lineRule="exact"/>
        <w:rPr>
          <w:rFonts w:ascii="Times New Roman" w:cs="Times New Roman" w:eastAsia="Times New Roman" w:hAnsi="Times New Roman"/>
          <w:sz w:val="12"/>
          <w:szCs w:val="12"/>
          <w:color w:val="auto"/>
        </w:rPr>
      </w:pPr>
    </w:p>
    <w:p>
      <w:pPr>
        <w:ind w:left="889"/>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97,788</w:t>
      </w:r>
    </w:p>
    <w:p>
      <w:pPr>
        <w:spacing w:after="0" w:line="6" w:lineRule="exact"/>
        <w:rPr>
          <w:sz w:val="20"/>
          <w:szCs w:val="20"/>
          <w:color w:val="auto"/>
        </w:rPr>
      </w:pPr>
    </w:p>
    <w:p>
      <w:pPr>
        <w:ind w:left="829" w:hanging="829"/>
        <w:spacing w:after="0"/>
        <w:tabs>
          <w:tab w:leader="none" w:pos="829" w:val="left"/>
        </w:tabs>
        <w:numPr>
          <w:ilvl w:val="0"/>
          <w:numId w:val="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694,709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20955</wp:posOffset>
            </wp:positionV>
            <wp:extent cx="85725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0">
                      <a:extLst>
                        <a:ext uri="{28A0092B-C50C-407E-A947-70E740481C1C}"/>
                      </a:extLst>
                    </a:blip>
                    <a:srcRect/>
                    <a:stretch>
                      <a:fillRect/>
                    </a:stretch>
                  </pic:blipFill>
                  <pic:spPr bwMode="auto">
                    <a:xfrm>
                      <a:off x="0" y="0"/>
                      <a:ext cx="857250" cy="57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291" w:space="720"/>
            <w:col w:w="1289"/>
          </w:cols>
          <w:pgMar w:left="300" w:top="201" w:right="299" w:bottom="1440" w:gutter="0" w:footer="0" w:header="0"/>
          <w:type w:val="continuous"/>
        </w:sectPr>
      </w:pP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5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 Deferred Financing Costs</w:t>
            </w: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354"/>
        </w:trPr>
        <w:tc>
          <w:tcPr>
            <w:tcW w:w="8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850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r>
      <w:tr>
        <w:trPr>
          <w:trHeight w:val="133"/>
        </w:trPr>
        <w:tc>
          <w:tcPr>
            <w:tcW w:w="8500" w:type="dxa"/>
            <w:vAlign w:val="bottom"/>
            <w:shd w:val="clear" w:color="auto" w:fill="CCECFF"/>
          </w:tcPr>
          <w:p>
            <w:pPr>
              <w:ind w:left="60"/>
              <w:spacing w:after="0" w:line="133" w:lineRule="exact"/>
              <w:rPr>
                <w:sz w:val="20"/>
                <w:szCs w:val="20"/>
                <w:color w:val="auto"/>
              </w:rPr>
            </w:pPr>
            <w:r>
              <w:rPr>
                <w:rFonts w:ascii="Times New Roman" w:cs="Times New Roman" w:eastAsia="Times New Roman" w:hAnsi="Times New Roman"/>
                <w:sz w:val="12"/>
                <w:szCs w:val="12"/>
                <w:color w:val="auto"/>
              </w:rPr>
              <w:t>Opening balance</w:t>
            </w:r>
          </w:p>
        </w:tc>
        <w:tc>
          <w:tcPr>
            <w:tcW w:w="34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7,042</w:t>
            </w:r>
          </w:p>
        </w:tc>
        <w:tc>
          <w:tcPr>
            <w:tcW w:w="160" w:type="dxa"/>
            <w:vAlign w:val="bottom"/>
            <w:shd w:val="clear" w:color="auto" w:fill="CCECFF"/>
          </w:tcPr>
          <w:p>
            <w:pPr>
              <w:spacing w:after="0"/>
              <w:rPr>
                <w:sz w:val="11"/>
                <w:szCs w:val="11"/>
                <w:color w:val="auto"/>
              </w:rPr>
            </w:pPr>
          </w:p>
        </w:tc>
        <w:tc>
          <w:tcPr>
            <w:tcW w:w="340" w:type="dxa"/>
            <w:vAlign w:val="bottom"/>
            <w:shd w:val="clear" w:color="auto" w:fill="CCECFF"/>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shd w:val="clear" w:color="auto" w:fill="CCECFF"/>
          </w:tcPr>
          <w:p>
            <w:pPr>
              <w:jc w:val="right"/>
              <w:spacing w:after="0" w:line="133" w:lineRule="exact"/>
              <w:rPr>
                <w:sz w:val="20"/>
                <w:szCs w:val="20"/>
                <w:color w:val="auto"/>
              </w:rPr>
            </w:pPr>
            <w:r>
              <w:rPr>
                <w:rFonts w:ascii="Times New Roman" w:cs="Times New Roman" w:eastAsia="Times New Roman" w:hAnsi="Times New Roman"/>
                <w:sz w:val="12"/>
                <w:szCs w:val="12"/>
                <w:color w:val="auto"/>
              </w:rPr>
              <w:t>10,750</w:t>
            </w:r>
          </w:p>
        </w:tc>
      </w:tr>
      <w:tr>
        <w:trPr>
          <w:trHeight w:val="144"/>
        </w:trPr>
        <w:tc>
          <w:tcPr>
            <w:tcW w:w="85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Expenditure in the period</w:t>
            </w: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2,185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3,120</w:t>
            </w:r>
          </w:p>
        </w:tc>
      </w:tr>
      <w:tr>
        <w:trPr>
          <w:trHeight w:val="144"/>
        </w:trPr>
        <w:tc>
          <w:tcPr>
            <w:tcW w:w="850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2"/>
                <w:szCs w:val="12"/>
                <w:color w:val="auto"/>
              </w:rPr>
              <w:t>Amortization included within interest expense</w:t>
            </w:r>
          </w:p>
        </w:tc>
        <w:tc>
          <w:tcPr>
            <w:tcW w:w="34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(3,660)</w:t>
            </w:r>
          </w:p>
        </w:tc>
        <w:tc>
          <w:tcPr>
            <w:tcW w:w="160" w:type="dxa"/>
            <w:vAlign w:val="bottom"/>
            <w:shd w:val="clear" w:color="auto" w:fill="CCECFF"/>
          </w:tcPr>
          <w:p>
            <w:pPr>
              <w:spacing w:after="0"/>
              <w:rPr>
                <w:sz w:val="12"/>
                <w:szCs w:val="12"/>
                <w:color w:val="auto"/>
              </w:rPr>
            </w:pPr>
          </w:p>
        </w:tc>
        <w:tc>
          <w:tcPr>
            <w:tcW w:w="340" w:type="dxa"/>
            <w:vAlign w:val="bottom"/>
            <w:tcBorders>
              <w:bottom w:val="single" w:sz="8" w:color="auto"/>
            </w:tcBorders>
            <w:shd w:val="clear" w:color="auto" w:fill="CCECFF"/>
          </w:tcPr>
          <w:p>
            <w:pPr>
              <w:spacing w:after="0"/>
              <w:rPr>
                <w:sz w:val="12"/>
                <w:szCs w:val="12"/>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2"/>
                <w:szCs w:val="12"/>
                <w:color w:val="auto"/>
              </w:rPr>
              <w:t>(6,828)</w:t>
            </w:r>
          </w:p>
        </w:tc>
      </w:tr>
      <w:tr>
        <w:trPr>
          <w:trHeight w:val="140"/>
        </w:trPr>
        <w:tc>
          <w:tcPr>
            <w:tcW w:w="850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Closing balance</w:t>
            </w:r>
          </w:p>
        </w:tc>
        <w:tc>
          <w:tcPr>
            <w:tcW w:w="34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5,567</w:t>
            </w:r>
          </w:p>
        </w:tc>
        <w:tc>
          <w:tcPr>
            <w:tcW w:w="160" w:type="dxa"/>
            <w:vAlign w:val="bottom"/>
          </w:tcPr>
          <w:p>
            <w:pPr>
              <w:spacing w:after="0"/>
              <w:rPr>
                <w:sz w:val="12"/>
                <w:szCs w:val="12"/>
                <w:color w:val="auto"/>
              </w:rPr>
            </w:pPr>
          </w:p>
        </w:tc>
        <w:tc>
          <w:tcPr>
            <w:tcW w:w="340" w:type="dxa"/>
            <w:vAlign w:val="bottom"/>
            <w:tcBorders>
              <w:bottom w:val="single" w:sz="8" w:color="auto"/>
            </w:tcBorders>
          </w:tcPr>
          <w:p>
            <w:pPr>
              <w:jc w:val="right"/>
              <w:ind w:right="14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7,042</w:t>
            </w:r>
          </w:p>
        </w:tc>
      </w:tr>
    </w:tbl>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2025, total costs amounting to $1,335 were incurred in connection with the Minsheng Sale and Leaseback Agreements (see Note 12m) and $850 in connection with the UBS Credit Facility (see Note 12a).</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During 2024, total costs amounting to $2,625 were incurred in connection with 2024 Senior Secured Term Loan Facility (CACIB, ABN, BofA, First Citizens, CTBC) (see note 12b) and $495 in connection with the Minsheng Sale and Leaseback Agreements (see Note 12m).</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2023, total costs amounting to $1,140 were incurred in connection with the Macquarie Credit Facility (see note 12d).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the years ending December 31, 2025, 2024 and 2023, the Company recognized a total of $3,660, $6,828, and $5,526, respectively, in respect of amortization of deferred financing costs.</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type w:val="continuous"/>
        </w:sectPr>
      </w:pPr>
    </w:p>
    <w:bookmarkStart w:id="136" w:name="page137"/>
    <w:bookmarkEnd w:id="136"/>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80" w:lineRule="exact"/>
        <w:rPr>
          <w:sz w:val="20"/>
          <w:szCs w:val="20"/>
          <w:color w:val="auto"/>
        </w:rPr>
      </w:pPr>
    </w:p>
    <w:p>
      <w:pPr>
        <w:ind w:left="8" w:right="9660" w:hanging="8"/>
        <w:spacing w:after="0" w:line="533" w:lineRule="auto"/>
        <w:tabs>
          <w:tab w:leader="none" w:pos="188" w:val="left"/>
        </w:tabs>
        <w:numPr>
          <w:ilvl w:val="0"/>
          <w:numId w:val="65"/>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Long-Term Debt (continued) s) Debt covenants-securities</w:t>
      </w:r>
    </w:p>
    <w:p>
      <w:pPr>
        <w:jc w:val="both"/>
        <w:ind w:left="8"/>
        <w:spacing w:after="0" w:line="257" w:lineRule="auto"/>
        <w:rPr>
          <w:sz w:val="20"/>
          <w:szCs w:val="20"/>
          <w:color w:val="auto"/>
        </w:rPr>
      </w:pPr>
      <w:r>
        <w:rPr>
          <w:rFonts w:ascii="Times New Roman" w:cs="Times New Roman" w:eastAsia="Times New Roman" w:hAnsi="Times New Roman"/>
          <w:sz w:val="12"/>
          <w:szCs w:val="12"/>
          <w:color w:val="auto"/>
        </w:rPr>
        <w:t>Amounts drawn under the facilities listed above are secured by first priority mortgages on certain of the Company’s vessels and other collateral. The credit facilities contain a number of restrictive covenants that limit the Company from, among other things: incurring or guaranteeing indebtedness; charging, pledging or encumbering the vessels; and changing the flag, class, management or ownership of the vessel owning entities. The credit facilities also require the vessels to comply with the ISM Code and ISPS Code and to maintain valid safety management certificates and documents of compliance at all times. Additionally, specific credit facilities require compliance with a number of financial covenants including asset cover ratios and minimum liquidity and corporate guarantor requirements. Among other events, it will be an event of default under the credit facilities if the financial covenants are not complied with or remedied.</w:t>
      </w:r>
    </w:p>
    <w:p>
      <w:pPr>
        <w:spacing w:after="0" w:line="125"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As of December 31, 2025, and December 31, 2024, the Company was in compliance with its debt covenants.</w:t>
            </w: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7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13. Time charter revenue</w:t>
            </w: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7600" w:type="dxa"/>
            <w:vAlign w:val="bottom"/>
          </w:tcPr>
          <w:p>
            <w:pPr>
              <w:spacing w:after="0"/>
              <w:rPr>
                <w:sz w:val="20"/>
                <w:szCs w:val="20"/>
                <w:color w:val="auto"/>
              </w:rPr>
            </w:pPr>
            <w:r>
              <w:rPr>
                <w:rFonts w:ascii="Times New Roman" w:cs="Times New Roman" w:eastAsia="Times New Roman" w:hAnsi="Times New Roman"/>
                <w:sz w:val="12"/>
                <w:szCs w:val="12"/>
                <w:color w:val="auto"/>
              </w:rPr>
              <w:t>Operating revenue from significant customers (constituting more than 10% of total time charter revenue) was as follows:</w:t>
            </w: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7600" w:type="dxa"/>
            <w:vAlign w:val="bottom"/>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w:t>
            </w:r>
          </w:p>
        </w:tc>
        <w:tc>
          <w:tcPr>
            <w:tcW w:w="11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Year Ended December 31,</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7600" w:type="dxa"/>
            <w:vAlign w:val="bottom"/>
            <w:vMerge w:val="continue"/>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2025</w:t>
            </w:r>
          </w:p>
        </w:tc>
        <w:tc>
          <w:tcPr>
            <w:tcW w:w="1280" w:type="dxa"/>
            <w:vAlign w:val="bottom"/>
            <w:gridSpan w:val="2"/>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2024</w:t>
            </w:r>
          </w:p>
        </w:tc>
        <w:tc>
          <w:tcPr>
            <w:tcW w:w="18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2023</w:t>
            </w:r>
          </w:p>
        </w:tc>
        <w:tc>
          <w:tcPr>
            <w:tcW w:w="0" w:type="dxa"/>
            <w:vAlign w:val="bottom"/>
          </w:tcPr>
          <w:p>
            <w:pPr>
              <w:spacing w:after="0"/>
              <w:rPr>
                <w:sz w:val="1"/>
                <w:szCs w:val="1"/>
                <w:color w:val="auto"/>
              </w:rPr>
            </w:pPr>
          </w:p>
        </w:tc>
      </w:tr>
      <w:tr>
        <w:trPr>
          <w:trHeight w:val="133"/>
        </w:trPr>
        <w:tc>
          <w:tcPr>
            <w:tcW w:w="760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MAERSK</w:t>
            </w: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30.26%</w:t>
            </w:r>
          </w:p>
        </w:tc>
        <w:tc>
          <w:tcPr>
            <w:tcW w:w="1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33.63%</w:t>
            </w:r>
          </w:p>
        </w:tc>
        <w:tc>
          <w:tcPr>
            <w:tcW w:w="18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30.82%</w:t>
            </w:r>
          </w:p>
        </w:tc>
        <w:tc>
          <w:tcPr>
            <w:tcW w:w="0" w:type="dxa"/>
            <w:vAlign w:val="bottom"/>
          </w:tcPr>
          <w:p>
            <w:pPr>
              <w:spacing w:after="0"/>
              <w:rPr>
                <w:sz w:val="1"/>
                <w:szCs w:val="1"/>
                <w:color w:val="auto"/>
              </w:rPr>
            </w:pPr>
          </w:p>
        </w:tc>
      </w:tr>
      <w:tr>
        <w:trPr>
          <w:trHeight w:val="144"/>
        </w:trPr>
        <w:tc>
          <w:tcPr>
            <w:tcW w:w="7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HAPAG LLOYD</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21.01%</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7.59%</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2.64%</w:t>
            </w:r>
          </w:p>
        </w:tc>
        <w:tc>
          <w:tcPr>
            <w:tcW w:w="0" w:type="dxa"/>
            <w:vAlign w:val="bottom"/>
          </w:tcPr>
          <w:p>
            <w:pPr>
              <w:spacing w:after="0"/>
              <w:rPr>
                <w:sz w:val="1"/>
                <w:szCs w:val="1"/>
                <w:color w:val="auto"/>
              </w:rPr>
            </w:pPr>
          </w:p>
        </w:tc>
      </w:tr>
      <w:tr>
        <w:trPr>
          <w:trHeight w:val="144"/>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CMA CGM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22.23%</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28.59%</w:t>
            </w:r>
          </w:p>
        </w:tc>
        <w:tc>
          <w:tcPr>
            <w:tcW w:w="0" w:type="dxa"/>
            <w:vAlign w:val="bottom"/>
          </w:tcPr>
          <w:p>
            <w:pPr>
              <w:spacing w:after="0"/>
              <w:rPr>
                <w:sz w:val="1"/>
                <w:szCs w:val="1"/>
                <w:color w:val="auto"/>
              </w:rPr>
            </w:pPr>
          </w:p>
        </w:tc>
      </w:tr>
      <w:tr>
        <w:trPr>
          <w:trHeight w:val="144"/>
        </w:trPr>
        <w:tc>
          <w:tcPr>
            <w:tcW w:w="76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MSC</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11.25%</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9.27%</w:t>
            </w: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0" w:type="dxa"/>
            <w:vAlign w:val="bottom"/>
          </w:tcPr>
          <w:p>
            <w:pPr>
              <w:spacing w:after="0"/>
              <w:rPr>
                <w:sz w:val="1"/>
                <w:szCs w:val="1"/>
                <w:color w:val="auto"/>
              </w:rPr>
            </w:pPr>
          </w:p>
        </w:tc>
      </w:tr>
      <w:tr>
        <w:trPr>
          <w:trHeight w:val="144"/>
        </w:trPr>
        <w:tc>
          <w:tcPr>
            <w:tcW w:w="7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ZIM</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11.77%</w:t>
            </w: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13.49%</w:t>
            </w:r>
          </w:p>
        </w:tc>
        <w:tc>
          <w:tcPr>
            <w:tcW w:w="0" w:type="dxa"/>
            <w:vAlign w:val="bottom"/>
          </w:tcPr>
          <w:p>
            <w:pPr>
              <w:spacing w:after="0"/>
              <w:rPr>
                <w:sz w:val="1"/>
                <w:szCs w:val="1"/>
                <w:color w:val="auto"/>
              </w:rPr>
            </w:pPr>
          </w:p>
        </w:tc>
      </w:tr>
    </w:tbl>
    <w:p>
      <w:pPr>
        <w:spacing w:after="0" w:line="246" w:lineRule="exact"/>
        <w:rPr>
          <w:sz w:val="20"/>
          <w:szCs w:val="20"/>
          <w:color w:val="auto"/>
        </w:rPr>
      </w:pPr>
    </w:p>
    <w:p>
      <w:pPr>
        <w:jc w:val="both"/>
        <w:ind w:left="8" w:right="9740" w:hanging="8"/>
        <w:spacing w:after="0" w:line="524" w:lineRule="auto"/>
        <w:tabs>
          <w:tab w:leader="none" w:pos="188" w:val="left"/>
        </w:tabs>
        <w:numPr>
          <w:ilvl w:val="0"/>
          <w:numId w:val="6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Related Party Transactions </w:t>
      </w:r>
      <w:r>
        <w:rPr>
          <w:rFonts w:ascii="Times New Roman" w:cs="Times New Roman" w:eastAsia="Times New Roman" w:hAnsi="Times New Roman"/>
          <w:sz w:val="11"/>
          <w:szCs w:val="11"/>
          <w:b w:val="1"/>
          <w:bCs w:val="1"/>
          <w:u w:val="single" w:color="auto"/>
          <w:color w:val="auto"/>
        </w:rPr>
        <w:t>Ship Management Agreements</w:t>
      </w:r>
    </w:p>
    <w:p>
      <w:pPr>
        <w:spacing w:after="0" w:line="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Technomar Shipping Inc. (“Technomar”) is presented as a related party, as the Company’s Executive Chairman is a significant shareholder. The Company has currently a number of ship management agreements with Technomar under which the ship manager is responsible for all day-to-day ship management, including crewing, purchasing stores, lubricating oils and spare parts, paying wages, pensions and insurance for the crew, and organizing other ship operating necessities, including monitoring and reporting with respect to European Union Emission Trading System (“EU ETS”) compliance, EU Allowances (“EUAs”), Fuel EU Maritime (“FEUM”) compliance, and the arrangement and management of dry-docking.</w:t>
      </w:r>
    </w:p>
    <w:p>
      <w:pPr>
        <w:spacing w:after="0" w:line="12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During 2022, Technomar provided all day-to-day technical ship management services for all but five (excluding GSL Amstel which was sold in March 23, 2023) of the Twelve Vessels. Management agreements of another third-party ship manager of these five vessels were terminated between May and July 2023. From those dates and onwards Technomar manages the five vessels. The management fees charged to the Company by third party managers for the years ended December 31, 2025, 2024 and 2023 amounted to $nil, $nil and $981, respectively, and are shown in “Vessel operating expenses” in the Consolidated Statements of Income. Technomar continued to supervise management for the five outsourced vessels up to the termination of the underlying management agreements between May and July 2023.</w:t>
      </w:r>
    </w:p>
    <w:p>
      <w:pPr>
        <w:spacing w:after="0" w:line="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7" w:name="page138"/>
    <w:bookmarkEnd w:id="137"/>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91" w:lineRule="exact"/>
        <w:rPr>
          <w:sz w:val="20"/>
          <w:szCs w:val="20"/>
          <w:color w:val="auto"/>
        </w:rPr>
      </w:pPr>
    </w:p>
    <w:p>
      <w:pPr>
        <w:jc w:val="both"/>
        <w:ind w:left="8" w:right="9120" w:hanging="8"/>
        <w:spacing w:after="0" w:line="550" w:lineRule="auto"/>
        <w:tabs>
          <w:tab w:leader="none" w:pos="188" w:val="left"/>
        </w:tabs>
        <w:numPr>
          <w:ilvl w:val="0"/>
          <w:numId w:val="6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 xml:space="preserve">Related Party Transactions (continued) </w:t>
      </w:r>
      <w:r>
        <w:rPr>
          <w:rFonts w:ascii="Times New Roman" w:cs="Times New Roman" w:eastAsia="Times New Roman" w:hAnsi="Times New Roman"/>
          <w:sz w:val="11"/>
          <w:szCs w:val="11"/>
          <w:b w:val="1"/>
          <w:bCs w:val="1"/>
          <w:u w:val="single" w:color="auto"/>
          <w:color w:val="auto"/>
        </w:rPr>
        <w:t>Ship Management Agreements</w:t>
      </w:r>
      <w:r>
        <w:rPr>
          <w:rFonts w:ascii="Times New Roman" w:cs="Times New Roman" w:eastAsia="Times New Roman" w:hAnsi="Times New Roman"/>
          <w:sz w:val="11"/>
          <w:szCs w:val="11"/>
          <w:b w:val="1"/>
          <w:bCs w:val="1"/>
          <w:color w:val="auto"/>
        </w:rPr>
        <w:t xml:space="preserve"> (continued)</w:t>
      </w: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The management fees charged to the Company by Technomar for the years ended December 31, 2025, 2024 and 2023, amounted to $23,817, $21,804 and $19,086, respectively and are shown under “Vessels operating expenses-related parties” in the Consolidated Statements of Income. Additionally, as of December 31, 2025, and 2024, outstanding receivables due from Technomar totaling $148 and $342, respectively, are presented under “Due from related parties”.</w:t>
      </w:r>
    </w:p>
    <w:p>
      <w:pPr>
        <w:spacing w:after="0" w:line="111"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Conchart Commercial Inc. (“Conchart”) provides commercial management services to the Company pursuant to commercial management agreements. The Company’s Executive Chairman is the sole beneficial owner of Conchart. Under the management agreements, Conchart is responsible for (i) marketing of the Company’s vessels, (ii) seeking and negotiating employment of the Company’s vessels, (iii) advise the Company on market developments and developments of new rules and regulations, (iv) assisting in calculation of hires, freights, demurrage and/or dispatch monies and collection any sums related to the operation of vessels, (v) communicating with agents, and (vi) negotiating sale and purchase transactions.</w:t>
      </w:r>
    </w:p>
    <w:p>
      <w:pPr>
        <w:spacing w:after="0" w:line="122"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fees charged to the Company by Conchart for the years ended December 31, 2025, 2024 and 2023, amounted to $8,689, $8,610 and $7,995, respectively, and are disclosed within “Time charter and voyage expenses-related parties” in the Consolidated Statements of Income. Any outstanding fees due to Conchart are presented in the Consolidated Balance Sheets under "Due to related parties" totaling to $692 and $723 as of December 31, 2025, and 2024, respectively.</w:t>
      </w:r>
    </w:p>
    <w:p>
      <w:pPr>
        <w:spacing w:after="0" w:line="119"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Company as per commercial management agreements has agreed to pay the commercial manager providing for the sale of all vessels and purchase of some vessels, a commission of 1.00% based on the sale or purchase price for any sale or purchase of a vessel, which shall be payable upon request of the commercial manager. The amount of $9,776, reflects commission payable to the commercial manager based on the purchase price of already acquired vessels that has been deferred and will be paid upon request of the commercial manager, is presented in the Consolidated Balance Sheets under "Accrued Liabilities", see note 11.</w:t>
      </w:r>
    </w:p>
    <w:p>
      <w:pPr>
        <w:spacing w:after="0" w:line="115" w:lineRule="exact"/>
        <w:rPr>
          <w:sz w:val="20"/>
          <w:szCs w:val="20"/>
          <w:color w:val="auto"/>
        </w:rPr>
      </w:pPr>
    </w:p>
    <w:p>
      <w:pPr>
        <w:ind w:left="8" w:right="9420" w:hanging="8"/>
        <w:spacing w:after="0" w:line="499" w:lineRule="auto"/>
        <w:tabs>
          <w:tab w:leader="none" w:pos="188" w:val="left"/>
        </w:tabs>
        <w:numPr>
          <w:ilvl w:val="0"/>
          <w:numId w:val="6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Commitments and Contingencies Charter Hire Receivable</w:t>
      </w:r>
    </w:p>
    <w:p>
      <w:pPr>
        <w:ind w:left="8" w:right="20"/>
        <w:spacing w:after="0" w:line="279" w:lineRule="auto"/>
        <w:rPr>
          <w:sz w:val="20"/>
          <w:szCs w:val="20"/>
          <w:color w:val="auto"/>
        </w:rPr>
      </w:pPr>
      <w:r>
        <w:rPr>
          <w:rFonts w:ascii="Times New Roman" w:cs="Times New Roman" w:eastAsia="Times New Roman" w:hAnsi="Times New Roman"/>
          <w:sz w:val="12"/>
          <w:szCs w:val="12"/>
          <w:color w:val="auto"/>
        </w:rPr>
        <w:t>The Company has entered time charters for its vessels. The charter hire is fixed for the duration of the charter. The minimum contracted future charter hire receivable, net of address commissions, not allowing for any unscheduled off-hire, assuming expiry at earliest possible dates and assuming options callable by the Company included in the charters are not exercised, for the 70 vessels as at December 31, 2025 is as follows:</w:t>
      </w:r>
    </w:p>
    <w:p>
      <w:pPr>
        <w:spacing w:after="0" w:line="25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260" w:type="dxa"/>
            <w:vAlign w:val="bottom"/>
            <w:tcBorders>
              <w:bottom w:val="single" w:sz="8" w:color="auto"/>
            </w:tcBorders>
          </w:tcPr>
          <w:p>
            <w:pPr>
              <w:spacing w:after="0"/>
              <w:rPr>
                <w:sz w:val="13"/>
                <w:szCs w:val="13"/>
                <w:color w:val="auto"/>
              </w:rPr>
            </w:pPr>
          </w:p>
        </w:tc>
        <w:tc>
          <w:tcPr>
            <w:tcW w:w="57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Amount</w:t>
            </w:r>
          </w:p>
        </w:tc>
      </w:tr>
      <w:tr>
        <w:trPr>
          <w:trHeight w:val="133"/>
        </w:trPr>
        <w:tc>
          <w:tcPr>
            <w:tcW w:w="426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December 31, 2026</w:t>
            </w:r>
          </w:p>
        </w:tc>
        <w:tc>
          <w:tcPr>
            <w:tcW w:w="5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20"/>
              <w:spacing w:after="0" w:line="133" w:lineRule="exact"/>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738,217</w:t>
            </w:r>
          </w:p>
        </w:tc>
      </w:tr>
      <w:tr>
        <w:trPr>
          <w:trHeight w:val="144"/>
        </w:trPr>
        <w:tc>
          <w:tcPr>
            <w:tcW w:w="4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2027</w:t>
            </w: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640,757</w:t>
            </w:r>
          </w:p>
        </w:tc>
      </w:tr>
      <w:tr>
        <w:trPr>
          <w:trHeight w:val="144"/>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2028</w:t>
            </w:r>
          </w:p>
        </w:tc>
        <w:tc>
          <w:tcPr>
            <w:tcW w:w="5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358,765</w:t>
            </w:r>
          </w:p>
        </w:tc>
      </w:tr>
      <w:tr>
        <w:trPr>
          <w:trHeight w:val="144"/>
        </w:trPr>
        <w:tc>
          <w:tcPr>
            <w:tcW w:w="42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December 31, 2029</w:t>
            </w: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177,745</w:t>
            </w:r>
          </w:p>
        </w:tc>
      </w:tr>
      <w:tr>
        <w:trPr>
          <w:trHeight w:val="144"/>
        </w:trPr>
        <w:tc>
          <w:tcPr>
            <w:tcW w:w="42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December 31, 2030 and thereafter</w:t>
            </w:r>
          </w:p>
        </w:tc>
        <w:tc>
          <w:tcPr>
            <w:tcW w:w="5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131,342</w:t>
            </w:r>
          </w:p>
        </w:tc>
      </w:tr>
      <w:tr>
        <w:trPr>
          <w:trHeight w:val="140"/>
        </w:trPr>
        <w:tc>
          <w:tcPr>
            <w:tcW w:w="426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Total minimum lease revenue, net of address commissions</w:t>
            </w:r>
          </w:p>
        </w:tc>
        <w:tc>
          <w:tcPr>
            <w:tcW w:w="5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82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2,046,826</w:t>
            </w:r>
          </w:p>
        </w:tc>
      </w:tr>
      <w:tr>
        <w:trPr>
          <w:trHeight w:val="603"/>
        </w:trPr>
        <w:tc>
          <w:tcPr>
            <w:tcW w:w="426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gridSpan w:val="3"/>
          </w:tcPr>
          <w:p>
            <w:pPr>
              <w:jc w:val="right"/>
              <w:ind w:right="4680"/>
              <w:spacing w:after="0"/>
              <w:rPr>
                <w:sz w:val="20"/>
                <w:szCs w:val="20"/>
                <w:color w:val="auto"/>
              </w:rPr>
            </w:pPr>
            <w:r>
              <w:rPr>
                <w:rFonts w:ascii="Times New Roman" w:cs="Times New Roman" w:eastAsia="Times New Roman" w:hAnsi="Times New Roman"/>
                <w:sz w:val="12"/>
                <w:szCs w:val="12"/>
                <w:color w:val="auto"/>
              </w:rPr>
              <w:t>F-40</w:t>
            </w: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8"/>
          </w:cols>
          <w:pgMar w:left="292" w:top="201" w:right="299" w:bottom="1440" w:gutter="0" w:footer="0" w:header="0"/>
        </w:sectPr>
      </w:pPr>
    </w:p>
    <w:bookmarkStart w:id="138" w:name="page139"/>
    <w:bookmarkEnd w:id="138"/>
    <w:p>
      <w:pPr>
        <w:ind w:left="8"/>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119" w:lineRule="exact"/>
        <w:rPr>
          <w:sz w:val="20"/>
          <w:szCs w:val="20"/>
          <w:color w:val="auto"/>
        </w:rPr>
      </w:pPr>
    </w:p>
    <w:p>
      <w:pPr>
        <w:ind w:left="8" w:right="10420" w:hanging="8"/>
        <w:spacing w:after="0" w:line="507" w:lineRule="auto"/>
        <w:tabs>
          <w:tab w:leader="none" w:pos="188" w:val="left"/>
        </w:tabs>
        <w:numPr>
          <w:ilvl w:val="0"/>
          <w:numId w:val="6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Share Capital Common shares</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As of December 31, 2025, the Company had one class of common shares outstanding: the Class A common shares.</w:t>
      </w:r>
    </w:p>
    <w:p>
      <w:pPr>
        <w:spacing w:after="0" w:line="1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2019 Omnibus Incentive Plan</w:t>
      </w:r>
    </w:p>
    <w:p>
      <w:pPr>
        <w:spacing w:after="0" w:line="125"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Effective February 4, 2019, the Company adopted the 2019 Omnibus Incentive Plan, which was thereafter amended and restated on September 29, 2021 and September 25, 2025 (the “Equity Incentive Plan”), pursuant to which directors, officers and employees, among others, of the Company and its subsidiaries are eligible to receive awards in the form of non-qualified stock options, stock appreciation rights, restricted stock, restricted stock units, dividend equivalents, cash awards, unrestricted stock and other equity-based or equity-related awards (see note 17). In April 2020, 184,270 shares were issued under grants made pursuant to the Equity Incentive Plan. In 2025, 2024, 2023, 2022 and 2021, 466,258, 483,713, 440,698, 586,819 and 747,604 Class A common shares were issued under the Equity Incentive Plan, respectively.</w:t>
      </w:r>
    </w:p>
    <w:p>
      <w:pPr>
        <w:spacing w:after="0" w:line="9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Common Share Repurchase Program</w:t>
      </w:r>
    </w:p>
    <w:p>
      <w:pPr>
        <w:spacing w:after="0" w:line="125"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In July 2023, the Board of Directors authorized the repurchase of up to $40,000 of the Company’s Class A common shares. During 2025, the Company did not repurchase any Class A common shares. During 2024 and 2023, the Company repurchased 251,772 and 1,242,663 Class A common shares, reducing the issued and outstanding shares. As at December 31, 2025, the Company had 35,913,628 Class A common shares outstanding.</w:t>
      </w:r>
    </w:p>
    <w:p>
      <w:pPr>
        <w:spacing w:after="0" w:line="9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Dividends</w:t>
      </w:r>
    </w:p>
    <w:p>
      <w:pPr>
        <w:spacing w:after="0" w:line="125"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 May 10, 2024, the Company announced a dividend of $0.375 per Class A common share from the earnings of the first quarter of 2024 paid on June 3, 2024, to common shareholders of record as of May 24, 2024, amounting to $13,255. On August 5, and November 11, 2024, the Company announced a dividend of $0.45 per Class A common share from the earnings of the second and third quarter of 2024, respectively, each paid on September 4, 2024, and December 4, 2024, to common shareholders of record as of August 23, and November 22, 2024, respectively, each amounting to $15,965 and $16,004.</w:t>
      </w:r>
    </w:p>
    <w:p>
      <w:pPr>
        <w:spacing w:after="0" w:line="92"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On February 12, 2025, the Company announced a dividend of $0.45 per Class A common share from the earnings of the fourth quarter of 2024, paid on March 6, 2025, to Class A common shareholders of record as of February 24, 2025, amounting to $16,043.</w:t>
      </w:r>
    </w:p>
    <w:p>
      <w:pPr>
        <w:spacing w:after="0" w:line="8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May 12, 2025, the Company announced a dividend of $0.525 per Class A common share from the earnings of the first quarter of 2025, paid on June 3, 2025, to Class A common shareholders of record as of May 23, 2025, amounting to $18,763.</w:t>
      </w:r>
    </w:p>
    <w:p>
      <w:pPr>
        <w:spacing w:after="0" w:line="8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August 5, 2025, the Company announced a dividend of $0.525 per Class A common share from the earnings of the second quarter of 2025, paid on September 4, 2025, to Class A common shareholders of record as of August 22, 2025, amounting to $18,809.</w:t>
      </w:r>
    </w:p>
    <w:p>
      <w:pPr>
        <w:spacing w:after="0" w:line="84" w:lineRule="exact"/>
        <w:rPr>
          <w:sz w:val="20"/>
          <w:szCs w:val="20"/>
          <w:color w:val="auto"/>
        </w:rPr>
      </w:pPr>
    </w:p>
    <w:p>
      <w:pPr>
        <w:jc w:val="both"/>
        <w:ind w:left="8"/>
        <w:spacing w:after="0" w:line="279" w:lineRule="auto"/>
        <w:rPr>
          <w:sz w:val="20"/>
          <w:szCs w:val="20"/>
          <w:color w:val="auto"/>
        </w:rPr>
      </w:pPr>
      <w:r>
        <w:rPr>
          <w:rFonts w:ascii="Times New Roman" w:cs="Times New Roman" w:eastAsia="Times New Roman" w:hAnsi="Times New Roman"/>
          <w:sz w:val="12"/>
          <w:szCs w:val="12"/>
          <w:color w:val="auto"/>
        </w:rPr>
        <w:t>On November 10, 2025, the Company announced an increase of $0.10 per Class A common share in the quarterly supplemental dividend for a total quarterly dividend of $0.625 per Class A common share, commencing with the dividend payable in December 2025. Dividend announced paid on December 4, 2025, to Class A common shareholders of record as of November 21, 2025, amounting to $22,446.</w:t>
      </w:r>
    </w:p>
    <w:p>
      <w:pPr>
        <w:spacing w:after="0" w:line="17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1" w:right="29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Share Capital</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Common shares (continued)</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Common Share ATM Program</w:t>
      </w:r>
    </w:p>
    <w:p>
      <w:pPr>
        <w:spacing w:after="0" w:line="15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On August 16, 2024, the Company entered into an equity distribution agreement with Evercore Group L.L.C. under which the Company could offer and sell its Class A common shares having an aggregate offering price of up to $100,000 (the “Prior Common Share ATM Program”). As of December 31, 2024, the Company issued 27,106 Class A common shares under the Prior Common Share ATM Program at an average price of $27.02.</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September 23, 2025, the Company renewed its “at the market” offering program for its Class A common shares, and in connection therewith, entered into an equity distribution agreement with Evercore Group L.L.C. and Jefferies LLC, pursuant to which the Company may, from time to time, offer and sell up to $100,000 of its Class A common shares, par value $0.01 per share, in aggregate (the “Common Share ATM Program”). The Common Share ATM Program renewed and replaced the Prior Common Share ATM Program, on similar terms, which expired on September 16, 2025. At the time of such expiration, remaining capacity under the Prior Common Share ATM Program was approximately $99,277 (out of the original $100,000).</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Preferred shares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August 20, 2014, the Company issued 1,400,000 Depositary Shares (the "Depositary Shares"), each of which represents 1/100th of one share of the Company's 8.75% Series B Cumulative Perpetual Preferred Shares ("Series B Preferred Shares") representing an interest in 14,000 Series B Preferred Shares, par value $0.01 per share, with a liquidation preference of $2,500.00 per share (equivalent to $25.00 per Depositary Share) (NYSE:GSL-B), priced at $25.00 per Depositary Share. The net proceeds from the offering were $33,497. Dividends are payable at 8.75% per annum in arrears on a quarterly basis. At any time after August 20, 2019 (or within 180 days after the occurrence of a fundamental change), the Series B Preferred Shares may be redeemed, at the discretion of the Company, in whole or in part, at a redemption price of $2,500.00 per share (equivalent to $25.00 per depositary share).</w:t>
      </w:r>
    </w:p>
    <w:p>
      <w:pPr>
        <w:spacing w:after="0" w:line="122"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These shares are classified as Equity in the Consolidated Balance Sheets. The dividends payable on the Series B Preferred Shares are presented as a reduction of Retained Earnings in the Consolidated Statements of Changes in Shareholders’ Equity, when and if declared by the Board of Directors. An initial dividend was declared on September 22, 2014, for the third quarter 2014. Dividends have been declared for all subsequent quarters.</w:t>
      </w:r>
    </w:p>
    <w:p>
      <w:pPr>
        <w:spacing w:after="0" w:line="11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September 23, 2025, the Company renewed its “at the market” offering program for its Depositary Shares, and in connection therewith, entered into an At Market Issuance Sales Agreement with B. Riley Securities, Inc. and Evercore Group L.L.C., pursuant to which the Company may, from time to time, offer and sell up to $150,000 of its Depositary Shares, in aggregate (the “Preferred Share ATM Program”). The Preferred Share ATM Program renews and replaces the Company’s prior “at the market” offering program that was in place with B. Riley Securities, Inc., on similar terms, which expired on September 16, 2025 (the “Prior Preferred Share ATM Program”). No sales were made under the Prior Preferred Share ATM Program, and no sales have been made under the Preferred Share ATM Program.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December 31, 2025, there were 4,359,190 Depositary Shares outstanding, representing an interest in 43,592 Series B Preferred Shares.</w:t>
      </w: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Stock-Based Compensation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4, 2019, the Board of Directors adopted the Equity Incentive Plan.</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purpose of the Equity Incentive Plan is to provide directors, officers and employees, whose initiative and efforts are deemed to be important to the successful conduct of our business, with incentives to (a) enter into and remain in the service of the Company or its subsidiaries and affiliates, (b) acquire a proprietary interest in the success of the Company, (c) maximize their performance and (d) enhance the long-term performance of the Company. The Equity Incentive Plan is administered by the Compensation Committee of the Board of Directors, or such other committee of the Board of Directors as may be designated by them. Unless terminated earlier by the Board of Directors, the Equity Incentive Plan expires 10 years from the date on which it was adopted.</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On September 29, 2021, the Board of Directors approved an increase in the aggregate number of Class A common shares available for issuance as awards under the Equity Incentive Plan by 1,600,000 to 3,412,500, and approved an increase to the maximum number of Class A common shares that each non-executive director may be granted in any one year to 25,000. In addition, with effect from October 1, 2021, the Board of Directors approved awards under the Equity Incentive Plan of (a) up to an aggregate of 1,500,000 Class A common shares to members of senior management and (b) up to an aggregate of 105,000 Class A common shares to the Company’s non-executive directors (representing an award of up to 15,000 Class A common shares to each such director) (collectively, the “Initial 2021 Incentive Awards”). The Initial 2021 Incentive Awards were subject to the satisfaction of certain service-based and performance-based vesting criteria.</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During the year ended December 31, 2022, the Board of Directors approved an award of 13,780 to a non-executive director who was appointed subsequent to the Initial 2021 Incentive Awards, to vest in a similar manner to the Initial 2021 Incentive Awards, adjusted for the date of appointment of the director. During the year ended December 31, 2024, the Board of Directors approved an award to a non-executive director who was appointed subsequent to the Initial 2021 Incentive Awards, amounting to 4,884 Class A common shares which vested and were issued immediately, and 8,311 Class A common shares, which were scheduled to vest in a similar manner to the Initial 2021 Incentive Awards, adjusted for the date of appointment of the director. These awards together with the Initial 2021 Incentive Awards are collectively referred to as the “2021 Incentive Awards.”</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March 2024, as a result of the transition of the Company’s Chief Executive Officer (“CEO”), the Board of Directors approved new awards of (i) 6,465 Class A common shares to a newly appointed non-executive director and (ii) 51,750 Class A common shares, to the newly appointed CEO, in each case, scheduled to vest in a similar manner to the 2021 Incentive Awards, adjusted for the dates of appointment. Further, 155,250 unvested Class A common shares were forfeited during the first quarter of 2024, due to retirement of the former CEO.</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the years ended December 31, 2025, 2024, 2023, 2022 and 2021, 261,461, 535,912, 399,727, 218,366 and 55,175 Class A common shares vested, respectively, pursuant to the 2021 Incentive Awards. An aggregate of 1,470,641 Class A common shares under the 2021 Incentive Awards vested and were issued by December 31, 2025. Of the total Class A common shares which vested under the 2021 Incentive Awards up to December 31, 2025, and December 31, 2024, nil and 204,797, respectively, had not been issued.</w:t>
      </w:r>
    </w:p>
    <w:p>
      <w:pPr>
        <w:spacing w:after="0" w:line="1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17. Stock-Based Compensation (continued)</w:t>
      </w:r>
    </w:p>
    <w:p>
      <w:pPr>
        <w:spacing w:after="0" w:line="15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Effective September 25, 2025, the Board of Directors approved an increase in the aggregate number of Class A common shares available for issuance as awards under the Equity Incentive Plan by 2,430,000 shares. Effective October 1, 2025, the Board of Directors approved new awards of Class A common shares, with each such award having a term of 3.25 years (ending December 31, 2028) (the “Term”) (such awards, the “2025 Incentive Awards”).</w:t>
      </w:r>
    </w:p>
    <w:p>
      <w:pPr>
        <w:spacing w:after="0" w:line="11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2025 Incentive Awards are divided into three tranches: (i) a service tranche, which vests quarterly, pro rata, during the Term, conditioned only on the recipient’s continued service (“Service Tranche”), (ii) a performance tranche, of which approximately 1/3 is earned upon the Company’s achievement of a specified annualized return on equity that is measured on each of December 31 of 2026, 2027 and 2028, respectively, after which, such shares are notionally divided into a number of quarterly installments within the Term and are eligible to vest on this basis (“Performance Tranche”), and (iii) a moonshot tranche, which is measured and will vest at the end of the Term based on the achievement of a specified return on equity over the full Term (“Moonshot Tranche”). The Performance Tranche payout thresholds are (a) below 13% return on equity: no payout, (b) 13%-15% return on equity: 50% payout, (c) 15% return on equity: 100% payout (target), and (d) Moonshot 30% return on equity: 100% payout.</w:t>
      </w:r>
    </w:p>
    <w:p>
      <w:pPr>
        <w:spacing w:after="0" w:line="1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Of the 2025 Incentive Awards, (a) members of senior management were awarded an aggregate of up to 2,195,250 Class A common shares (comprising a Service Tranche of 731,750 shares, a Performance Tranche of 731,750 shares, and a Moonshot Tranche of 731,750 shares), (b) each non-executive director of the Company was awarded up to 22,500 shares (comprising a Service Tranche of 7,500 shares, a Performance Tranche of 7,500 shares, and a Moonshot Tranche of 7,500 shares), and (c) other new awards were made in an aggregate amount of up to 54,750 Class A common shares (comprising a Service Tranche of 18,250 shares, a Performance Tranche of 18,250 shares, and a Moonshot Tranche of 18,250 shares).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280" w:type="dxa"/>
            <w:vAlign w:val="bottom"/>
          </w:tcPr>
          <w:p>
            <w:pPr>
              <w:spacing w:after="0"/>
              <w:rPr>
                <w:sz w:val="20"/>
                <w:szCs w:val="20"/>
                <w:color w:val="auto"/>
              </w:rPr>
            </w:pPr>
            <w:r>
              <w:rPr>
                <w:rFonts w:ascii="Times New Roman" w:cs="Times New Roman" w:eastAsia="Times New Roman" w:hAnsi="Times New Roman"/>
                <w:sz w:val="12"/>
                <w:szCs w:val="12"/>
                <w:color w:val="auto"/>
              </w:rPr>
              <w:t>As at December 31, 2025, a total of 60,903 Class A common shares vested under the 2025 Incentive Awards and nil shares had been issued.</w:t>
            </w: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61"/>
        </w:trPr>
        <w:tc>
          <w:tcPr>
            <w:tcW w:w="7280" w:type="dxa"/>
            <w:vAlign w:val="bottom"/>
          </w:tcPr>
          <w:p>
            <w:pPr>
              <w:spacing w:after="0"/>
              <w:rPr>
                <w:sz w:val="20"/>
                <w:szCs w:val="20"/>
                <w:color w:val="auto"/>
              </w:rPr>
            </w:pPr>
            <w:r>
              <w:rPr>
                <w:rFonts w:ascii="Times New Roman" w:cs="Times New Roman" w:eastAsia="Times New Roman" w:hAnsi="Times New Roman"/>
                <w:sz w:val="12"/>
                <w:szCs w:val="12"/>
                <w:color w:val="auto"/>
              </w:rPr>
              <w:t>Stock-based awards since January 1, 2024, are summarized as follows:</w:t>
            </w:r>
          </w:p>
        </w:tc>
        <w:tc>
          <w:tcPr>
            <w:tcW w:w="1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61"/>
        </w:trPr>
        <w:tc>
          <w:tcPr>
            <w:tcW w:w="728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w w:val="99"/>
              </w:rPr>
              <w:t>Stock-Based Awards</w:t>
            </w:r>
          </w:p>
        </w:tc>
        <w:tc>
          <w:tcPr>
            <w:tcW w:w="1120" w:type="dxa"/>
            <w:vAlign w:val="bottom"/>
            <w:tcBorders>
              <w:bottom w:val="single" w:sz="8" w:color="auto"/>
            </w:tcBorders>
          </w:tcPr>
          <w:p>
            <w:pPr>
              <w:spacing w:after="0"/>
              <w:rPr>
                <w:sz w:val="22"/>
                <w:szCs w:val="22"/>
                <w:color w:val="auto"/>
              </w:rPr>
            </w:pPr>
          </w:p>
        </w:tc>
      </w:tr>
      <w:tr>
        <w:trPr>
          <w:trHeight w:val="133"/>
        </w:trPr>
        <w:tc>
          <w:tcPr>
            <w:tcW w:w="72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3"/>
          </w:tcPr>
          <w:p>
            <w:pPr>
              <w:jc w:val="center"/>
              <w:ind w:right="320"/>
              <w:spacing w:after="0" w:line="133" w:lineRule="exact"/>
              <w:rPr>
                <w:sz w:val="20"/>
                <w:szCs w:val="20"/>
                <w:color w:val="auto"/>
              </w:rPr>
            </w:pPr>
            <w:r>
              <w:rPr>
                <w:rFonts w:ascii="Times New Roman" w:cs="Times New Roman" w:eastAsia="Times New Roman" w:hAnsi="Times New Roman"/>
                <w:sz w:val="12"/>
                <w:szCs w:val="12"/>
                <w:color w:val="auto"/>
                <w:w w:val="98"/>
              </w:rPr>
              <w:t>Number of Shares</w:t>
            </w:r>
          </w:p>
        </w:tc>
        <w:tc>
          <w:tcPr>
            <w:tcW w:w="1120" w:type="dxa"/>
            <w:vAlign w:val="bottom"/>
            <w:tcBorders>
              <w:bottom w:val="single" w:sz="8" w:color="auto"/>
            </w:tcBorders>
          </w:tcPr>
          <w:p>
            <w:pPr>
              <w:spacing w:after="0"/>
              <w:rPr>
                <w:sz w:val="11"/>
                <w:szCs w:val="11"/>
                <w:color w:val="auto"/>
              </w:rPr>
            </w:pPr>
          </w:p>
        </w:tc>
      </w:tr>
      <w:tr>
        <w:trPr>
          <w:trHeight w:val="122"/>
        </w:trPr>
        <w:tc>
          <w:tcPr>
            <w:tcW w:w="7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8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2"/>
                <w:szCs w:val="12"/>
                <w:color w:val="auto"/>
                <w:w w:val="97"/>
              </w:rPr>
              <w:t>Weighted Average</w:t>
            </w:r>
          </w:p>
        </w:tc>
        <w:tc>
          <w:tcPr>
            <w:tcW w:w="1120" w:type="dxa"/>
            <w:vAlign w:val="bottom"/>
          </w:tcPr>
          <w:p>
            <w:pPr>
              <w:jc w:val="center"/>
              <w:spacing w:after="0" w:line="122" w:lineRule="exact"/>
              <w:rPr>
                <w:sz w:val="20"/>
                <w:szCs w:val="20"/>
                <w:color w:val="auto"/>
              </w:rPr>
            </w:pPr>
            <w:r>
              <w:rPr>
                <w:rFonts w:ascii="Times New Roman" w:cs="Times New Roman" w:eastAsia="Times New Roman" w:hAnsi="Times New Roman"/>
                <w:sz w:val="12"/>
                <w:szCs w:val="12"/>
                <w:color w:val="auto"/>
                <w:w w:val="99"/>
              </w:rPr>
              <w:t>Actual Fair</w:t>
            </w:r>
          </w:p>
        </w:tc>
      </w:tr>
      <w:tr>
        <w:trPr>
          <w:trHeight w:val="144"/>
        </w:trPr>
        <w:tc>
          <w:tcPr>
            <w:tcW w:w="7280" w:type="dxa"/>
            <w:vAlign w:val="bottom"/>
          </w:tcPr>
          <w:p>
            <w:pPr>
              <w:spacing w:after="0"/>
              <w:rPr>
                <w:sz w:val="12"/>
                <w:szCs w:val="12"/>
                <w:color w:val="auto"/>
              </w:rPr>
            </w:pPr>
          </w:p>
        </w:tc>
        <w:tc>
          <w:tcPr>
            <w:tcW w:w="1440" w:type="dxa"/>
            <w:vAlign w:val="bottom"/>
            <w:gridSpan w:val="2"/>
          </w:tcPr>
          <w:p>
            <w:pPr>
              <w:ind w:left="820"/>
              <w:spacing w:after="0"/>
              <w:rPr>
                <w:sz w:val="20"/>
                <w:szCs w:val="20"/>
                <w:color w:val="auto"/>
              </w:rPr>
            </w:pPr>
            <w:r>
              <w:rPr>
                <w:rFonts w:ascii="Times New Roman" w:cs="Times New Roman" w:eastAsia="Times New Roman" w:hAnsi="Times New Roman"/>
                <w:sz w:val="12"/>
                <w:szCs w:val="12"/>
                <w:color w:val="auto"/>
              </w:rPr>
              <w:t>Number</w:t>
            </w:r>
          </w:p>
        </w:tc>
        <w:tc>
          <w:tcPr>
            <w:tcW w:w="180" w:type="dxa"/>
            <w:vAlign w:val="bottom"/>
          </w:tcPr>
          <w:p>
            <w:pPr>
              <w:spacing w:after="0"/>
              <w:rPr>
                <w:sz w:val="12"/>
                <w:szCs w:val="12"/>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2"/>
                <w:szCs w:val="12"/>
                <w:color w:val="auto"/>
                <w:w w:val="97"/>
              </w:rPr>
              <w:t>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Value on</w:t>
            </w:r>
          </w:p>
        </w:tc>
      </w:tr>
      <w:tr>
        <w:trPr>
          <w:trHeight w:val="155"/>
        </w:trPr>
        <w:tc>
          <w:tcPr>
            <w:tcW w:w="7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2"/>
                <w:szCs w:val="12"/>
                <w:color w:val="auto"/>
                <w:w w:val="99"/>
              </w:rPr>
              <w:t>on Grant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Vesting Date</w:t>
            </w:r>
          </w:p>
        </w:tc>
      </w:tr>
      <w:tr>
        <w:trPr>
          <w:trHeight w:val="133"/>
        </w:trPr>
        <w:tc>
          <w:tcPr>
            <w:tcW w:w="728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January 1, 2024</w:t>
            </w: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881,213</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22.35</w:t>
            </w:r>
          </w:p>
        </w:tc>
        <w:tc>
          <w:tcPr>
            <w:tcW w:w="1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r>
      <w:tr>
        <w:trPr>
          <w:trHeight w:val="133"/>
        </w:trPr>
        <w:tc>
          <w:tcPr>
            <w:tcW w:w="728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color w:val="auto"/>
              </w:rPr>
              <w:t>Vested in year ended December 31, 2024</w:t>
            </w:r>
          </w:p>
        </w:tc>
        <w:tc>
          <w:tcPr>
            <w:tcW w:w="128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(535,912)</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n/a</w:t>
            </w:r>
          </w:p>
        </w:tc>
        <w:tc>
          <w:tcPr>
            <w:tcW w:w="160" w:type="dxa"/>
            <w:vAlign w:val="bottom"/>
          </w:tcPr>
          <w:p>
            <w:pPr>
              <w:spacing w:after="0"/>
              <w:rPr>
                <w:sz w:val="11"/>
                <w:szCs w:val="11"/>
                <w:color w:val="auto"/>
              </w:rPr>
            </w:pPr>
          </w:p>
        </w:tc>
        <w:tc>
          <w:tcPr>
            <w:tcW w:w="1120" w:type="dxa"/>
            <w:vAlign w:val="bottom"/>
          </w:tcPr>
          <w:p>
            <w:pPr>
              <w:jc w:val="right"/>
              <w:spacing w:after="0" w:line="133" w:lineRule="exact"/>
              <w:rPr>
                <w:sz w:val="20"/>
                <w:szCs w:val="20"/>
                <w:color w:val="auto"/>
              </w:rPr>
            </w:pPr>
            <w:r>
              <w:rPr>
                <w:rFonts w:ascii="Times New Roman" w:cs="Times New Roman" w:eastAsia="Times New Roman" w:hAnsi="Times New Roman"/>
                <w:sz w:val="12"/>
                <w:szCs w:val="12"/>
                <w:color w:val="auto"/>
              </w:rPr>
              <w:t>26.11</w:t>
            </w:r>
          </w:p>
        </w:tc>
      </w:tr>
      <w:tr>
        <w:trPr>
          <w:trHeight w:val="144"/>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Granted in January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13,195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18.82</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44"/>
        </w:trPr>
        <w:tc>
          <w:tcPr>
            <w:tcW w:w="7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Granted in March 2024</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58,215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17.80</w:t>
            </w:r>
          </w:p>
        </w:tc>
        <w:tc>
          <w:tcPr>
            <w:tcW w:w="160" w:type="dxa"/>
            <w:vAlign w:val="bottom"/>
          </w:tcPr>
          <w:p>
            <w:pPr>
              <w:spacing w:after="0"/>
              <w:rPr>
                <w:sz w:val="12"/>
                <w:szCs w:val="1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44"/>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Forfeit in March 2024</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(155,250)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33"/>
        </w:trPr>
        <w:tc>
          <w:tcPr>
            <w:tcW w:w="7280" w:type="dxa"/>
            <w:vAlign w:val="bottom"/>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December 31, 2024</w:t>
            </w:r>
          </w:p>
        </w:tc>
        <w:tc>
          <w:tcPr>
            <w:tcW w:w="12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261,461</w:t>
            </w:r>
          </w:p>
        </w:tc>
        <w:tc>
          <w:tcPr>
            <w:tcW w:w="160" w:type="dxa"/>
            <w:vAlign w:val="bottom"/>
          </w:tcPr>
          <w:p>
            <w:pPr>
              <w:spacing w:after="0"/>
              <w:rPr>
                <w:sz w:val="11"/>
                <w:szCs w:val="11"/>
                <w:color w:val="auto"/>
              </w:rPr>
            </w:pPr>
          </w:p>
        </w:tc>
        <w:tc>
          <w:tcPr>
            <w:tcW w:w="18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21.92</w:t>
            </w:r>
          </w:p>
        </w:tc>
        <w:tc>
          <w:tcPr>
            <w:tcW w:w="160" w:type="dxa"/>
            <w:vAlign w:val="bottom"/>
          </w:tcPr>
          <w:p>
            <w:pPr>
              <w:spacing w:after="0"/>
              <w:rPr>
                <w:sz w:val="11"/>
                <w:szCs w:val="11"/>
                <w:color w:val="auto"/>
              </w:rPr>
            </w:pPr>
          </w:p>
        </w:tc>
        <w:tc>
          <w:tcPr>
            <w:tcW w:w="1120" w:type="dxa"/>
            <w:vAlign w:val="bottom"/>
            <w:tcBorders>
              <w:top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r>
      <w:tr>
        <w:trPr>
          <w:trHeight w:val="144"/>
        </w:trPr>
        <w:tc>
          <w:tcPr>
            <w:tcW w:w="72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Granted in September 2025</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2,375,250</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25.55</w:t>
            </w:r>
          </w:p>
        </w:tc>
        <w:tc>
          <w:tcPr>
            <w:tcW w:w="1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n/a</w:t>
            </w:r>
          </w:p>
        </w:tc>
      </w:tr>
      <w:tr>
        <w:trPr>
          <w:trHeight w:val="144"/>
        </w:trPr>
        <w:tc>
          <w:tcPr>
            <w:tcW w:w="72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Vested in period ended December 31, 2025</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(322,364)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n/a</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28.23</w:t>
            </w:r>
          </w:p>
        </w:tc>
      </w:tr>
      <w:tr>
        <w:trPr>
          <w:trHeight w:val="133"/>
        </w:trPr>
        <w:tc>
          <w:tcPr>
            <w:tcW w:w="7280" w:type="dxa"/>
            <w:vAlign w:val="bottom"/>
            <w:tcBorders>
              <w:top w:val="single" w:sz="8" w:color="CCEEFF"/>
            </w:tcBorders>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b w:val="1"/>
                <w:bCs w:val="1"/>
                <w:color w:val="auto"/>
              </w:rPr>
              <w:t>Unvested as at December 31, 2025</w:t>
            </w:r>
          </w:p>
        </w:tc>
        <w:tc>
          <w:tcPr>
            <w:tcW w:w="12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2,314,347</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25.55</w:t>
            </w:r>
          </w:p>
        </w:tc>
        <w:tc>
          <w:tcPr>
            <w:tcW w:w="160" w:type="dxa"/>
            <w:vAlign w:val="bottom"/>
            <w:tcBorders>
              <w:top w:val="single" w:sz="8" w:color="CCEEFF"/>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b w:val="1"/>
                <w:bCs w:val="1"/>
                <w:color w:val="auto"/>
              </w:rPr>
              <w:t>n/a</w:t>
            </w:r>
          </w:p>
        </w:tc>
      </w:tr>
    </w:tbl>
    <w:p>
      <w:pPr>
        <w:spacing w:after="0" w:line="25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Using the graded vesting method of expensing the incentive stock awards, the weighted average fair value of the stock awards is recognized as compensation costs in the Consolidated Statements of Income over the vesting period. The fair value of the incentive stock awards for time-vesting and performance-based awards is calculated by multiplying the number of stock awards by the fair value of the shares at the closing market price of a share of our common stock on the date of the grant, modified as appropriate to take into account the features of such grants. The Company has not factored any anticipated forfeiture into these calculations based on the limited number of participants.</w:t>
      </w: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17. Stock-Based Compensation (continued)</w:t>
      </w:r>
    </w:p>
    <w:p>
      <w:pPr>
        <w:spacing w:after="0" w:line="127"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The Company’s performance-based compensation expenses are calculated based on the valuation at the grant date, and recognized based on the probability of achieving those targets. The Company assesses the probability of the performance targets being achieved at each balance sheet date, and expenses are recognized accordingly.</w:t>
      </w:r>
    </w:p>
    <w:p>
      <w:pPr>
        <w:spacing w:after="0" w:line="8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For the years ended December 31, 2025, 2024 and 2023, the Company recognized a total of $13,964, $8,704 (includes $345 positive net effect from the amendment to the stock-based awards consequent on the CEO transition), and $10,189 (includes $451 effect from the amendment to the stock-based awards), respectively, in respect of stock-based compensation.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18. Earnings per Share</w:t>
      </w:r>
    </w:p>
    <w:p>
      <w:pPr>
        <w:spacing w:after="0" w:line="13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Under the two-class method, net income, if any, is first reduced by the amount of dividends declared in respect of common shares for the current period, if any, and the remaining earnings are allocated to common shares and participating securities to the extent that each security can share the earnings assuming all earnings for the period are distributed.</w:t>
      </w:r>
    </w:p>
    <w:p>
      <w:pPr>
        <w:spacing w:after="0" w:line="84"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Earnings are only allocated to participating securities in a period of net income if, based on the contractual terms, the relevant common shareholders have an obligation to participate in such earnings. As a result, earnings are only allocated to the Class A common shareholders.</w:t>
      </w:r>
    </w:p>
    <w:p>
      <w:pPr>
        <w:spacing w:after="0" w:line="111"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At December 31, 2025 and 2024, there were 2,314,347 and 261,461, respectively, shares of incentive share grants unvested as part of senior management’s and non-executive directors incentive awards approved on September 25, 2025, and on September 29, 2021, respectively.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tcPr>
          <w:p>
            <w:pPr>
              <w:spacing w:after="0"/>
              <w:rPr>
                <w:sz w:val="12"/>
                <w:szCs w:val="12"/>
                <w:color w:val="auto"/>
              </w:rPr>
            </w:pPr>
          </w:p>
        </w:tc>
        <w:tc>
          <w:tcPr>
            <w:tcW w:w="1120" w:type="dxa"/>
            <w:vAlign w:val="bottom"/>
            <w:gridSpan w:val="2"/>
          </w:tcPr>
          <w:p>
            <w:pPr>
              <w:ind w:left="200"/>
              <w:spacing w:after="0"/>
              <w:rPr>
                <w:sz w:val="20"/>
                <w:szCs w:val="20"/>
                <w:color w:val="auto"/>
              </w:rPr>
            </w:pPr>
            <w:r>
              <w:rPr>
                <w:rFonts w:ascii="Times New Roman" w:cs="Times New Roman" w:eastAsia="Times New Roman" w:hAnsi="Times New Roman"/>
                <w:sz w:val="12"/>
                <w:szCs w:val="12"/>
                <w:b w:val="1"/>
                <w:bCs w:val="1"/>
                <w:color w:val="auto"/>
              </w:rPr>
              <w:t>December 31,</w:t>
            </w: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December 31,</w:t>
            </w:r>
          </w:p>
        </w:tc>
      </w:tr>
      <w:tr>
        <w:trPr>
          <w:trHeight w:val="159"/>
        </w:trPr>
        <w:tc>
          <w:tcPr>
            <w:tcW w:w="432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Numerator:</w:t>
            </w:r>
          </w:p>
        </w:tc>
        <w:tc>
          <w:tcPr>
            <w:tcW w:w="27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2024</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33"/>
        </w:trPr>
        <w:tc>
          <w:tcPr>
            <w:tcW w:w="4320" w:type="dxa"/>
            <w:vAlign w:val="bottom"/>
            <w:shd w:val="clear" w:color="auto" w:fill="CCEEFF"/>
          </w:tcPr>
          <w:p>
            <w:pPr>
              <w:ind w:left="60"/>
              <w:spacing w:after="0" w:line="133" w:lineRule="exact"/>
              <w:rPr>
                <w:sz w:val="20"/>
                <w:szCs w:val="20"/>
                <w:color w:val="auto"/>
              </w:rPr>
            </w:pPr>
            <w:r>
              <w:rPr>
                <w:rFonts w:ascii="Times New Roman" w:cs="Times New Roman" w:eastAsia="Times New Roman" w:hAnsi="Times New Roman"/>
                <w:sz w:val="12"/>
                <w:szCs w:val="12"/>
                <w:color w:val="auto"/>
              </w:rPr>
              <w:t>Net income available to common shareholders:</w:t>
            </w:r>
          </w:p>
        </w:tc>
        <w:tc>
          <w:tcPr>
            <w:tcW w:w="2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44"/>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 basic and diluted</w:t>
            </w:r>
          </w:p>
        </w:tc>
        <w:tc>
          <w:tcPr>
            <w:tcW w:w="310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406,919</w:t>
            </w:r>
          </w:p>
        </w:tc>
        <w:tc>
          <w:tcPr>
            <w:tcW w:w="160" w:type="dxa"/>
            <w:vAlign w:val="bottom"/>
          </w:tcPr>
          <w:p>
            <w:pPr>
              <w:spacing w:after="0"/>
              <w:rPr>
                <w:sz w:val="12"/>
                <w:szCs w:val="1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344,092</w:t>
            </w:r>
          </w:p>
        </w:tc>
        <w:tc>
          <w:tcPr>
            <w:tcW w:w="160" w:type="dxa"/>
            <w:vAlign w:val="bottom"/>
          </w:tcPr>
          <w:p>
            <w:pPr>
              <w:spacing w:after="0"/>
              <w:rPr>
                <w:sz w:val="12"/>
                <w:szCs w:val="12"/>
                <w:color w:val="auto"/>
              </w:rPr>
            </w:pPr>
          </w:p>
        </w:tc>
        <w:tc>
          <w:tcPr>
            <w:tcW w:w="34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294,964</w:t>
            </w:r>
          </w:p>
        </w:tc>
      </w:tr>
      <w:tr>
        <w:trPr>
          <w:trHeight w:val="144"/>
        </w:trPr>
        <w:tc>
          <w:tcPr>
            <w:tcW w:w="4320" w:type="dxa"/>
            <w:vAlign w:val="bottom"/>
            <w:shd w:val="clear" w:color="auto" w:fill="CCEEFF"/>
          </w:tcPr>
          <w:p>
            <w:pPr>
              <w:spacing w:after="0"/>
              <w:rPr>
                <w:sz w:val="12"/>
                <w:szCs w:val="12"/>
                <w:color w:val="auto"/>
              </w:rPr>
            </w:pPr>
          </w:p>
        </w:tc>
        <w:tc>
          <w:tcPr>
            <w:tcW w:w="2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4"/>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i w:val="1"/>
                <w:iCs w:val="1"/>
                <w:color w:val="auto"/>
              </w:rPr>
              <w:t>Denominator:</w:t>
            </w:r>
          </w:p>
        </w:tc>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Class A Common shares</w:t>
            </w:r>
          </w:p>
        </w:tc>
        <w:tc>
          <w:tcPr>
            <w:tcW w:w="2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44"/>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Basic weighted average number of common shares outstanding</w:t>
            </w:r>
          </w:p>
        </w:tc>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35,708,122</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35,316,495</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35,405,458</w:t>
            </w:r>
          </w:p>
        </w:tc>
      </w:tr>
      <w:tr>
        <w:trPr>
          <w:trHeight w:val="14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Plus weighted average number of RSUs with service conditions</w:t>
            </w:r>
          </w:p>
        </w:tc>
        <w:tc>
          <w:tcPr>
            <w:tcW w:w="2700" w:type="dxa"/>
            <w:vAlign w:val="bottom"/>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254,014</w:t>
            </w:r>
          </w:p>
        </w:tc>
        <w:tc>
          <w:tcPr>
            <w:tcW w:w="1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261,461</w:t>
            </w:r>
          </w:p>
        </w:tc>
        <w:tc>
          <w:tcPr>
            <w:tcW w:w="1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523,464</w:t>
            </w:r>
          </w:p>
        </w:tc>
      </w:tr>
      <w:tr>
        <w:trPr>
          <w:trHeight w:val="133"/>
        </w:trPr>
        <w:tc>
          <w:tcPr>
            <w:tcW w:w="4320" w:type="dxa"/>
            <w:vAlign w:val="bottom"/>
            <w:tcBorders>
              <w:bottom w:val="single" w:sz="8" w:color="CCEEFF"/>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Common share and common share equivalents, dilutive</w:t>
            </w:r>
          </w:p>
        </w:tc>
        <w:tc>
          <w:tcPr>
            <w:tcW w:w="270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35,962,136</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35,577,956</w:t>
            </w:r>
          </w:p>
        </w:tc>
        <w:tc>
          <w:tcPr>
            <w:tcW w:w="16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2"/>
                <w:szCs w:val="12"/>
                <w:color w:val="auto"/>
              </w:rPr>
              <w:t>35,928,922</w:t>
            </w:r>
          </w:p>
        </w:tc>
      </w:tr>
      <w:tr>
        <w:trPr>
          <w:trHeight w:val="133"/>
        </w:trPr>
        <w:tc>
          <w:tcPr>
            <w:tcW w:w="4320" w:type="dxa"/>
            <w:vAlign w:val="bottom"/>
            <w:shd w:val="clear" w:color="auto" w:fill="CCEEFF"/>
          </w:tcPr>
          <w:p>
            <w:pPr>
              <w:spacing w:after="0"/>
              <w:rPr>
                <w:sz w:val="11"/>
                <w:szCs w:val="11"/>
                <w:color w:val="auto"/>
              </w:rPr>
            </w:pPr>
          </w:p>
        </w:tc>
        <w:tc>
          <w:tcPr>
            <w:tcW w:w="27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44"/>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Basic earnings per share:</w:t>
            </w:r>
          </w:p>
        </w:tc>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2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11.40</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9.74</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8.33</w:t>
            </w:r>
          </w:p>
        </w:tc>
      </w:tr>
      <w:tr>
        <w:trPr>
          <w:trHeight w:val="144"/>
        </w:trPr>
        <w:tc>
          <w:tcPr>
            <w:tcW w:w="4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44"/>
        </w:trPr>
        <w:tc>
          <w:tcPr>
            <w:tcW w:w="4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b w:val="1"/>
                <w:bCs w:val="1"/>
                <w:color w:val="auto"/>
              </w:rPr>
              <w:t>Diluted earnings per share:</w:t>
            </w:r>
          </w:p>
        </w:tc>
        <w:tc>
          <w:tcPr>
            <w:tcW w:w="27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5"/>
        </w:trPr>
        <w:tc>
          <w:tcPr>
            <w:tcW w:w="43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Class A</w:t>
            </w:r>
          </w:p>
        </w:tc>
        <w:tc>
          <w:tcPr>
            <w:tcW w:w="27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9.67</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8.21</w:t>
            </w:r>
          </w:p>
        </w:tc>
      </w:tr>
      <w:tr>
        <w:trPr>
          <w:trHeight w:val="628"/>
        </w:trPr>
        <w:tc>
          <w:tcPr>
            <w:tcW w:w="4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2"/>
          </w:tcPr>
          <w:p>
            <w:pPr>
              <w:jc w:val="right"/>
              <w:ind w:right="1680"/>
              <w:spacing w:after="0"/>
              <w:rPr>
                <w:sz w:val="20"/>
                <w:szCs w:val="20"/>
                <w:color w:val="auto"/>
              </w:rPr>
            </w:pPr>
            <w:r>
              <w:rPr>
                <w:rFonts w:ascii="Times New Roman" w:cs="Times New Roman" w:eastAsia="Times New Roman" w:hAnsi="Times New Roman"/>
                <w:sz w:val="12"/>
                <w:szCs w:val="12"/>
                <w:color w:val="auto"/>
              </w:rPr>
              <w:t>F-45</w:t>
            </w: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1" w:right="2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2"/>
          <w:szCs w:val="12"/>
          <w:u w:val="single" w:color="auto"/>
          <w:color w:val="0000EE"/>
        </w:rPr>
        <w:t>Table of Contents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Notes to the Consolidated Financial Statements (continued)</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(Expressed in thousands of U.S. dollars)</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19. Subsequent events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On February 10, 2026, the Company announced a dividend of $0.625 per Class A common share from the earnings of the fourth quarter of 2025 paid on March 6, 2026, to common shareholders of record as of February 24, 2026.</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the fourth quarter of 2025, the Company agreed to purchase three ECO 8,586 TEU, Korean-built containerships for an aggregate price of approximately $90,000, of which two were delivered on various dates in December 2025 and the third one on January 9, 2026. The Company funded the acquisitions with cash on hand, with the potential to secure financing at a later stage. As of December 31, 2025, the Company had paid $30,200 as an advance for the third ECO 8,586 TEU vessel acquisition, Cypress, which was delivered on January 9, 2026.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01" w:right="29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2"/>
          <w:szCs w:val="12"/>
          <w:b w:val="1"/>
          <w:bCs w:val="1"/>
          <w:color w:val="auto"/>
        </w:rPr>
        <w:t>Exhibit 4.8</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2019 OMNIBUS INCENTIVE PLAN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(effective February 4, 2019, as amended and restated on September 29, 2021 and thereafter on September 25, 2025)</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General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Purpose</w:t>
      </w:r>
    </w:p>
    <w:p>
      <w:pPr>
        <w:spacing w:after="0" w:line="150"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2"/>
          <w:szCs w:val="12"/>
          <w:color w:val="auto"/>
        </w:rPr>
        <w:t>The Global Ship Lease, Inc. 2019 Omnibus Incentive Plan (the “</w:t>
      </w:r>
      <w:r>
        <w:rPr>
          <w:rFonts w:ascii="Times New Roman" w:cs="Times New Roman" w:eastAsia="Times New Roman" w:hAnsi="Times New Roman"/>
          <w:sz w:val="12"/>
          <w:szCs w:val="12"/>
          <w:b w:val="1"/>
          <w:bCs w:val="1"/>
          <w:color w:val="auto"/>
        </w:rPr>
        <w:t>Plan</w:t>
      </w:r>
      <w:r>
        <w:rPr>
          <w:rFonts w:ascii="Times New Roman" w:cs="Times New Roman" w:eastAsia="Times New Roman" w:hAnsi="Times New Roman"/>
          <w:sz w:val="12"/>
          <w:szCs w:val="12"/>
          <w:color w:val="auto"/>
        </w:rPr>
        <w:t>”) is designed to provide certain Key Persons (as defined below), whose initiative and efforts are deemed to be important to the successful conduct of the business of Global Ship Lease, Inc. (the “</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with incentives to (a) enter into and remain in the service of the Company or its Subsidiaries and Affiliates (as such terms are defined below), (b) acquire a proprietary interest in the success of the Company, (c) maximize their performance and (d) enhance the long-term performance of the Company.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Administration</w:t>
      </w:r>
    </w:p>
    <w:p>
      <w:pPr>
        <w:spacing w:after="0" w:line="150" w:lineRule="exact"/>
        <w:rPr>
          <w:sz w:val="20"/>
          <w:szCs w:val="20"/>
          <w:color w:val="auto"/>
        </w:rPr>
      </w:pPr>
    </w:p>
    <w:p>
      <w:pPr>
        <w:jc w:val="both"/>
        <w:ind w:firstLine="424"/>
        <w:spacing w:after="0" w:line="252" w:lineRule="auto"/>
        <w:tabs>
          <w:tab w:leader="none" w:pos="595"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Administration</w:t>
      </w:r>
      <w:r>
        <w:rPr>
          <w:rFonts w:ascii="Times New Roman" w:cs="Times New Roman" w:eastAsia="Times New Roman" w:hAnsi="Times New Roman"/>
          <w:sz w:val="12"/>
          <w:szCs w:val="12"/>
          <w:color w:val="auto"/>
        </w:rPr>
        <w:t>. The Plan shall be administered by the Compensation Committee of the Company’s Board of Directors (the “</w:t>
      </w:r>
      <w:r>
        <w:rPr>
          <w:rFonts w:ascii="Times New Roman" w:cs="Times New Roman" w:eastAsia="Times New Roman" w:hAnsi="Times New Roman"/>
          <w:sz w:val="12"/>
          <w:szCs w:val="12"/>
          <w:b w:val="1"/>
          <w:bCs w:val="1"/>
          <w:color w:val="auto"/>
        </w:rPr>
        <w:t>Board</w:t>
      </w:r>
      <w:r>
        <w:rPr>
          <w:rFonts w:ascii="Times New Roman" w:cs="Times New Roman" w:eastAsia="Times New Roman" w:hAnsi="Times New Roman"/>
          <w:sz w:val="12"/>
          <w:szCs w:val="12"/>
          <w:color w:val="auto"/>
        </w:rPr>
        <w:t>”) or such other committee of the Board as may be designated by the Board to administer the Plan (the Compensation Committee or such other committee, as applicable, the “</w:t>
      </w:r>
      <w:r>
        <w:rPr>
          <w:rFonts w:ascii="Times New Roman" w:cs="Times New Roman" w:eastAsia="Times New Roman" w:hAnsi="Times New Roman"/>
          <w:sz w:val="12"/>
          <w:szCs w:val="12"/>
          <w:b w:val="1"/>
          <w:bCs w:val="1"/>
          <w:color w:val="auto"/>
        </w:rPr>
        <w:t>Administrator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 in the event the Company is subject to Section 16 of the U.S. Securities Exchange Act of 1934, as amended (the “</w:t>
      </w:r>
      <w:r>
        <w:rPr>
          <w:rFonts w:ascii="Times New Roman" w:cs="Times New Roman" w:eastAsia="Times New Roman" w:hAnsi="Times New Roman"/>
          <w:sz w:val="12"/>
          <w:szCs w:val="12"/>
          <w:b w:val="1"/>
          <w:bCs w:val="1"/>
          <w:color w:val="auto"/>
        </w:rPr>
        <w:t>1934 Act</w:t>
      </w:r>
      <w:r>
        <w:rPr>
          <w:rFonts w:ascii="Times New Roman" w:cs="Times New Roman" w:eastAsia="Times New Roman" w:hAnsi="Times New Roman"/>
          <w:sz w:val="12"/>
          <w:szCs w:val="12"/>
          <w:color w:val="auto"/>
        </w:rPr>
        <w:t>”), the Administrator shall be composed of two or more directors, each of whom is a “Non-Employee Director” (a “</w:t>
      </w:r>
      <w:r>
        <w:rPr>
          <w:rFonts w:ascii="Times New Roman" w:cs="Times New Roman" w:eastAsia="Times New Roman" w:hAnsi="Times New Roman"/>
          <w:sz w:val="12"/>
          <w:szCs w:val="12"/>
          <w:b w:val="1"/>
          <w:bCs w:val="1"/>
          <w:color w:val="auto"/>
        </w:rPr>
        <w:t>Non-Employee Director</w:t>
      </w:r>
      <w:r>
        <w:rPr>
          <w:rFonts w:ascii="Times New Roman" w:cs="Times New Roman" w:eastAsia="Times New Roman" w:hAnsi="Times New Roman"/>
          <w:sz w:val="12"/>
          <w:szCs w:val="12"/>
          <w:color w:val="auto"/>
        </w:rPr>
        <w:t>”) under Rule 16b-3 (as promulgated and interpreted by the Securities and Exchange Commission (the “</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under the 1934 Act, or any successor rule or regulation thereto as in effect from time to time (“</w:t>
      </w:r>
      <w:r>
        <w:rPr>
          <w:rFonts w:ascii="Times New Roman" w:cs="Times New Roman" w:eastAsia="Times New Roman" w:hAnsi="Times New Roman"/>
          <w:sz w:val="12"/>
          <w:szCs w:val="12"/>
          <w:b w:val="1"/>
          <w:bCs w:val="1"/>
          <w:color w:val="auto"/>
        </w:rPr>
        <w:t>Rule 16b-3</w:t>
      </w:r>
      <w:r>
        <w:rPr>
          <w:rFonts w:ascii="Times New Roman" w:cs="Times New Roman" w:eastAsia="Times New Roman" w:hAnsi="Times New Roman"/>
          <w:sz w:val="12"/>
          <w:szCs w:val="12"/>
          <w:color w:val="auto"/>
        </w:rPr>
        <w:t xml:space="preserve">”)), and (ii) the Administrator shall be composed solely of two or more directors who are “independent directors” under the rules of any stock exchange on which the Company’s Common Stock (as defined below) is traded; </w:t>
      </w:r>
      <w:r>
        <w:rPr>
          <w:rFonts w:ascii="Times New Roman" w:cs="Times New Roman" w:eastAsia="Times New Roman" w:hAnsi="Times New Roman"/>
          <w:sz w:val="12"/>
          <w:szCs w:val="12"/>
          <w:u w:val="single" w:color="auto"/>
          <w:color w:val="auto"/>
        </w:rPr>
        <w:t>provided 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(A) the requirement in the preceding clause (i) shall apply only when required to exempt an Award (as defined below) intended to qualify for an exemption under the applicable provisions referenced therein, (B) the requirement in the preceding clause (ii) shall apply only when required pursuant to the applicable rules of the applicable stock exchange and (C) if at any time the Administrator is not so composed as required by the preceding provisions of this sentence, that fact will not invalidate any grant made, or action taken, by the Administrator hereunder that otherwise satisfies the terms of the Plan. Subject to the terms of the Plan, applicable law and the applicable rules and regulations of any stock exchange on which the Common Stock is listed for trading, and in addition to other express powers and authorizations conferred on the Administrator by the Plan, the Administrator shall have the full power and authority to: (1) designate the Key Persons to receive Awards under the Plan; (2) determine the types of Awards granted to a participant under the Plan; (3) determine the number of shares to be covered by, or with respect to which payments, rights or other matters are to be calculated with respect to, Awards; (4) determine the terms and conditions of any Awards; (5) determine whether, and to what extent, and under what circumstances, Awards may be settled or exercised in cash, shares, other securities, other Awards or other property, or cancelled, forfeited or suspended, and the methods by which Awards may be settled, exercised, cancelled, forfeited or suspended; (6) determine whether, to what extent, and under what circumstances cash, shares, other securities, other Awards, other property and other amounts payable with respect to an Award shall be deferred, either automatically or at the election of the holder thereof or the Administrator; (7) construe, interpret and implement the Plan and any Award Agreement (as defined below); (8) prescribe, amend, rescind or waive rules and regulations relating to the Plan, including rules governing its operation, and appoint such agents as it shall deem appropriate for the proper administration of the Plan; (9) correct any defect, supply any omission and reconcile any inconsistency in the Plan or any Award Agreement; and (10) make any other determination and take any other action that the Administrator deems necessary or desirable for the administration of the Plan. Unless otherwise expressly provided in the Plan, all designations, determinations, interpretations and other decisions under or with respect to the Plan or any Award shall be within the sole discretion of the Administrator, may be made at any time and shall be final, conclusive and binding upon all Persons (as defined below).</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25" w:right="299" w:bottom="1440" w:gutter="0" w:footer="0" w:header="0"/>
        </w:sectPr>
      </w:pPr>
    </w:p>
    <w:bookmarkStart w:id="146" w:name="page147"/>
    <w:bookmarkEnd w:id="146"/>
    <w:p>
      <w:pPr>
        <w:jc w:val="both"/>
        <w:ind w:firstLine="424"/>
        <w:spacing w:after="0" w:line="256" w:lineRule="auto"/>
        <w:tabs>
          <w:tab w:leader="none" w:pos="611"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 Right of Delegation</w:t>
      </w:r>
      <w:r>
        <w:rPr>
          <w:rFonts w:ascii="Times New Roman" w:cs="Times New Roman" w:eastAsia="Times New Roman" w:hAnsi="Times New Roman"/>
          <w:sz w:val="12"/>
          <w:szCs w:val="12"/>
          <w:color w:val="auto"/>
        </w:rPr>
        <w:t xml:space="preserve">. Except to the extent prohibited by applicable law, the applicable rules of a stock exchange or any charter, by-laws or other agreement governing the Administrator, the Administrator may delegate all or any part of its responsibilities to any Person or Persons selected by it;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xml:space="preserve">, that in no event shall an officer of the Company be delegated the authority to grant Awards to, or amend Awards held by, the following individuals: (i) individuals who are subject to Section 16 of the 1934 Act, to the extent applicable, or (ii) officers of the Company to whom authority to grant or amend Awards has been delegated hereunder or directors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further</w:t>
      </w:r>
      <w:r>
        <w:rPr>
          <w:rFonts w:ascii="Times New Roman" w:cs="Times New Roman" w:eastAsia="Times New Roman" w:hAnsi="Times New Roman"/>
          <w:sz w:val="12"/>
          <w:szCs w:val="12"/>
          <w:color w:val="auto"/>
        </w:rPr>
        <w:t>, that any delegation of administrative authority shall only be permitted to the extent it is permissible under applicable securities laws (including, without limitation, Rule 16b-3, to the extent applicable) and the rules of any applicable stock exchange. Any delegation hereunder shall be subject to the restrictions and limits that the Administrator specifies at the time of such delegation, and the Administrator may at any time rescind the authority so delegated or appoint a new delegatee. At all times, the delegatee appointed under this Section 1.2(b) shall serve in such capacity at the pleasure of the Administrator.</w:t>
      </w:r>
    </w:p>
    <w:p>
      <w:pPr>
        <w:spacing w:after="0" w:line="120" w:lineRule="exact"/>
        <w:rPr>
          <w:rFonts w:ascii="Times New Roman" w:cs="Times New Roman" w:eastAsia="Times New Roman" w:hAnsi="Times New Roman"/>
          <w:sz w:val="12"/>
          <w:szCs w:val="12"/>
          <w:color w:val="auto"/>
        </w:rPr>
      </w:pPr>
    </w:p>
    <w:p>
      <w:pPr>
        <w:jc w:val="both"/>
        <w:ind w:firstLine="424"/>
        <w:spacing w:after="0" w:line="254" w:lineRule="auto"/>
        <w:tabs>
          <w:tab w:leader="none" w:pos="595"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Indemnification</w:t>
      </w:r>
      <w:r>
        <w:rPr>
          <w:rFonts w:ascii="Times New Roman" w:cs="Times New Roman" w:eastAsia="Times New Roman" w:hAnsi="Times New Roman"/>
          <w:sz w:val="12"/>
          <w:szCs w:val="12"/>
          <w:color w:val="auto"/>
        </w:rPr>
        <w:t>. No member of the Board, the Administrator or any officer or employee of the Company or any Subsidiary or Affiliate or any of their agents (each such Person, a “</w:t>
      </w:r>
      <w:r>
        <w:rPr>
          <w:rFonts w:ascii="Times New Roman" w:cs="Times New Roman" w:eastAsia="Times New Roman" w:hAnsi="Times New Roman"/>
          <w:sz w:val="12"/>
          <w:szCs w:val="12"/>
          <w:b w:val="1"/>
          <w:bCs w:val="1"/>
          <w:color w:val="auto"/>
        </w:rPr>
        <w:t>Covered Person</w:t>
      </w:r>
      <w:r>
        <w:rPr>
          <w:rFonts w:ascii="Times New Roman" w:cs="Times New Roman" w:eastAsia="Times New Roman" w:hAnsi="Times New Roman"/>
          <w:sz w:val="12"/>
          <w:szCs w:val="12"/>
          <w:color w:val="auto"/>
        </w:rPr>
        <w:t xml:space="preserve">”) shall be liable for any action taken or omitted to be taken or any determination made in good faith with respect to the Plan or any Award hereunder. Each Covered Person shall be indemnified and held harmless by the Company against and from (i) 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and (ii) any and all amounts paid by such Covered Person, with the Company’s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Company shall have the right, at its own expense, to assume and defend any such action, suit or proceeding and, once the Company gives notice of its intent to assume the defense, the Company shall have sole control over such defense with counsel of the Company’s choice. The foregoing right of indemnification shall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criminal act or omission or that such right of indemnification is otherwise prohibited by law or by the Company’s articles of incorporation or bylaws (in each case, as amended and/or restated). The foregoing right of indemnification shall not be exclusive of any other rights of indemnification to which Covered Persons may be entitled under the Company’s articles of incorporation or bylaws (in each case, as amended and/or restated), as a matter of law, or otherwise, or any other power that the Company may have to indemnify such Persons or hold them harmless.</w:t>
      </w:r>
    </w:p>
    <w:p>
      <w:pPr>
        <w:spacing w:after="0" w:line="125" w:lineRule="exact"/>
        <w:rPr>
          <w:rFonts w:ascii="Times New Roman" w:cs="Times New Roman" w:eastAsia="Times New Roman" w:hAnsi="Times New Roman"/>
          <w:sz w:val="12"/>
          <w:szCs w:val="12"/>
          <w:color w:val="auto"/>
        </w:rPr>
      </w:pPr>
    </w:p>
    <w:p>
      <w:pPr>
        <w:jc w:val="both"/>
        <w:ind w:firstLine="424"/>
        <w:spacing w:after="0" w:line="265" w:lineRule="auto"/>
        <w:tabs>
          <w:tab w:leader="none" w:pos="602"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Delegation of Authority to Senior Officers</w:t>
      </w:r>
      <w:r>
        <w:rPr>
          <w:rFonts w:ascii="Times New Roman" w:cs="Times New Roman" w:eastAsia="Times New Roman" w:hAnsi="Times New Roman"/>
          <w:sz w:val="12"/>
          <w:szCs w:val="12"/>
          <w:color w:val="auto"/>
        </w:rPr>
        <w:t>. The Administrator may, in accordance with and subject to the terms of Section 1.2(b), delegate, on such terms and conditions as it determines, to one or more senior officers of the Company, the authority to make grants of Awards to Key Persons who are employees of the Company or any of its Subsidiaries or Affiliates (including any such prospective employee) or consultants or service providers to (including Persons who are employed by or provide services to any entity that is itself a consultant or service provider to) the Company or any of its Subsidiaries or Affiliates.</w:t>
      </w:r>
    </w:p>
    <w:p>
      <w:pPr>
        <w:spacing w:after="0" w:line="118" w:lineRule="exact"/>
        <w:rPr>
          <w:rFonts w:ascii="Times New Roman" w:cs="Times New Roman" w:eastAsia="Times New Roman" w:hAnsi="Times New Roman"/>
          <w:sz w:val="12"/>
          <w:szCs w:val="12"/>
          <w:color w:val="auto"/>
        </w:rPr>
      </w:pPr>
    </w:p>
    <w:p>
      <w:pPr>
        <w:ind w:firstLine="424"/>
        <w:spacing w:after="0" w:line="279" w:lineRule="auto"/>
        <w:tabs>
          <w:tab w:leader="none" w:pos="604"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Awards to Non-Employee Directors</w:t>
      </w:r>
      <w:r>
        <w:rPr>
          <w:rFonts w:ascii="Times New Roman" w:cs="Times New Roman" w:eastAsia="Times New Roman" w:hAnsi="Times New Roman"/>
          <w:sz w:val="12"/>
          <w:szCs w:val="12"/>
          <w:color w:val="auto"/>
        </w:rPr>
        <w:t>. Notwithstanding anything to the contrary contained herein, the Board may, in its sole discretion, at any time and from time to time, grant Awards to Non-Employee Directors or administer the Plan with respect to such Awards. In any such case, the Board shall have all the authority and responsibility granted to the Administrator herein with respect to such Awards.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2"/>
          <w:szCs w:val="12"/>
          <w:b w:val="1"/>
          <w:bCs w:val="1"/>
          <w:color w:val="auto"/>
        </w:rPr>
        <w:t>1.3 Persons Eligible for Awards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The Persons eligible to receive Awards under the Plan are those directors, officers and employees (including any prospective director, officer or employee) of the Company and/or its Subsidiaries and Affiliates and consultants and service providers to (including Persons who are employed by or provide services to any entity that is itself a consultant or service provider to) the Company and its Subsidiaries and Affiliates (collectively, “</w:t>
      </w:r>
      <w:r>
        <w:rPr>
          <w:rFonts w:ascii="Times New Roman" w:cs="Times New Roman" w:eastAsia="Times New Roman" w:hAnsi="Times New Roman"/>
          <w:sz w:val="12"/>
          <w:szCs w:val="12"/>
          <w:b w:val="1"/>
          <w:bCs w:val="1"/>
          <w:color w:val="auto"/>
        </w:rPr>
        <w:t>Key Persons</w:t>
      </w:r>
      <w:r>
        <w:rPr>
          <w:rFonts w:ascii="Times New Roman" w:cs="Times New Roman" w:eastAsia="Times New Roman" w:hAnsi="Times New Roman"/>
          <w:sz w:val="12"/>
          <w:szCs w:val="12"/>
          <w:color w:val="auto"/>
        </w:rPr>
        <w:t>”) as the Administrator shall select.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1.4 Types of Awards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Awards may be made under the Plan in the form of (a) non-qualified stock options (i.e., stock options that are not “incentive stock options” for purposes of Sections 421 and 422 of the Code (as defined below)), (b) stock appreciation rights, (c) restricted stock, (d) restricted stock units, (e) dividend equivalents, (f) cash awards, (g) unrestricted stock and (h) other equity-based or equity-related Awards, all as more fully set forth in the Plan. The term “</w:t>
      </w:r>
      <w:r>
        <w:rPr>
          <w:rFonts w:ascii="Times New Roman" w:cs="Times New Roman" w:eastAsia="Times New Roman" w:hAnsi="Times New Roman"/>
          <w:sz w:val="12"/>
          <w:szCs w:val="12"/>
          <w:b w:val="1"/>
          <w:bCs w:val="1"/>
          <w:color w:val="auto"/>
        </w:rPr>
        <w:t>Award</w:t>
      </w:r>
      <w:r>
        <w:rPr>
          <w:rFonts w:ascii="Times New Roman" w:cs="Times New Roman" w:eastAsia="Times New Roman" w:hAnsi="Times New Roman"/>
          <w:sz w:val="12"/>
          <w:szCs w:val="12"/>
          <w:color w:val="auto"/>
        </w:rPr>
        <w:t>” means any of the foregoing that are granted under the Plan.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1.5 Shares Available for Awards; Adjustments for Changes in Capitalization</w:t>
      </w:r>
    </w:p>
    <w:p>
      <w:pPr>
        <w:spacing w:after="0" w:line="154" w:lineRule="exact"/>
        <w:rPr>
          <w:sz w:val="20"/>
          <w:szCs w:val="20"/>
          <w:color w:val="auto"/>
        </w:rPr>
      </w:pPr>
    </w:p>
    <w:p>
      <w:pPr>
        <w:ind w:left="580" w:hanging="156"/>
        <w:spacing w:after="0"/>
        <w:tabs>
          <w:tab w:leader="none" w:pos="5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Maximum Number</w:t>
      </w:r>
      <w:r>
        <w:rPr>
          <w:rFonts w:ascii="Times New Roman" w:cs="Times New Roman" w:eastAsia="Times New Roman" w:hAnsi="Times New Roman"/>
          <w:sz w:val="12"/>
          <w:szCs w:val="12"/>
          <w:color w:val="auto"/>
        </w:rPr>
        <w:t>. Subject to adjustment as provided in Section 1.5(c):</w:t>
      </w:r>
    </w:p>
    <w:p>
      <w:pPr>
        <w:spacing w:after="0" w:line="150" w:lineRule="exact"/>
        <w:rPr>
          <w:rFonts w:ascii="Times New Roman" w:cs="Times New Roman" w:eastAsia="Times New Roman" w:hAnsi="Times New Roman"/>
          <w:sz w:val="12"/>
          <w:szCs w:val="12"/>
          <w:color w:val="auto"/>
        </w:rPr>
      </w:pPr>
    </w:p>
    <w:p>
      <w:pPr>
        <w:jc w:val="both"/>
        <w:ind w:left="420" w:firstLine="436"/>
        <w:spacing w:after="0" w:line="255" w:lineRule="auto"/>
        <w:tabs>
          <w:tab w:leader="none" w:pos="1001"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maximum aggregate number of shares of Class A common stock of the Company, par value $0.01 (“Common Stock”), that may be delivered pursuant to Awards granted under the Plan shall be 5,842,500 (of which 2,909,361 have previously been delivered under the Original Plan (as defined in Section 3.12(a) hereof)). The following shares of Common Stock shall again become available for Awards under the Plan: (i) any shares that are subject to an Award under the Plan and that remain unissued upon the cancellation or termination of such Award for any reason whatsoever; (ii) any shares of restricted stock forfeited pursuant to the Plan or the applicable Award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dividend equivalent rights with respect to such shares that have not theretofore been directly remitted to the grantee are also forfeited; and (iii) any shares in respect of which an Award is settled for cash without the delivery of shares to the grantee. Any shares that are held back to satisfy the exercise price or tax withholding obligation pursuant to any stock options or stock appreciation rights granted under the Plan shall again become available to be delivered pursuant to Awards under the Plan. Awards that are payable solely in cash shall not be counted against the aggregate number of shares of Common Stock available for Awards under the Plan; and</w:t>
      </w:r>
    </w:p>
    <w:p>
      <w:pPr>
        <w:spacing w:after="0" w:line="125" w:lineRule="exact"/>
        <w:rPr>
          <w:rFonts w:ascii="Times New Roman" w:cs="Times New Roman" w:eastAsia="Times New Roman" w:hAnsi="Times New Roman"/>
          <w:sz w:val="12"/>
          <w:szCs w:val="12"/>
          <w:color w:val="auto"/>
        </w:rPr>
      </w:pPr>
    </w:p>
    <w:p>
      <w:pPr>
        <w:ind w:left="420" w:firstLine="436"/>
        <w:spacing w:after="0" w:line="279" w:lineRule="auto"/>
        <w:tabs>
          <w:tab w:leader="none" w:pos="1031"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Non-Employee Director of the Company may be granted options, stock appreciation rights, restricted stock, restricted stock units, dividend equivalents, unrestricted stock or other equity-based or equity-related Awards for more than 25,000 shares of Common Stock during any calendar year or cash awards under the Plan in excess of $100,000 during any calendar year, inclusive of Board, committee or other service fees.</w:t>
      </w:r>
    </w:p>
    <w:p>
      <w:pPr>
        <w:spacing w:after="0" w:line="111" w:lineRule="exact"/>
        <w:rPr>
          <w:rFonts w:ascii="Times New Roman" w:cs="Times New Roman" w:eastAsia="Times New Roman" w:hAnsi="Times New Roman"/>
          <w:sz w:val="12"/>
          <w:szCs w:val="12"/>
          <w:color w:val="auto"/>
        </w:rPr>
      </w:pPr>
    </w:p>
    <w:p>
      <w:pPr>
        <w:ind w:firstLine="424"/>
        <w:spacing w:after="0" w:line="279" w:lineRule="auto"/>
        <w:tabs>
          <w:tab w:leader="none" w:pos="602"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Source of Shares</w:t>
      </w:r>
      <w:r>
        <w:rPr>
          <w:rFonts w:ascii="Times New Roman" w:cs="Times New Roman" w:eastAsia="Times New Roman" w:hAnsi="Times New Roman"/>
          <w:sz w:val="12"/>
          <w:szCs w:val="12"/>
          <w:color w:val="auto"/>
        </w:rPr>
        <w:t>. Shares issued pursuant to the Plan may be authorized but unissued Common Stock or treasury shares. The Administrator may direct that any stock certificate evidencing shares issued pursuant to the Plan shall bear a legend setting forth such restrictions on transferability as may apply to such shares.</w:t>
      </w:r>
    </w:p>
    <w:p>
      <w:pPr>
        <w:spacing w:after="0" w:line="111"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Adjustments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20" w:firstLine="436"/>
        <w:spacing w:after="0" w:line="257" w:lineRule="auto"/>
        <w:tabs>
          <w:tab w:leader="none" w:pos="1001" w:val="left"/>
        </w:tabs>
        <w:numPr>
          <w:ilvl w:val="1"/>
          <w:numId w:val="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any dividend or other distribution (whether in the form of cash, Company shares, other securities or other property), stock split, reverse stock split, reorganization, merger, consolidation, split-up, combination, repurchase or exchange of Company shares or other securities of the Company, issuance of warrants or other rights to purchase Company shares or other securities of the Company, or other similar corporate transaction or event, other than an Equity Restructuring (as defined below), affects the Company shares such that an adjustment is determined by the Administrator to be appropriate in order to prevent dilution or enlargement of the benefits or potential benefits intended to be made available under the Plan or with respect to an Award, then the Administrator shall, in such manner as it may deem equitable, adjust any or all of the number of shares or other securities of the Company (or number and kind of other securities or property) with respect to which Awards may be granted under the Plan.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148" w:name="page149"/>
    <w:bookmarkEnd w:id="148"/>
    <w:p>
      <w:pPr>
        <w:jc w:val="both"/>
        <w:ind w:firstLine="436"/>
        <w:spacing w:after="0" w:line="254" w:lineRule="auto"/>
        <w:tabs>
          <w:tab w:leader="none" w:pos="611" w:val="left"/>
        </w:tabs>
        <w:numPr>
          <w:ilvl w:val="1"/>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shall make adjustments in the terms and conditions of, and the criteria included in, Awards in recognition of unusual or infrequently occurring events (including the events described in Section 1.5(c)(i) or the occurrence of a Change in Control (as defined below), other than an Equity Restructuring) affecting the Company, any Affiliate, or the financial statements of the Company or any Affiliate, or of changes in applicable rules, rulings, regulations or other requirements of any governmental body or securities exchange, accounting principles or law, whenever the Administrator determines that such adjustments are appropriate in order to prevent dilution or enlargement of the benefits or potential benefits intended to be made available under the Plan or with respect to an Award, including providing for (A) adjustment to (1) the number of shares or other securities of the Company (or number and kind of other securities or property) subject to outstanding Awards or to which outstanding Awards relate and (2) the Exercise Price (as defined below) with respect to any Award and</w:t>
      </w:r>
    </w:p>
    <w:p>
      <w:pPr>
        <w:jc w:val="both"/>
        <w:ind w:firstLine="4"/>
        <w:spacing w:after="0" w:line="252" w:lineRule="auto"/>
        <w:tabs>
          <w:tab w:leader="none" w:pos="194"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 substitution or assumption of Awards, accelerating the exercisability or vesting of, or lapse of restrictions on, Awards, or accelerating the termination of Awards by providing for a period of time for exercise prior to the occurrence of such event, or, if deemed appropriate or desirable, providing for a cash payment to the holder of an outstanding Award in consideration for the cancellation of such Award (it being understood that, in such event, any option or stock appreciation right having a per share Exercise Price equal to, or in excess of, the Fair Market Value (as defined below) of a share subject to such option or stock appreciation right may be cancelled and terminated without any payment or consideration therefor);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with respect to options and stock appreciation rights, unless otherwise determined by the Administrator, such adjustment shall be made in accordance with the provisions of Section 424(h) of the Code.(iii) In the event of (x) a dissolution or liquidation of the Company, (y) a sale of all or substantially all the Company’s assets or (z) a merger, reorganization or consolidation involving the Company or one of its Subsidiaries, the Administrator shall have the power to:</w:t>
      </w:r>
    </w:p>
    <w:p>
      <w:pPr>
        <w:spacing w:after="0" w:line="127" w:lineRule="exact"/>
        <w:rPr>
          <w:rFonts w:ascii="Times New Roman" w:cs="Times New Roman" w:eastAsia="Times New Roman" w:hAnsi="Times New Roman"/>
          <w:sz w:val="12"/>
          <w:szCs w:val="12"/>
          <w:color w:val="auto"/>
        </w:rPr>
      </w:pPr>
    </w:p>
    <w:p>
      <w:pPr>
        <w:ind w:firstLine="868"/>
        <w:spacing w:after="0" w:line="279" w:lineRule="auto"/>
        <w:tabs>
          <w:tab w:leader="none" w:pos="1062" w:val="left"/>
        </w:tabs>
        <w:numPr>
          <w:ilvl w:val="2"/>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outstanding options, stock appreciation rights, restricted stock units (including any related dividend equivalent right) and/or other Awards granted under the Plan shall either continue in effect, be assumed or an equivalent award shall be substituted therefor by the successor entity or a parent entity or subsidiary entity;</w:t>
      </w:r>
    </w:p>
    <w:p>
      <w:pPr>
        <w:spacing w:after="0" w:line="111" w:lineRule="exact"/>
        <w:rPr>
          <w:rFonts w:ascii="Times New Roman" w:cs="Times New Roman" w:eastAsia="Times New Roman" w:hAnsi="Times New Roman"/>
          <w:sz w:val="12"/>
          <w:szCs w:val="12"/>
          <w:color w:val="auto"/>
        </w:rPr>
      </w:pPr>
    </w:p>
    <w:p>
      <w:pPr>
        <w:jc w:val="both"/>
        <w:ind w:firstLine="868"/>
        <w:spacing w:after="0" w:line="257" w:lineRule="auto"/>
        <w:tabs>
          <w:tab w:leader="none" w:pos="1059" w:val="left"/>
        </w:tabs>
        <w:numPr>
          <w:ilvl w:val="2"/>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 effective immediately prior to the occurrence of such event, options, stock appreciation rights, restricted stock units (including each dividend equivalent right related thereto) and/or other Awards granted under the Plan outstanding immediately prior to such event (whether or not then exercisable) and, in full consideration of such cancellation, pay to the holder of such Award a cash payment in an amount equal to the excess, if any, of the Fair Market Value (as of a date specified by the Administrator) of the shares subject to such Award (or the value of such Award, as determined by the Administrator, if not based on the Fair Market Value of shares) over the aggregate Exercise Price of such Award (or the grant price of such Award, if any, if applicable) (it being understood that, in such event, any option or stock appreciation right having a per share Exercise Price equal to, or in excess of, the Fair Market Value of a share subject to such option or stock appreciation right may be cancelled and terminated without any payment or consideration therefor); or</w:t>
      </w:r>
    </w:p>
    <w:p>
      <w:pPr>
        <w:spacing w:after="0" w:line="125" w:lineRule="exact"/>
        <w:rPr>
          <w:rFonts w:ascii="Times New Roman" w:cs="Times New Roman" w:eastAsia="Times New Roman" w:hAnsi="Times New Roman"/>
          <w:sz w:val="12"/>
          <w:szCs w:val="12"/>
          <w:color w:val="auto"/>
        </w:rPr>
      </w:pPr>
    </w:p>
    <w:p>
      <w:pPr>
        <w:jc w:val="both"/>
        <w:ind w:right="20" w:firstLine="868"/>
        <w:spacing w:after="0" w:line="265" w:lineRule="auto"/>
        <w:tabs>
          <w:tab w:leader="none" w:pos="1056" w:val="left"/>
        </w:tabs>
        <w:numPr>
          <w:ilvl w:val="2"/>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holder of an option or stock appreciation right in writing or electronically that each option and stock appreciation right shall be fully vested and exercisable for a period of 30 days from the date of such notice, or such shorter period as the Administrator may determine to be reasonable, and the option or stock appreciation right shall terminate upon the expiration of such period (which period shall expire no later than immediately prior to the consummation of the corporate transaction).</w:t>
      </w:r>
    </w:p>
    <w:p>
      <w:pPr>
        <w:spacing w:after="0" w:line="1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97" w:right="299" w:bottom="1440" w:gutter="0" w:footer="0" w:header="0"/>
        </w:sectPr>
      </w:pPr>
    </w:p>
    <w:bookmarkStart w:id="149" w:name="page150"/>
    <w:bookmarkEnd w:id="149"/>
    <w:p>
      <w:pPr>
        <w:ind w:left="1060" w:hanging="204"/>
        <w:spacing w:after="0"/>
        <w:tabs>
          <w:tab w:leader="none" w:pos="1060" w:val="left"/>
        </w:tabs>
        <w:numPr>
          <w:ilvl w:val="0"/>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the occurrence of any Equity Restructuring, and notwithstanding anything to the contrary in this Section 1.5(c):</w:t>
      </w:r>
    </w:p>
    <w:p>
      <w:pPr>
        <w:spacing w:after="0" w:line="150" w:lineRule="exact"/>
        <w:rPr>
          <w:rFonts w:ascii="Times New Roman" w:cs="Times New Roman" w:eastAsia="Times New Roman" w:hAnsi="Times New Roman"/>
          <w:sz w:val="12"/>
          <w:szCs w:val="12"/>
          <w:color w:val="auto"/>
        </w:rPr>
      </w:pPr>
    </w:p>
    <w:p>
      <w:pPr>
        <w:ind w:left="1480" w:hanging="192"/>
        <w:spacing w:after="0"/>
        <w:tabs>
          <w:tab w:leader="none" w:pos="1480"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and type of securities or other property subject to each outstanding Award and the Exercise Price or grant price thereof, if applicable, shall be equitably adjusted; and</w:t>
      </w:r>
    </w:p>
    <w:p>
      <w:pPr>
        <w:spacing w:after="0" w:line="150" w:lineRule="exact"/>
        <w:rPr>
          <w:rFonts w:ascii="Times New Roman" w:cs="Times New Roman" w:eastAsia="Times New Roman" w:hAnsi="Times New Roman"/>
          <w:sz w:val="12"/>
          <w:szCs w:val="12"/>
          <w:color w:val="auto"/>
        </w:rPr>
      </w:pPr>
    </w:p>
    <w:p>
      <w:pPr>
        <w:jc w:val="both"/>
        <w:ind w:left="420" w:firstLine="868"/>
        <w:spacing w:after="0" w:line="265" w:lineRule="auto"/>
        <w:tabs>
          <w:tab w:leader="none" w:pos="1476" w:val="left"/>
        </w:tabs>
        <w:numPr>
          <w:ilvl w:val="1"/>
          <w:numId w:val="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shall make such equitable adjustments, if any, as the Administrator may deem appropriate to reflect such Equity Restructuring with respect to the aggregate number and kind of shares that may be issued under the Plan (including, but not limited to, adjustment of the limitation set forth in Section 1.5(a)). The adjustments provided under this Section 1.5(c)(iv) shall be nondiscretionary and shall be final and binding on the affected participant and the Company.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1.6 Definitions of Certain Terms</w:t>
      </w:r>
    </w:p>
    <w:p>
      <w:pPr>
        <w:spacing w:after="0" w:line="150" w:lineRule="exact"/>
        <w:rPr>
          <w:sz w:val="20"/>
          <w:szCs w:val="20"/>
          <w:color w:val="auto"/>
        </w:rPr>
      </w:pPr>
    </w:p>
    <w:p>
      <w:pPr>
        <w:ind w:firstLine="424"/>
        <w:spacing w:after="0" w:line="286" w:lineRule="auto"/>
        <w:tabs>
          <w:tab w:leader="none" w:pos="595"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shall mean (i) any entity that, directly or indirectly, is controlled by, controls or is under common control with, the Company and (ii) any entity in which the Company has a significant equity interest, in either case as determined by the Administrator.</w:t>
      </w:r>
    </w:p>
    <w:p>
      <w:pPr>
        <w:spacing w:after="0" w:line="107" w:lineRule="exact"/>
        <w:rPr>
          <w:rFonts w:ascii="Times New Roman" w:cs="Times New Roman" w:eastAsia="Times New Roman" w:hAnsi="Times New Roman"/>
          <w:sz w:val="12"/>
          <w:szCs w:val="12"/>
          <w:color w:val="auto"/>
        </w:rPr>
      </w:pPr>
    </w:p>
    <w:p>
      <w:pPr>
        <w:ind w:right="20" w:firstLine="424"/>
        <w:spacing w:after="0" w:line="279" w:lineRule="auto"/>
        <w:tabs>
          <w:tab w:leader="none" w:pos="608"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specifically set forth in the applicable Award Agreement, in connection with a termination of employment or consultancy/service relationship or a dismissal from Board membership, for purposes of the Plan, the term “</w:t>
      </w:r>
      <w:r>
        <w:rPr>
          <w:rFonts w:ascii="Times New Roman" w:cs="Times New Roman" w:eastAsia="Times New Roman" w:hAnsi="Times New Roman"/>
          <w:sz w:val="12"/>
          <w:szCs w:val="12"/>
          <w:b w:val="1"/>
          <w:bCs w:val="1"/>
          <w:color w:val="auto"/>
        </w:rPr>
        <w:t>for Cause</w:t>
      </w:r>
      <w:r>
        <w:rPr>
          <w:rFonts w:ascii="Times New Roman" w:cs="Times New Roman" w:eastAsia="Times New Roman" w:hAnsi="Times New Roman"/>
          <w:sz w:val="12"/>
          <w:szCs w:val="12"/>
          <w:color w:val="auto"/>
        </w:rPr>
        <w:t>” shall be defined as follows:</w:t>
      </w:r>
    </w:p>
    <w:p>
      <w:pPr>
        <w:spacing w:after="0" w:line="111" w:lineRule="exact"/>
        <w:rPr>
          <w:rFonts w:ascii="Times New Roman" w:cs="Times New Roman" w:eastAsia="Times New Roman" w:hAnsi="Times New Roman"/>
          <w:sz w:val="12"/>
          <w:szCs w:val="12"/>
          <w:color w:val="auto"/>
        </w:rPr>
      </w:pPr>
    </w:p>
    <w:p>
      <w:pPr>
        <w:ind w:left="420" w:firstLine="436"/>
        <w:spacing w:after="0" w:line="279" w:lineRule="auto"/>
        <w:tabs>
          <w:tab w:leader="none" w:pos="997"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an employment, severance, consulting, service or other agreement governing the relationship between the grantee, on the one hand, and the Company or any Subsidiary or Affiliate, on the other hand, that contains a definition of “cause” (or similar phrase), for purposes of the Plan, the term “for Cause” shall mean those acts or omissions that would constitute “cause” under such agreement; or</w:t>
      </w:r>
    </w:p>
    <w:p>
      <w:pPr>
        <w:spacing w:after="0" w:line="111" w:lineRule="exact"/>
        <w:rPr>
          <w:rFonts w:ascii="Times New Roman" w:cs="Times New Roman" w:eastAsia="Times New Roman" w:hAnsi="Times New Roman"/>
          <w:sz w:val="12"/>
          <w:szCs w:val="12"/>
          <w:color w:val="auto"/>
        </w:rPr>
      </w:pPr>
    </w:p>
    <w:p>
      <w:pPr>
        <w:ind w:left="1040" w:hanging="184"/>
        <w:spacing w:after="0"/>
        <w:tabs>
          <w:tab w:leader="none" w:pos="104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preceding clause (i) is not applicable to the grantee, for purposes of the Plan, the term “for Cause” shall mean any of the following:</w:t>
      </w:r>
    </w:p>
    <w:p>
      <w:pPr>
        <w:spacing w:after="0" w:line="150" w:lineRule="exact"/>
        <w:rPr>
          <w:rFonts w:ascii="Times New Roman" w:cs="Times New Roman" w:eastAsia="Times New Roman" w:hAnsi="Times New Roman"/>
          <w:sz w:val="12"/>
          <w:szCs w:val="12"/>
          <w:color w:val="auto"/>
        </w:rPr>
      </w:pPr>
    </w:p>
    <w:p>
      <w:pPr>
        <w:ind w:left="1480" w:hanging="192"/>
        <w:spacing w:after="0"/>
        <w:tabs>
          <w:tab w:leader="none" w:pos="1480" w:val="left"/>
        </w:tabs>
        <w:numPr>
          <w:ilvl w:val="2"/>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the grantee substantially to perform the grantee’s employment or consulting/service or Board membership duties;</w:t>
      </w:r>
    </w:p>
    <w:p>
      <w:pPr>
        <w:spacing w:after="0" w:line="150" w:lineRule="exact"/>
        <w:rPr>
          <w:rFonts w:ascii="Times New Roman" w:cs="Times New Roman" w:eastAsia="Times New Roman" w:hAnsi="Times New Roman"/>
          <w:sz w:val="12"/>
          <w:szCs w:val="12"/>
          <w:color w:val="auto"/>
        </w:rPr>
      </w:pPr>
    </w:p>
    <w:p>
      <w:pPr>
        <w:ind w:left="1480" w:hanging="192"/>
        <w:spacing w:after="0"/>
        <w:tabs>
          <w:tab w:leader="none" w:pos="1480" w:val="left"/>
        </w:tabs>
        <w:numPr>
          <w:ilvl w:val="2"/>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excessive unauthorized absenteeism by the grantee;</w:t>
      </w:r>
    </w:p>
    <w:p>
      <w:pPr>
        <w:spacing w:after="0" w:line="150" w:lineRule="exact"/>
        <w:rPr>
          <w:rFonts w:ascii="Times New Roman" w:cs="Times New Roman" w:eastAsia="Times New Roman" w:hAnsi="Times New Roman"/>
          <w:sz w:val="12"/>
          <w:szCs w:val="12"/>
          <w:color w:val="auto"/>
        </w:rPr>
      </w:pPr>
    </w:p>
    <w:p>
      <w:pPr>
        <w:ind w:left="1480" w:hanging="192"/>
        <w:spacing w:after="0"/>
        <w:tabs>
          <w:tab w:leader="none" w:pos="1480" w:val="left"/>
        </w:tabs>
        <w:numPr>
          <w:ilvl w:val="2"/>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refusal by the grantee to obey the lawful orders of the Board or any other Person to whom the grantee reports;</w:t>
      </w:r>
    </w:p>
    <w:p>
      <w:pPr>
        <w:spacing w:after="0" w:line="150" w:lineRule="exact"/>
        <w:rPr>
          <w:rFonts w:ascii="Times New Roman" w:cs="Times New Roman" w:eastAsia="Times New Roman" w:hAnsi="Times New Roman"/>
          <w:sz w:val="12"/>
          <w:szCs w:val="12"/>
          <w:color w:val="auto"/>
        </w:rPr>
      </w:pPr>
    </w:p>
    <w:p>
      <w:pPr>
        <w:ind w:left="1480" w:hanging="192"/>
        <w:spacing w:after="0"/>
        <w:tabs>
          <w:tab w:leader="none" w:pos="1480" w:val="left"/>
        </w:tabs>
        <w:numPr>
          <w:ilvl w:val="2"/>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or omission by the grantee that is or may be injurious to the Company or any Subsidiary or Affiliate, whether monetarily, reputationally or otherwise;</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7" w:right="299" w:bottom="1440" w:gutter="0" w:footer="0" w:header="0"/>
        </w:sectPr>
      </w:pPr>
    </w:p>
    <w:bookmarkStart w:id="150" w:name="page151"/>
    <w:bookmarkEnd w:id="150"/>
    <w:p>
      <w:pPr>
        <w:ind w:left="1060" w:hanging="192"/>
        <w:spacing w:after="0"/>
        <w:tabs>
          <w:tab w:leader="none" w:pos="10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by the grantee that is inconsistent with the best interests of the Company or any Subsidiary or Affiliate;</w:t>
      </w:r>
    </w:p>
    <w:p>
      <w:pPr>
        <w:spacing w:after="0" w:line="150" w:lineRule="exact"/>
        <w:rPr>
          <w:rFonts w:ascii="Times New Roman" w:cs="Times New Roman" w:eastAsia="Times New Roman" w:hAnsi="Times New Roman"/>
          <w:sz w:val="12"/>
          <w:szCs w:val="12"/>
          <w:color w:val="auto"/>
        </w:rPr>
      </w:pPr>
    </w:p>
    <w:p>
      <w:pPr>
        <w:ind w:left="1040" w:hanging="172"/>
        <w:spacing w:after="0"/>
        <w:tabs>
          <w:tab w:leader="none" w:pos="104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grantee’s gross negligence that is injurious to the Company or any Subsidiary or Affiliate, whether monetarily, reputationally or otherwise;</w:t>
      </w:r>
    </w:p>
    <w:p>
      <w:pPr>
        <w:spacing w:after="0" w:line="150" w:lineRule="exact"/>
        <w:rPr>
          <w:rFonts w:ascii="Times New Roman" w:cs="Times New Roman" w:eastAsia="Times New Roman" w:hAnsi="Times New Roman"/>
          <w:sz w:val="12"/>
          <w:szCs w:val="12"/>
          <w:color w:val="auto"/>
        </w:rPr>
      </w:pPr>
    </w:p>
    <w:p>
      <w:pPr>
        <w:ind w:left="1080" w:hanging="212"/>
        <w:spacing w:after="0"/>
        <w:tabs>
          <w:tab w:leader="none" w:pos="108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grantee’s material violation of any of the policies of the Company or any Subsidiary or Affiliate, as applicable, including, without limitation, those policies relating to discrimination or sexual</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harassment;</w:t>
      </w:r>
    </w:p>
    <w:p>
      <w:pPr>
        <w:spacing w:after="0" w:line="139" w:lineRule="exact"/>
        <w:rPr>
          <w:sz w:val="20"/>
          <w:szCs w:val="20"/>
          <w:color w:val="auto"/>
        </w:rPr>
      </w:pPr>
    </w:p>
    <w:p>
      <w:pPr>
        <w:ind w:left="1060" w:hanging="192"/>
        <w:spacing w:after="0"/>
        <w:tabs>
          <w:tab w:leader="none" w:pos="10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grantee’s material breach of his or her employment or service contract with the Company or any Subsidiary or Affiliate;</w:t>
      </w:r>
    </w:p>
    <w:p>
      <w:pPr>
        <w:spacing w:after="0" w:line="150" w:lineRule="exact"/>
        <w:rPr>
          <w:rFonts w:ascii="Times New Roman" w:cs="Times New Roman" w:eastAsia="Times New Roman" w:hAnsi="Times New Roman"/>
          <w:sz w:val="12"/>
          <w:szCs w:val="12"/>
          <w:color w:val="auto"/>
        </w:rPr>
      </w:pPr>
    </w:p>
    <w:p>
      <w:pPr>
        <w:ind w:firstLine="868"/>
        <w:spacing w:after="0" w:line="279" w:lineRule="auto"/>
        <w:tabs>
          <w:tab w:leader="none" w:pos="1015"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grantee’s unauthorized (1) removal from the premises of the Company or any Subsidiary or Affiliate of any document (in any medium or form) relating to the Company or any Subsidiary or Affiliate or the customers or clients of the Company or any Subsidiary or Affiliate or (2) disclosure to any Person of any of the Company’s, or any Subsidiary’s or Affiliate’s, confidential or proprietary information;</w:t>
      </w:r>
    </w:p>
    <w:p>
      <w:pPr>
        <w:spacing w:after="0" w:line="111" w:lineRule="exact"/>
        <w:rPr>
          <w:rFonts w:ascii="Times New Roman" w:cs="Times New Roman" w:eastAsia="Times New Roman" w:hAnsi="Times New Roman"/>
          <w:sz w:val="12"/>
          <w:szCs w:val="12"/>
          <w:color w:val="auto"/>
        </w:rPr>
      </w:pPr>
    </w:p>
    <w:p>
      <w:pPr>
        <w:ind w:left="1020" w:hanging="152"/>
        <w:spacing w:after="0"/>
        <w:tabs>
          <w:tab w:leader="none" w:pos="10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grantee’s being convicted of, or entering a plea of guilty or nolo contendere to, any crime that constitutes a felony or involves moral turpitude; and</w:t>
      </w:r>
    </w:p>
    <w:p>
      <w:pPr>
        <w:spacing w:after="0" w:line="150" w:lineRule="exact"/>
        <w:rPr>
          <w:rFonts w:ascii="Times New Roman" w:cs="Times New Roman" w:eastAsia="Times New Roman" w:hAnsi="Times New Roman"/>
          <w:sz w:val="12"/>
          <w:szCs w:val="12"/>
          <w:color w:val="auto"/>
        </w:rPr>
      </w:pPr>
    </w:p>
    <w:p>
      <w:pPr>
        <w:ind w:left="1060" w:hanging="192"/>
        <w:spacing w:after="0"/>
        <w:tabs>
          <w:tab w:leader="none" w:pos="106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grantee’s commission of any act involving dishonesty or fraud.</w:t>
      </w:r>
    </w:p>
    <w:p>
      <w:pPr>
        <w:spacing w:after="0" w:line="15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Any rights the Company or any Subsidiary or Affiliate may have under the Plan in respect of the events giving rise to a termination or dismissal “for Cause” shall be in addition to any other rights the Company or any Subsidiary or Affiliate may have under any other agreement with a grantee or at law or in equity. Any determination of whether a grantee’s employment or consultancy/service relationship is (or is deemed to have been) terminated “for Cause” shall be made by the Administrator, provided that, if there is an employment, severance, consulting, service or other agreement governing the relationship between the grantee, on the one hand, and the Company or any Subsidiary or Affiliate, on the other hand, that contains a definition of “cause” (or similar phrase), for purposes of the Plan, any determination of whether such grantee’s employment or consultancy/service relationship is (or is deemed to have been) terminated “for Cause” shall be made as provided in such agreement. If, subsequent to a grantee’s voluntary termination of employment or consultancy/service relationship or involuntary termination of employment or consultancy/service relationship without Cause, it is discovered that the grantee’s employment or consultancy/service relationship could have been terminated “for Cause”, the Administrator may deem such grantee’s employment or consultancy/service relationship to have been terminated “for Cause” upon such discovery and determination by the Administrator,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there is an employment, severance, consulting, service or other agreement governing the relationship between the grantee, on the one hand, and the Company or any Subsidiary or Affiliate, on the other hand, that contains a definition of “cause” (or similar phrase), for purposes of this sentence, any determination of whether such grantee’s employment or consultancy/service relationship may be deemed to have been terminated “for Cause” shall be made by the person(s) responsible for determining whether “cause” (or similar phrase) existed under such agreement.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shall mean the Internal Revenue Code of 1986, as amended.</w:t>
      </w:r>
    </w:p>
    <w:p>
      <w:pPr>
        <w:spacing w:after="0" w:line="22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151" w:name="page152"/>
    <w:bookmarkEnd w:id="151"/>
    <w:p>
      <w:pPr>
        <w:jc w:val="both"/>
        <w:ind w:firstLine="424"/>
        <w:spacing w:after="0" w:line="255" w:lineRule="auto"/>
        <w:tabs>
          <w:tab w:leader="none" w:pos="605"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specifically set forth in the applicable Award Agreement, “</w:t>
      </w:r>
      <w:r>
        <w:rPr>
          <w:rFonts w:ascii="Times New Roman" w:cs="Times New Roman" w:eastAsia="Times New Roman" w:hAnsi="Times New Roman"/>
          <w:sz w:val="12"/>
          <w:szCs w:val="12"/>
          <w:b w:val="1"/>
          <w:bCs w:val="1"/>
          <w:color w:val="auto"/>
        </w:rPr>
        <w:t>Disability</w:t>
      </w:r>
      <w:r>
        <w:rPr>
          <w:rFonts w:ascii="Times New Roman" w:cs="Times New Roman" w:eastAsia="Times New Roman" w:hAnsi="Times New Roman"/>
          <w:sz w:val="12"/>
          <w:szCs w:val="12"/>
          <w:color w:val="auto"/>
        </w:rPr>
        <w:t xml:space="preserve">” shall mean the grantee’s being unable to engage in any substantial gainful activity by reason of any medically determinable physical or mental impairment that can be expected to result in death or can be expected to last for a continuous period of not less than 12 months, or the grantee receiving income replacement benefits for a period of not less than three months under an accident and health plan covering employees of the grantee’s employer by reason of any medically determinable physical or mental impairment that can be expected to result in death or can be expected to last for a continuous period of not less than 12 months;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there is an employment, severance, consulting, service or other agreement governing the relationship between the grantee, on the one hand, and the Company or any Subsidiary or Affiliate, on the other hand, that contains a definition of “disability” (or similar phrase), for purposes of the Plan, the term “Disability” shall have the meaning ascribed to “disability” (or such similar phrase) under such agreement. The existence of a Disability shall be determined by the Administrator;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if there is an employment, severance, consulting, service or other agreement governing the relationship between the grantee, on the one hand, and the Company or any Subsidiary or Affiliate, on the other hand, that contains a definition of “disability” (or similar phrase), for purposes of the Plan, any determination of whether a “Disability” exists for purposes of the Plan in respect of such grantee shall be made as provided in such agreement.</w:t>
      </w:r>
    </w:p>
    <w:p>
      <w:pPr>
        <w:spacing w:after="0" w:line="123" w:lineRule="exact"/>
        <w:rPr>
          <w:rFonts w:ascii="Times New Roman" w:cs="Times New Roman" w:eastAsia="Times New Roman" w:hAnsi="Times New Roman"/>
          <w:sz w:val="12"/>
          <w:szCs w:val="12"/>
          <w:color w:val="auto"/>
        </w:rPr>
      </w:pPr>
    </w:p>
    <w:p>
      <w:pPr>
        <w:ind w:firstLine="424"/>
        <w:spacing w:after="0" w:line="286" w:lineRule="auto"/>
        <w:tabs>
          <w:tab w:leader="none" w:pos="595"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Equity Restructuring</w:t>
      </w:r>
      <w:r>
        <w:rPr>
          <w:rFonts w:ascii="Times New Roman" w:cs="Times New Roman" w:eastAsia="Times New Roman" w:hAnsi="Times New Roman"/>
          <w:sz w:val="12"/>
          <w:szCs w:val="12"/>
          <w:color w:val="auto"/>
        </w:rPr>
        <w:t>” shall mean a non-reciprocal transaction between the Company and its stockholders, such as a stock dividend, stock split, spin-off, rights offering or recapitalization through a large, nonrecurring cash dividend, that affects the shares of Common Stock (or other securities of the Company) or the share price thereof and causes a change in the per share value of the shares underlying outstanding Awards.</w:t>
      </w:r>
    </w:p>
    <w:p>
      <w:pPr>
        <w:spacing w:after="0" w:line="103" w:lineRule="exact"/>
        <w:rPr>
          <w:rFonts w:ascii="Times New Roman" w:cs="Times New Roman" w:eastAsia="Times New Roman" w:hAnsi="Times New Roman"/>
          <w:sz w:val="12"/>
          <w:szCs w:val="12"/>
          <w:color w:val="auto"/>
        </w:rPr>
      </w:pPr>
    </w:p>
    <w:p>
      <w:pPr>
        <w:ind w:firstLine="424"/>
        <w:spacing w:after="0" w:line="286" w:lineRule="auto"/>
        <w:tabs>
          <w:tab w:leader="none" w:pos="582"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Exercise Price</w:t>
      </w:r>
      <w:r>
        <w:rPr>
          <w:rFonts w:ascii="Times New Roman" w:cs="Times New Roman" w:eastAsia="Times New Roman" w:hAnsi="Times New Roman"/>
          <w:sz w:val="12"/>
          <w:szCs w:val="12"/>
          <w:color w:val="auto"/>
        </w:rPr>
        <w:t>” shall mean (i) in the case of options, the price specified in the applicable Award Agreement as the price-per-share at which such share can be purchased pursuant to the option or (ii) in the case of stock appreciation rights, the price specified in the applicable Award Agreement as the reference price-per-share used to calculate the amount payable to the grantee.</w:t>
      </w:r>
    </w:p>
    <w:p>
      <w:pPr>
        <w:spacing w:after="0" w:line="103" w:lineRule="exact"/>
        <w:rPr>
          <w:rFonts w:ascii="Times New Roman" w:cs="Times New Roman" w:eastAsia="Times New Roman" w:hAnsi="Times New Roman"/>
          <w:sz w:val="12"/>
          <w:szCs w:val="12"/>
          <w:color w:val="auto"/>
        </w:rPr>
      </w:pPr>
    </w:p>
    <w:p>
      <w:pPr>
        <w:jc w:val="both"/>
        <w:ind w:firstLine="424"/>
        <w:spacing w:after="0" w:line="257" w:lineRule="auto"/>
        <w:tabs>
          <w:tab w:leader="none" w:pos="60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Fair Market Value</w:t>
      </w:r>
      <w:r>
        <w:rPr>
          <w:rFonts w:ascii="Times New Roman" w:cs="Times New Roman" w:eastAsia="Times New Roman" w:hAnsi="Times New Roman"/>
          <w:sz w:val="12"/>
          <w:szCs w:val="12"/>
          <w:color w:val="auto"/>
        </w:rPr>
        <w:t>” of a share of Common Stock on any day shall be the closing price on the New York Stock Exchange, or such other primary stock exchange upon which such shares are then listed, as reported for such day in The Wall Street Journal (or, if not reported in The Wall Street Journal, such other reliable source as the Administrator may determine), or, if no such price is reported for such day, the average of the high bid and low asked price of Common Stock as reported for such day. If no quotation is made for the applicable day, the Fair Market Value of a share of Common Stock on such day shall be determined in the manner set forth in the preceding sentence for the next preceding trading day. Notwithstanding the foregoing, if there is no reported closing price or high bid/low asked price that satisfies the preceding sentences, or if otherwise deemed necessary or appropriate by the Administrator, the Fair Market Value of a share of Common Stock on any day shall be determined by such methods and procedures as shall be established from time to time by the Administrator. The “Fair Market Value” of any property other than Common Stock shall be the fair market value of such property determined by such methods and procedures as shall be established from time to time by the Administrator.</w:t>
      </w:r>
    </w:p>
    <w:p>
      <w:pPr>
        <w:spacing w:after="0" w:line="139"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shall mean any individual, firm, corporation, partnership, limited liability company, trust, incorporated or unincorporated association, joint venture, joint stock company, governmental body or other entity of any</w:t>
      </w:r>
    </w:p>
    <w:p>
      <w:pPr>
        <w:spacing w:after="0" w:line="20"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kind.</w:t>
      </w:r>
    </w:p>
    <w:p>
      <w:pPr>
        <w:spacing w:after="0" w:line="135" w:lineRule="exact"/>
        <w:rPr>
          <w:rFonts w:ascii="Times New Roman" w:cs="Times New Roman" w:eastAsia="Times New Roman" w:hAnsi="Times New Roman"/>
          <w:sz w:val="12"/>
          <w:szCs w:val="12"/>
          <w:color w:val="auto"/>
        </w:rPr>
      </w:pPr>
    </w:p>
    <w:p>
      <w:pPr>
        <w:jc w:val="both"/>
        <w:ind w:right="20" w:firstLine="424"/>
        <w:spacing w:after="0" w:line="268" w:lineRule="auto"/>
        <w:tabs>
          <w:tab w:leader="none" w:pos="575"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Repricing</w:t>
      </w:r>
      <w:r>
        <w:rPr>
          <w:rFonts w:ascii="Times New Roman" w:cs="Times New Roman" w:eastAsia="Times New Roman" w:hAnsi="Times New Roman"/>
          <w:sz w:val="12"/>
          <w:szCs w:val="12"/>
          <w:color w:val="auto"/>
        </w:rPr>
        <w:t>” shall mean (i) lowering the Exercise Price of an option or a stock appreciation right after it has been granted, (ii) the cancellation of an option or a stock appreciation right in exchange for cash or another Award when the Exercise Price exceeds the Fair Market Value of the underlying shares subject to the Award and (iii) any other action with respect to an option or a stock appreciation right that is treated as a repricing under (A) generally accepted accounting principles or (B) any applicable stock exchange rules.</w:t>
      </w:r>
    </w:p>
    <w:p>
      <w:pPr>
        <w:spacing w:after="0" w:line="113" w:lineRule="exact"/>
        <w:rPr>
          <w:rFonts w:ascii="Times New Roman" w:cs="Times New Roman" w:eastAsia="Times New Roman" w:hAnsi="Times New Roman"/>
          <w:sz w:val="12"/>
          <w:szCs w:val="12"/>
          <w:color w:val="auto"/>
        </w:rPr>
      </w:pPr>
    </w:p>
    <w:p>
      <w:pPr>
        <w:ind w:left="560" w:hanging="136"/>
        <w:spacing w:after="0"/>
        <w:tabs>
          <w:tab w:leader="none" w:pos="56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shall mean any entity in which the Company, directly or indirectly, has a 50% or more equity interest.</w:t>
      </w: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Awards Under The Plan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 Agreements Evidencing Awards</w:t>
      </w:r>
    </w:p>
    <w:p>
      <w:pPr>
        <w:spacing w:after="0" w:line="150"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2"/>
          <w:szCs w:val="12"/>
          <w:color w:val="auto"/>
        </w:rPr>
        <w:t>Each Award granted under the Plan shall be evidenced by a written certificate (“</w:t>
      </w:r>
      <w:r>
        <w:rPr>
          <w:rFonts w:ascii="Times New Roman" w:cs="Times New Roman" w:eastAsia="Times New Roman" w:hAnsi="Times New Roman"/>
          <w:sz w:val="12"/>
          <w:szCs w:val="12"/>
          <w:b w:val="1"/>
          <w:bCs w:val="1"/>
          <w:color w:val="auto"/>
        </w:rPr>
        <w:t>Award Agreement</w:t>
      </w:r>
      <w:r>
        <w:rPr>
          <w:rFonts w:ascii="Times New Roman" w:cs="Times New Roman" w:eastAsia="Times New Roman" w:hAnsi="Times New Roman"/>
          <w:sz w:val="12"/>
          <w:szCs w:val="12"/>
          <w:color w:val="auto"/>
        </w:rPr>
        <w:t>”), which shall contain such provisions as the Administrator may deem necessary or desirable and which may, but need not, require execution or acknowledgment by a grantee. The Award shall be subject to all of the terms and provisions of the Plan and the applicable Award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2.2 Grant of Stock Options and Stock Appreciation Rights</w:t>
      </w:r>
    </w:p>
    <w:p>
      <w:pPr>
        <w:spacing w:after="0" w:line="150" w:lineRule="exact"/>
        <w:rPr>
          <w:sz w:val="20"/>
          <w:szCs w:val="20"/>
          <w:color w:val="auto"/>
        </w:rPr>
      </w:pPr>
    </w:p>
    <w:p>
      <w:pPr>
        <w:jc w:val="both"/>
        <w:ind w:firstLine="424"/>
        <w:spacing w:after="0" w:line="259" w:lineRule="auto"/>
        <w:tabs>
          <w:tab w:leader="none" w:pos="595"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Option Grants</w:t>
      </w:r>
      <w:r>
        <w:rPr>
          <w:rFonts w:ascii="Times New Roman" w:cs="Times New Roman" w:eastAsia="Times New Roman" w:hAnsi="Times New Roman"/>
          <w:sz w:val="12"/>
          <w:szCs w:val="12"/>
          <w:color w:val="auto"/>
        </w:rPr>
        <w:t>. The Administrator may grant non-qualified stock options (“</w:t>
      </w:r>
      <w:r>
        <w:rPr>
          <w:rFonts w:ascii="Times New Roman" w:cs="Times New Roman" w:eastAsia="Times New Roman" w:hAnsi="Times New Roman"/>
          <w:sz w:val="12"/>
          <w:szCs w:val="12"/>
          <w:b w:val="1"/>
          <w:bCs w:val="1"/>
          <w:color w:val="auto"/>
        </w:rPr>
        <w:t>options</w:t>
      </w:r>
      <w:r>
        <w:rPr>
          <w:rFonts w:ascii="Times New Roman" w:cs="Times New Roman" w:eastAsia="Times New Roman" w:hAnsi="Times New Roman"/>
          <w:sz w:val="12"/>
          <w:szCs w:val="12"/>
          <w:color w:val="auto"/>
        </w:rPr>
        <w:t>”) to purchase shares of Common Stock from the Company to such Key Persons, and in such amounts and subject to such vesting and forfeiture provisions and other terms and conditions, as the Administrator shall determine, subject to the provisions of the Plan. No option will be treated as an “incentive stock option” for purposes of the Code. It shall be the intent of the Administrator to not grant an Award in the form of stock options to any Key Person who is then subject to the requirements of Section 409A of the Code with respect to such Award if the Common Stock underlying such Award does not then qualify as “service recipient stock” for purposes of Section 409A. Furthermore, it shall be the intent of the Administrator, in granting options to Key Persons who are subject to Section 409A and/or Section 457A of the Code, to structure such options so as to comply with the requirements of Section 409A and/or Section 457A of the Code, as applicable.</w:t>
      </w:r>
    </w:p>
    <w:p>
      <w:pPr>
        <w:spacing w:after="0" w:line="123" w:lineRule="exact"/>
        <w:rPr>
          <w:rFonts w:ascii="Times New Roman" w:cs="Times New Roman" w:eastAsia="Times New Roman" w:hAnsi="Times New Roman"/>
          <w:sz w:val="12"/>
          <w:szCs w:val="12"/>
          <w:color w:val="auto"/>
        </w:rPr>
      </w:pPr>
    </w:p>
    <w:p>
      <w:pPr>
        <w:jc w:val="both"/>
        <w:ind w:firstLine="424"/>
        <w:spacing w:after="0" w:line="255" w:lineRule="auto"/>
        <w:tabs>
          <w:tab w:leader="none" w:pos="602"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 Appreciation Right Grants; Types of Stock Appreciation Rights</w:t>
      </w:r>
      <w:r>
        <w:rPr>
          <w:rFonts w:ascii="Times New Roman" w:cs="Times New Roman" w:eastAsia="Times New Roman" w:hAnsi="Times New Roman"/>
          <w:sz w:val="12"/>
          <w:szCs w:val="12"/>
          <w:color w:val="auto"/>
        </w:rPr>
        <w:t>. The Administrator may grant stock appreciation rights to such Key Persons, and in such amounts and subject to such vesting and forfeiture provisions and other terms and conditions, as the Administrator shall determine, subject to the provisions of the Plan. The terms of a stock appreciation right may provide that it shall be automatically exercised for a payment upon the happening of a specified event that is outside the control of the grantee and that it shall not be otherwise exercisable. Stock appreciation rights may be granted in connection with all or any part of, or independently of, any option granted under the Plan. It shall be the intent of the Administrator to not grant an Award in the form of stock appreciation rights to any Key Person (i) who is then subject to the requirements of Section 409A of the Code with respect to such Award if the Common Stock underlying such Award does not then qualify as “service recipient stock” for purposes of Section 409A or (ii) if such Award would create adverse tax consequences for such Key Person under Section 457A of the Code. Furthermore, it shall be the intent of the Administrator, in granting stock appreciation rights to Key Persons who are subject to Section 409A and/or Section 457A of the Code, to structure such stock appreciation rights so as to comply with the requirements of Section 409A and/or Section 457A of the Code, to the extent applicable.</w:t>
      </w:r>
    </w:p>
    <w:p>
      <w:pPr>
        <w:spacing w:after="0" w:line="125" w:lineRule="exact"/>
        <w:rPr>
          <w:rFonts w:ascii="Times New Roman" w:cs="Times New Roman" w:eastAsia="Times New Roman" w:hAnsi="Times New Roman"/>
          <w:sz w:val="12"/>
          <w:szCs w:val="12"/>
          <w:color w:val="auto"/>
        </w:rPr>
      </w:pPr>
    </w:p>
    <w:p>
      <w:pPr>
        <w:jc w:val="both"/>
        <w:ind w:firstLine="424"/>
        <w:spacing w:after="0" w:line="253" w:lineRule="auto"/>
        <w:tabs>
          <w:tab w:leader="none" w:pos="595" w:val="left"/>
        </w:tabs>
        <w:numPr>
          <w:ilvl w:val="0"/>
          <w:numId w:val="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Nature of Stock Appreciation Rights</w:t>
      </w:r>
      <w:r>
        <w:rPr>
          <w:rFonts w:ascii="Times New Roman" w:cs="Times New Roman" w:eastAsia="Times New Roman" w:hAnsi="Times New Roman"/>
          <w:sz w:val="12"/>
          <w:szCs w:val="12"/>
          <w:color w:val="auto"/>
        </w:rPr>
        <w:t xml:space="preserve">. The grantee of a stock appreciation right shall have the right, subject to the terms of the Plan and the applicable Award Agreement, to receive from the Company an amount equal to (i) the excess of the Fair Market Value of a share of Common Stock on the date of exercise of the stock appreciation right over the Exercise Price of the stock appreciation right, multiplied by (ii) the number of shares with respect to which the stock appreciation right is exercised. Each Award Agreement with respect to a stock appreciation right shall set forth the Exercise Price of such Award and, unless otherwise specifically provided in the Award Agreement, the Exercise Price of a stock appreciation right shall equal the Fair Market Value of a share of Common Stock on the date of grant;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may such Exercise Price be less than the greater of (A) the Fair Market Value of a share of Common Stock on the date of grant and (B) the par value of a share of Common Stock. Payment upon exercise of a stock appreciation right shall be in cash or in shares of Common Stock (valued at their Fair Market Value on the date of exercise of the stock appreciation right) or any combination of both, all as the Administrator shall determine. Repricing of stock appreciation rights granted under the Plan shall not be permitted (1) to the extent such action could cause adverse tax consequences to the grantee under Section 409A or Section 457A of the Code or (2) without prior shareholder approval, to the extent such approval would be required to be obtained by the Company pursuant to the applicable rules of any applicable stock exchange on which the Common Stock is then listed, and any action that would be deemed to result in a Repricing of a stock appreciation right shall be deemed null and void if it would cause such adverse tax consequences or if any requisite shareholder approval related thereto is not obtained prior to the effective time of such action. Upon the exercise of a stock appreciation right granted in connection with an option, the number of shares subject to the option shall be reduced by the number of shares with respect to which the stock appreciation right is exercised. Upon the exercise of an option in connection with which a stock appreciation right has been granted, the number of shares subject to the stock appreciation right shall be reduced by the number of shares with respect to which the option is exercised.</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53" w:name="page154"/>
    <w:bookmarkEnd w:id="153"/>
    <w:p>
      <w:pPr>
        <w:jc w:val="both"/>
        <w:ind w:firstLine="424"/>
        <w:spacing w:after="0" w:line="256" w:lineRule="auto"/>
        <w:tabs>
          <w:tab w:leader="none" w:pos="602" w:val="left"/>
        </w:tabs>
        <w:numPr>
          <w:ilvl w:val="0"/>
          <w:numId w:val="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Option Exercise Price</w:t>
      </w:r>
      <w:r>
        <w:rPr>
          <w:rFonts w:ascii="Times New Roman" w:cs="Times New Roman" w:eastAsia="Times New Roman" w:hAnsi="Times New Roman"/>
          <w:sz w:val="12"/>
          <w:szCs w:val="12"/>
          <w:color w:val="auto"/>
        </w:rPr>
        <w:t xml:space="preserve">. Each Award Agreement with respect to an option shall set forth the Exercise Price of such Award and, unless otherwise specifically provided in the Award Agreement, the Exercise Price of an option shall equal the Fair Market Value of a share of Common Stock on the date of grant;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may such Exercise Price be less than the greater of (i) the Fair Market Value of a share of Common Stock on the date of grant and (ii) the par value of a share of Common Stock. Repricing of options granted under the Plan shall not be permitted (1) to the extent such action could cause adverse tax consequences to the grantee under Section 409A or Section 457A of the Code or (2) without prior shareholder approval, to the extent such approval would be required to be obtained by the Company pursuant to the applicable rules of any applicable stock exchange on which the Common Stock is then listed, and any action that would be deemed to result in a Repricing of an option shall be deemed null and void if it would cause such adverse tax consequences or if any requisite shareholder approval related thereto is not obtained prior to the effective time of such action.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2.3 Exercise of Options and Stock Appreciation Rights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Subject to the other provisions of this Article II and the Plan, each option and stock appreciation right granted under the Plan shall be exercisable as follows:</w:t>
      </w:r>
    </w:p>
    <w:p>
      <w:pPr>
        <w:spacing w:after="0" w:line="150" w:lineRule="exact"/>
        <w:rPr>
          <w:sz w:val="20"/>
          <w:szCs w:val="20"/>
          <w:color w:val="auto"/>
        </w:rPr>
      </w:pPr>
    </w:p>
    <w:p>
      <w:pPr>
        <w:jc w:val="both"/>
        <w:ind w:firstLine="424"/>
        <w:spacing w:after="0" w:line="265" w:lineRule="auto"/>
        <w:tabs>
          <w:tab w:leader="none" w:pos="59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Timing and Extent of Exercise</w:t>
      </w:r>
      <w:r>
        <w:rPr>
          <w:rFonts w:ascii="Times New Roman" w:cs="Times New Roman" w:eastAsia="Times New Roman" w:hAnsi="Times New Roman"/>
          <w:sz w:val="12"/>
          <w:szCs w:val="12"/>
          <w:color w:val="auto"/>
        </w:rPr>
        <w:t>. Options and stock appreciation rights shall be exercisable at such times and under such conditions as determined by the Administrator and set forth in the corresponding Award Agreement, but in no event shall any portion of such Award be exercisable subsequent to the tenth anniversary of the date on which such Award was granted. Unless the applicable Award Agreement otherwise specifically provides, an option or stock appreciation right may be exercised from time to time as to all or part of the shares as to which such Award is then exercisable.</w:t>
      </w:r>
    </w:p>
    <w:p>
      <w:pPr>
        <w:spacing w:after="0" w:line="118" w:lineRule="exact"/>
        <w:rPr>
          <w:rFonts w:ascii="Times New Roman" w:cs="Times New Roman" w:eastAsia="Times New Roman" w:hAnsi="Times New Roman"/>
          <w:sz w:val="12"/>
          <w:szCs w:val="12"/>
          <w:color w:val="auto"/>
        </w:rPr>
      </w:pPr>
    </w:p>
    <w:p>
      <w:pPr>
        <w:ind w:firstLine="424"/>
        <w:spacing w:after="0" w:line="279" w:lineRule="auto"/>
        <w:tabs>
          <w:tab w:leader="none" w:pos="602"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Notice of Exercise</w:t>
      </w:r>
      <w:r>
        <w:rPr>
          <w:rFonts w:ascii="Times New Roman" w:cs="Times New Roman" w:eastAsia="Times New Roman" w:hAnsi="Times New Roman"/>
          <w:sz w:val="12"/>
          <w:szCs w:val="12"/>
          <w:color w:val="auto"/>
        </w:rPr>
        <w:t>. An option or stock appreciation right shall be exercised by the filing of a written notice with the Company or the Company’s designated exchange agent (the “Exchange Agent”), on such form and in such manner as the Administrator shall prescribe.</w:t>
      </w:r>
    </w:p>
    <w:p>
      <w:pPr>
        <w:spacing w:after="0" w:line="111" w:lineRule="exact"/>
        <w:rPr>
          <w:rFonts w:ascii="Times New Roman" w:cs="Times New Roman" w:eastAsia="Times New Roman" w:hAnsi="Times New Roman"/>
          <w:sz w:val="12"/>
          <w:szCs w:val="12"/>
          <w:color w:val="auto"/>
        </w:rPr>
      </w:pPr>
    </w:p>
    <w:p>
      <w:pPr>
        <w:jc w:val="both"/>
        <w:ind w:firstLine="424"/>
        <w:spacing w:after="0" w:line="257" w:lineRule="auto"/>
        <w:tabs>
          <w:tab w:leader="none" w:pos="595"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Payment of Exercise Price</w:t>
      </w:r>
      <w:r>
        <w:rPr>
          <w:rFonts w:ascii="Times New Roman" w:cs="Times New Roman" w:eastAsia="Times New Roman" w:hAnsi="Times New Roman"/>
          <w:sz w:val="12"/>
          <w:szCs w:val="12"/>
          <w:color w:val="auto"/>
        </w:rPr>
        <w:t>. Any written notice of exercise of an option shall be accompanied by payment for the shares being purchased. Such payment shall be made: (i) by certified or official bank check (or the equivalent thereof acceptable to the Company or its Exchange Agent) for the full option Exercise Price; (ii) with the consent of the Administrator, which consent shall be given or withheld in the sole discretion of the Administrator, by delivery of shares of Common Stock having a Fair Market Value (determined as of the exercise date) equal to all or part of the option Exercise Price and a certified or official bank check (or the equivalent thereof acceptable to the Company or its Exchange Agent) for any remaining portion of the full option Exercise Price; or (iii) at the sole discretion of the Administrator and to the extent permitted by law, by such other provision, consistent with the terms of the Plan, as the Administrator may from time to time prescribe (whether directly or indirectly through the Exchange Agent), or by any combination of the foregoing payment methods.</w:t>
      </w:r>
    </w:p>
    <w:p>
      <w:pPr>
        <w:spacing w:after="0" w:line="125" w:lineRule="exact"/>
        <w:rPr>
          <w:rFonts w:ascii="Times New Roman" w:cs="Times New Roman" w:eastAsia="Times New Roman" w:hAnsi="Times New Roman"/>
          <w:sz w:val="12"/>
          <w:szCs w:val="12"/>
          <w:color w:val="auto"/>
        </w:rPr>
      </w:pPr>
    </w:p>
    <w:p>
      <w:pPr>
        <w:jc w:val="both"/>
        <w:ind w:firstLine="424"/>
        <w:spacing w:after="0" w:line="257" w:lineRule="auto"/>
        <w:tabs>
          <w:tab w:leader="none" w:pos="602" w:val="left"/>
        </w:tabs>
        <w:numPr>
          <w:ilvl w:val="0"/>
          <w:numId w:val="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Delivery of Certificates Upon Exercise</w:t>
      </w:r>
      <w:r>
        <w:rPr>
          <w:rFonts w:ascii="Times New Roman" w:cs="Times New Roman" w:eastAsia="Times New Roman" w:hAnsi="Times New Roman"/>
          <w:sz w:val="12"/>
          <w:szCs w:val="12"/>
          <w:color w:val="auto"/>
        </w:rPr>
        <w:t>. Subject to Sections 3.2, 3.4 and 3.13, promptly after receiving payment of the full option Exercise Price, or after receiving notice of the exercise of a stock appreciation right for which the Administrator determines payment will be made partly or entirely in shares, the Company or its Exchange Agent shall (i) deliver to the grantee, or to such other Person as may then have the right to exercise the Award, a certificate or certificates for the shares of Common Stock for which the Award has been exercised or, in the case of stock appreciation rights, for which the Administrator determines will be made in shares or (ii) establish an account evidencing ownership of the stock in uncertificated form. If the method of payment employed upon an option exercise so requires, and if applicable law permits, an optionee may direct the Company or its Exchange Agent, as the case may be, to deliver the stock certificate(s) to the optionee’s stockbroker.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154" w:name="page155"/>
    <w:bookmarkEnd w:id="154"/>
    <w:p>
      <w:pPr>
        <w:jc w:val="both"/>
        <w:ind w:firstLine="424"/>
        <w:spacing w:after="0" w:line="260" w:lineRule="auto"/>
        <w:tabs>
          <w:tab w:leader="none" w:pos="604" w:val="left"/>
        </w:tabs>
        <w:numPr>
          <w:ilvl w:val="0"/>
          <w:numId w:val="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Stockholder Rights</w:t>
      </w:r>
      <w:r>
        <w:rPr>
          <w:rFonts w:ascii="Times New Roman" w:cs="Times New Roman" w:eastAsia="Times New Roman" w:hAnsi="Times New Roman"/>
          <w:sz w:val="12"/>
          <w:szCs w:val="12"/>
          <w:color w:val="auto"/>
        </w:rPr>
        <w:t>. No grantee of an option or stock appreciation right (or other Person having the right to exercise such Award) shall have any of the rights of a stockholder of the Company with respect to shares subject to such Award until the issuance of a stock certificate to such Person for such shares or an account in the name of the grantee evidences ownership of stock in uncertificated form. Except as otherwise provided in Section 1.5(c), no adjustment shall be made for dividends, distributions or other rights (whether ordinary or extraordinary, and whether in cash, securities or other property) for which the record date is prior to the date such stock certificate is issued or the date an account evidencing ownership of the stock in uncertificated form notes receipt of such stock.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2.4 Termination of Employment/Service; Death Subsequent to a Termination of Employment/Service</w:t>
      </w:r>
    </w:p>
    <w:p>
      <w:pPr>
        <w:spacing w:after="0" w:line="154" w:lineRule="exact"/>
        <w:rPr>
          <w:sz w:val="20"/>
          <w:szCs w:val="20"/>
          <w:color w:val="auto"/>
        </w:rPr>
      </w:pPr>
    </w:p>
    <w:p>
      <w:pPr>
        <w:jc w:val="both"/>
        <w:ind w:firstLine="424"/>
        <w:spacing w:after="0" w:line="254" w:lineRule="auto"/>
        <w:tabs>
          <w:tab w:leader="none" w:pos="6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General Rule</w:t>
      </w:r>
      <w:r>
        <w:rPr>
          <w:rFonts w:ascii="Times New Roman" w:cs="Times New Roman" w:eastAsia="Times New Roman" w:hAnsi="Times New Roman"/>
          <w:sz w:val="12"/>
          <w:szCs w:val="12"/>
          <w:color w:val="auto"/>
        </w:rPr>
        <w:t>. Except to the extent otherwise provided in paragraphs (b), (c), (d), (e) or (f) of this Section 2.4 or Section 3.5(b)(iii), or unless otherwise specifically set forth in the applicable Award Agreement or the grantee’s relevant employment, severance or consulting agreement with the Company or a Subsidiary or Affiliate, a grantee who incurs a termination of employment or consultancy/service relationship with the Company and its Subsidiaries, Affiliates, consultants and service providers may exercise any outstanding option or stock appreciation right on the following terms and conditions: (i) exercise may be made only to the extent that the grantee was entitled to exercise the Award on the date of termination of employment or consultancy/service relationship, as applicable; and (ii) exercise must occur within three months after termination of employment or consultancy/service relationship but in no event after the original expiration date of the Award; it being understood that (A) then outstanding options and stock appreciation rights shall not be affected by a change of employment or consultancy/service relationship with Company and its Subsidiaries, Affiliates, consultants and service providers so long as the grantee continues to be a director, officer or employee of, or a consultant or service provider to (or a Person employed by or providing services to any entity that is itself a consultant or service provider to), the Company or any of its Subsidiaries or Affiliates and (B) neither sick-leave or military conscription, alone and without termination of employment or consultancy/service relationship with Company and its Subsidiaries, Affiliates, consultants and service providers, shall be treated as a termination of employment or consultancy/service relationship with Company and its Subsidiaries, Affiliates, consultants and service providers.</w:t>
      </w:r>
    </w:p>
    <w:p>
      <w:pPr>
        <w:spacing w:after="0" w:line="125" w:lineRule="exact"/>
        <w:rPr>
          <w:rFonts w:ascii="Times New Roman" w:cs="Times New Roman" w:eastAsia="Times New Roman" w:hAnsi="Times New Roman"/>
          <w:sz w:val="12"/>
          <w:szCs w:val="12"/>
          <w:color w:val="auto"/>
        </w:rPr>
      </w:pPr>
    </w:p>
    <w:p>
      <w:pPr>
        <w:ind w:firstLine="424"/>
        <w:spacing w:after="0" w:line="279" w:lineRule="auto"/>
        <w:tabs>
          <w:tab w:leader="none" w:pos="602"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Dismissal “for Cause”</w:t>
      </w:r>
      <w:r>
        <w:rPr>
          <w:rFonts w:ascii="Times New Roman" w:cs="Times New Roman" w:eastAsia="Times New Roman" w:hAnsi="Times New Roman"/>
          <w:sz w:val="12"/>
          <w:szCs w:val="12"/>
          <w:color w:val="auto"/>
        </w:rPr>
        <w:t>. If a grantee incurs a termination of employment or consultancy/service relationship with Company and its Subsidiaries, Affiliates, consultants and service providers “for Cause”, all options and stock appreciation rights not theretofore exercised (whether vested or unvested) shall immediately terminate upon such termination of employment or consultancy/service relationship.</w:t>
      </w:r>
    </w:p>
    <w:p>
      <w:pPr>
        <w:spacing w:after="0" w:line="111" w:lineRule="exact"/>
        <w:rPr>
          <w:rFonts w:ascii="Times New Roman" w:cs="Times New Roman" w:eastAsia="Times New Roman" w:hAnsi="Times New Roman"/>
          <w:sz w:val="12"/>
          <w:szCs w:val="12"/>
          <w:color w:val="auto"/>
        </w:rPr>
      </w:pPr>
    </w:p>
    <w:p>
      <w:pPr>
        <w:jc w:val="both"/>
        <w:ind w:firstLine="424"/>
        <w:spacing w:after="0" w:line="256" w:lineRule="auto"/>
        <w:tabs>
          <w:tab w:leader="none" w:pos="604" w:val="left"/>
        </w:tabs>
        <w:numPr>
          <w:ilvl w:val="0"/>
          <w:numId w:val="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Retirement</w:t>
      </w:r>
      <w:r>
        <w:rPr>
          <w:rFonts w:ascii="Times New Roman" w:cs="Times New Roman" w:eastAsia="Times New Roman" w:hAnsi="Times New Roman"/>
          <w:sz w:val="12"/>
          <w:szCs w:val="12"/>
          <w:color w:val="auto"/>
        </w:rPr>
        <w:t xml:space="preserve">. If a grantee incurs a termination of employment or consultancy/service relationship with Company and its Subsidiaries, Affiliates, consultants and service providers as the result of his or her retirement (as defined below), then any outstanding option or stock appreciation right shall, to the extent exercisable at the time of such retirement, remain exercisable for a period of three years after such retirement;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may such option or stock appreciation right be exercised following the original expiration date of the Award. For this purpose, unless otherwise specifically set forth in the applicable Award Agreement, “retirement” shall mean a grantee’s resignation of employment or consultancy/service relationship with Company and its Subsidiaries, Affiliates, consultants and service providers (i) on or after his or her 65th birthday, (ii) on or after the date on which he or she has attained age 60 and completed at least five years of service with the Company or one or more of its Subsidiaries or Affiliates (using any method of calculation the Administrator deems appropriate) or (iii) if approved by the Administrator, on or after his or her having completed at least 20 years of service with the Company or one or more of its Subsidiaries or Affiliates (using any method of calculation the Administrator deems appropriate).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155" w:name="page156"/>
    <w:bookmarkEnd w:id="155"/>
    <w:p>
      <w:pPr>
        <w:jc w:val="both"/>
        <w:ind w:firstLine="424"/>
        <w:spacing w:after="0" w:line="265" w:lineRule="auto"/>
        <w:tabs>
          <w:tab w:leader="none" w:pos="602"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Disability</w:t>
      </w:r>
      <w:r>
        <w:rPr>
          <w:rFonts w:ascii="Times New Roman" w:cs="Times New Roman" w:eastAsia="Times New Roman" w:hAnsi="Times New Roman"/>
          <w:sz w:val="12"/>
          <w:szCs w:val="12"/>
          <w:color w:val="auto"/>
        </w:rPr>
        <w:t xml:space="preserve">. If a grantee incurs a termination of employment or consultancy/service relationship with Company and its Subsidiaries, Affiliates, consultants and service providers by reason of a Disability, then any outstanding option or stock appreciation right shall, to the extent exercisable at the time of such termination, remain exercisable for a period of one year after such termination;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may such option or stock appreciation right be exercised following the original expiration date of the Award.</w:t>
      </w:r>
    </w:p>
    <w:p>
      <w:pPr>
        <w:spacing w:after="0" w:line="118"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Death</w:t>
      </w:r>
      <w:r>
        <w:rPr>
          <w:rFonts w:ascii="Times New Roman" w:cs="Times New Roman" w:eastAsia="Times New Roman" w:hAnsi="Times New Roman"/>
          <w:sz w:val="12"/>
          <w:szCs w:val="12"/>
          <w:color w:val="auto"/>
        </w:rPr>
        <w:t>.</w:t>
      </w:r>
    </w:p>
    <w:p>
      <w:pPr>
        <w:spacing w:after="0" w:line="148" w:lineRule="exact"/>
        <w:rPr>
          <w:rFonts w:ascii="Times New Roman" w:cs="Times New Roman" w:eastAsia="Times New Roman" w:hAnsi="Times New Roman"/>
          <w:sz w:val="12"/>
          <w:szCs w:val="12"/>
          <w:color w:val="auto"/>
        </w:rPr>
      </w:pPr>
    </w:p>
    <w:p>
      <w:pPr>
        <w:jc w:val="both"/>
        <w:ind w:left="420" w:firstLine="436"/>
        <w:spacing w:after="0" w:line="266" w:lineRule="auto"/>
        <w:tabs>
          <w:tab w:leader="none" w:pos="995"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Termination of Employment/Service as a Result of Grantee’s Death</w:t>
      </w:r>
      <w:r>
        <w:rPr>
          <w:rFonts w:ascii="Times New Roman" w:cs="Times New Roman" w:eastAsia="Times New Roman" w:hAnsi="Times New Roman"/>
          <w:sz w:val="12"/>
          <w:szCs w:val="12"/>
          <w:color w:val="auto"/>
        </w:rPr>
        <w:t>. If a grantee incurs a termination of employment or consultancy/service relationship with Company and its Subsidiaries, Affiliates, consultants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 xml:space="preserve">service providers as the result of his or her death, then any outstanding option or stock appreciation right shall, to the extent exercisable at the time of such death, remain exercisable for a period of one year after such death;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in no event may such option or stock appreciation right be exercised following the original expiration date of the Award.</w:t>
      </w:r>
    </w:p>
    <w:p>
      <w:pPr>
        <w:spacing w:after="0" w:line="117" w:lineRule="exact"/>
        <w:rPr>
          <w:rFonts w:ascii="Times New Roman" w:cs="Times New Roman" w:eastAsia="Times New Roman" w:hAnsi="Times New Roman"/>
          <w:sz w:val="12"/>
          <w:szCs w:val="12"/>
          <w:color w:val="auto"/>
        </w:rPr>
      </w:pPr>
    </w:p>
    <w:p>
      <w:pPr>
        <w:jc w:val="both"/>
        <w:ind w:left="420" w:firstLine="436"/>
        <w:spacing w:after="0" w:line="261" w:lineRule="auto"/>
        <w:tabs>
          <w:tab w:leader="none" w:pos="1028" w:val="left"/>
        </w:tabs>
        <w:numPr>
          <w:ilvl w:val="1"/>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Restrictions on Exercise Following Death</w:t>
      </w:r>
      <w:r>
        <w:rPr>
          <w:rFonts w:ascii="Times New Roman" w:cs="Times New Roman" w:eastAsia="Times New Roman" w:hAnsi="Times New Roman"/>
          <w:sz w:val="12"/>
          <w:szCs w:val="12"/>
          <w:color w:val="auto"/>
        </w:rPr>
        <w:t>. Any exercise of an Award following a grantee’s death shall be made only by the grantee’s executor or administrator or other duly appointed representative reasonably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acceptable to the Administrator, unless the grantee’s will specifically disposes of such Award, in which case such exercise shall be made only by the recipient of such specific disposition. If a grantee’s personal representative or the recipient of a specific disposition under the grantee’s will shall be entitled to exercise any Award pursuant to the preceding sentence, such representative or recipient shall be bound by all the terms and conditions of the Plan and the applicable Award Agreement which would have applied to the grantee.</w:t>
      </w:r>
    </w:p>
    <w:p>
      <w:pPr>
        <w:spacing w:after="0" w:line="121" w:lineRule="exact"/>
        <w:rPr>
          <w:rFonts w:ascii="Times New Roman" w:cs="Times New Roman" w:eastAsia="Times New Roman" w:hAnsi="Times New Roman"/>
          <w:sz w:val="12"/>
          <w:szCs w:val="12"/>
          <w:color w:val="auto"/>
        </w:rPr>
      </w:pPr>
    </w:p>
    <w:p>
      <w:pPr>
        <w:ind w:left="580" w:hanging="156"/>
        <w:spacing w:after="0"/>
        <w:tabs>
          <w:tab w:leader="none" w:pos="580" w:val="left"/>
        </w:tabs>
        <w:numPr>
          <w:ilvl w:val="0"/>
          <w:numId w:val="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Administrator Discretion</w:t>
      </w:r>
      <w:r>
        <w:rPr>
          <w:rFonts w:ascii="Times New Roman" w:cs="Times New Roman" w:eastAsia="Times New Roman" w:hAnsi="Times New Roman"/>
          <w:sz w:val="12"/>
          <w:szCs w:val="12"/>
          <w:color w:val="auto"/>
        </w:rPr>
        <w:t>. The Administrator may, in writing, waive or modify the application of the foregoing provisions of this Section 2.4, subject to Section 3.1(c).</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2.5 Transferability of Options and Stock Appreciation Rights</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Except as otherwise specifically provided in this Plan or the applicable Award Agreement evidencing an option or stock appreciation right, during the lifetime of a grantee, each such Award granted to a grantee shall be exercisable only by the grantee, and no such Award may be sold, assigned, transferred, pledged or otherwise encumbered or disposed of other than by will or by the laws of descent and distribution. The Administrator may, in any applicable Award Agreement evidencing an option or stock appreciation right, permit a grantee to transfer all or some of the options or stock appreciation rights to (a) the grantee’s spouse, children or grandchildren (“Immediate Family Members”), (b) a trust or trusts for the exclusive benefit of such Immediate Family Members, (c) companies and other legal entities (including partnerships and trusts) that are substantially controlled by or for the benefit of the grantee and/or any of the Immediate Family Members or (d) other parties approved by the Administrator. Following any such transfer, any transferred options and stock appreciation rights shall continue to be subject to the same terms and conditions as were applicable immediately prior to the transfer.</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7" w:right="299" w:bottom="1440" w:gutter="0" w:footer="0" w:header="0"/>
        </w:sectPr>
      </w:pPr>
    </w:p>
    <w:bookmarkStart w:id="156" w:name="page157"/>
    <w:bookmarkEnd w:id="156"/>
    <w:p>
      <w:pPr>
        <w:ind w:left="8"/>
        <w:spacing w:after="0"/>
        <w:rPr>
          <w:sz w:val="20"/>
          <w:szCs w:val="20"/>
          <w:color w:val="auto"/>
        </w:rPr>
      </w:pPr>
      <w:r>
        <w:rPr>
          <w:rFonts w:ascii="Times New Roman" w:cs="Times New Roman" w:eastAsia="Times New Roman" w:hAnsi="Times New Roman"/>
          <w:sz w:val="12"/>
          <w:szCs w:val="12"/>
          <w:b w:val="1"/>
          <w:bCs w:val="1"/>
          <w:color w:val="auto"/>
        </w:rPr>
        <w:t>2.6 Grant of Restricted Stock</w:t>
      </w:r>
    </w:p>
    <w:p>
      <w:pPr>
        <w:spacing w:after="0" w:line="154" w:lineRule="exact"/>
        <w:rPr>
          <w:sz w:val="20"/>
          <w:szCs w:val="20"/>
          <w:color w:val="auto"/>
        </w:rPr>
      </w:pPr>
    </w:p>
    <w:p>
      <w:pPr>
        <w:jc w:val="both"/>
        <w:ind w:left="8" w:firstLine="424"/>
        <w:spacing w:after="0" w:line="265" w:lineRule="auto"/>
        <w:tabs>
          <w:tab w:leader="none" w:pos="603"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Restricted Stock Grants</w:t>
      </w:r>
      <w:r>
        <w:rPr>
          <w:rFonts w:ascii="Times New Roman" w:cs="Times New Roman" w:eastAsia="Times New Roman" w:hAnsi="Times New Roman"/>
          <w:sz w:val="12"/>
          <w:szCs w:val="12"/>
          <w:color w:val="auto"/>
        </w:rPr>
        <w:t>. The Administrator may grant restricted shares of Common Stock to such Key Persons, in such amounts and subject to such vesting and forfeiture provisions and other terms and conditions as the Administrator shall determine, subject to the provisions of the Plan. A grantee of a restricted stock Award shall have no rights with respect to such Award unless such grantee accepts the Award within such period as the Administrator shall specify by accepting delivery of a restricted stock Award Agreement in such form as the Administrator shall determine.</w:t>
      </w:r>
    </w:p>
    <w:p>
      <w:pPr>
        <w:spacing w:after="0" w:line="118" w:lineRule="exact"/>
        <w:rPr>
          <w:rFonts w:ascii="Times New Roman" w:cs="Times New Roman" w:eastAsia="Times New Roman" w:hAnsi="Times New Roman"/>
          <w:sz w:val="12"/>
          <w:szCs w:val="12"/>
          <w:color w:val="auto"/>
        </w:rPr>
      </w:pPr>
    </w:p>
    <w:p>
      <w:pPr>
        <w:jc w:val="both"/>
        <w:ind w:left="8" w:firstLine="424"/>
        <w:spacing w:after="0" w:line="256" w:lineRule="auto"/>
        <w:tabs>
          <w:tab w:leader="none" w:pos="610" w:val="left"/>
        </w:tabs>
        <w:numPr>
          <w:ilvl w:val="1"/>
          <w:numId w:val="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Issuance of Stock Certificate</w:t>
      </w:r>
      <w:r>
        <w:rPr>
          <w:rFonts w:ascii="Times New Roman" w:cs="Times New Roman" w:eastAsia="Times New Roman" w:hAnsi="Times New Roman"/>
          <w:sz w:val="12"/>
          <w:szCs w:val="12"/>
          <w:color w:val="auto"/>
        </w:rPr>
        <w:t>. Promptly after a grantee accepts a restricted stock Award in accordance with Section 2.6(a), subject to Sections 3.2, 3.4 and 3.13, the Company or its Exchange Agent shall issue to the grantee a stock certificate or stock certificates for the shares of Common Stock covered by the Award or shall establish an account evidencing ownership of the stock in uncertificated form. Upon the issuance of such stock certificates, or establishment of such account, the grantee shall have the rights of a stockholder with respect to the restricted stock, subject to: (i) the nontransferability restrictions and forfeiture provisions described in the Plan (including paragraphs</w:t>
      </w:r>
    </w:p>
    <w:p>
      <w:pPr>
        <w:spacing w:after="0" w:line="1" w:lineRule="exact"/>
        <w:rPr>
          <w:rFonts w:ascii="Times New Roman" w:cs="Times New Roman" w:eastAsia="Times New Roman" w:hAnsi="Times New Roman"/>
          <w:sz w:val="12"/>
          <w:szCs w:val="12"/>
          <w:color w:val="auto"/>
        </w:rPr>
      </w:pPr>
    </w:p>
    <w:p>
      <w:pPr>
        <w:ind w:left="8" w:hanging="8"/>
        <w:spacing w:after="0" w:line="260" w:lineRule="auto"/>
        <w:tabs>
          <w:tab w:leader="none" w:pos="186" w:val="left"/>
        </w:tabs>
        <w:numPr>
          <w:ilvl w:val="0"/>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(e) of this Section 2.6); (ii) in the Administrator’s sole discretion, a requirement, as set forth in the Award Agreement, that any dividends paid on such shares shall be held in escrow and, unless otherwise determined by the Administrator, shall remain forfeitable until all restrictions on such shares have lapsed; and (iii) any other restrictions and conditions contained in the applicable Award Agreement.</w:t>
      </w:r>
    </w:p>
    <w:p>
      <w:pPr>
        <w:spacing w:after="0" w:line="122" w:lineRule="exact"/>
        <w:rPr>
          <w:rFonts w:ascii="Times New Roman" w:cs="Times New Roman" w:eastAsia="Times New Roman" w:hAnsi="Times New Roman"/>
          <w:sz w:val="12"/>
          <w:szCs w:val="12"/>
          <w:color w:val="auto"/>
        </w:rPr>
      </w:pPr>
    </w:p>
    <w:p>
      <w:pPr>
        <w:jc w:val="both"/>
        <w:ind w:left="8" w:right="20" w:firstLine="424"/>
        <w:spacing w:after="0" w:line="265" w:lineRule="auto"/>
        <w:tabs>
          <w:tab w:leader="none" w:pos="603"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Custody of Stock Certificate</w:t>
      </w:r>
      <w:r>
        <w:rPr>
          <w:rFonts w:ascii="Times New Roman" w:cs="Times New Roman" w:eastAsia="Times New Roman" w:hAnsi="Times New Roman"/>
          <w:sz w:val="12"/>
          <w:szCs w:val="12"/>
          <w:color w:val="auto"/>
        </w:rPr>
        <w:t>. Unless the Administrator shall otherwise determine, any stock certificates issued evidencing shares of restricted stock shall remain in the possession of the Company (or such other custodian as may be designated by the Administrator) until such shares are free of any restrictions specified in the applicable Award Agreement. The Administrator may direct that such stock certificates bear a legend setting forth the applicable restrictions on transferability.</w:t>
      </w:r>
    </w:p>
    <w:p>
      <w:pPr>
        <w:spacing w:after="0" w:line="118" w:lineRule="exact"/>
        <w:rPr>
          <w:rFonts w:ascii="Times New Roman" w:cs="Times New Roman" w:eastAsia="Times New Roman" w:hAnsi="Times New Roman"/>
          <w:sz w:val="12"/>
          <w:szCs w:val="12"/>
          <w:color w:val="auto"/>
        </w:rPr>
      </w:pPr>
    </w:p>
    <w:p>
      <w:pPr>
        <w:jc w:val="both"/>
        <w:ind w:left="8" w:right="20" w:firstLine="424"/>
        <w:spacing w:after="0" w:line="265" w:lineRule="auto"/>
        <w:tabs>
          <w:tab w:leader="none" w:pos="610"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Nontransferability</w:t>
      </w:r>
      <w:r>
        <w:rPr>
          <w:rFonts w:ascii="Times New Roman" w:cs="Times New Roman" w:eastAsia="Times New Roman" w:hAnsi="Times New Roman"/>
          <w:sz w:val="12"/>
          <w:szCs w:val="12"/>
          <w:color w:val="auto"/>
        </w:rPr>
        <w:t>. Shares of restricted stock may not be sold, assigned, transferred, pledged or otherwise encumbered or disposed of prior to the lapsing of all restrictions thereon, except as otherwise specifically provided in this Plan or the applicable Award Agreement. The Administrator at the time of grant shall specify the date or dates (which may depend upon or be related to the attainment of performance goals and other conditions) on which the nontransferability of the restricted stock shall lapse.</w:t>
      </w:r>
    </w:p>
    <w:p>
      <w:pPr>
        <w:spacing w:after="0" w:line="118" w:lineRule="exact"/>
        <w:rPr>
          <w:rFonts w:ascii="Times New Roman" w:cs="Times New Roman" w:eastAsia="Times New Roman" w:hAnsi="Times New Roman"/>
          <w:sz w:val="12"/>
          <w:szCs w:val="12"/>
          <w:color w:val="auto"/>
        </w:rPr>
      </w:pPr>
    </w:p>
    <w:p>
      <w:pPr>
        <w:jc w:val="both"/>
        <w:ind w:left="8" w:firstLine="424"/>
        <w:spacing w:after="0" w:line="253" w:lineRule="auto"/>
        <w:tabs>
          <w:tab w:leader="none" w:pos="603" w:val="left"/>
        </w:tabs>
        <w:numPr>
          <w:ilvl w:val="1"/>
          <w:numId w:val="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Consequence of Termination of Employment/Service</w:t>
      </w:r>
      <w:r>
        <w:rPr>
          <w:rFonts w:ascii="Times New Roman" w:cs="Times New Roman" w:eastAsia="Times New Roman" w:hAnsi="Times New Roman"/>
          <w:sz w:val="12"/>
          <w:szCs w:val="12"/>
          <w:color w:val="auto"/>
        </w:rPr>
        <w:t>. Unless otherwise specifically set forth in the applicable Award Agreement or the grantee’s relevant employment, severance or consulting agreement with the Company or a Subsidiary or Affiliate, (i) a grantee’s termination of employment or consultancy/service relationship with Company and its Subsidiaries, Affiliates, consultants and service providers for any reason other than death or Disability shall cause the immediate forfeiture of all shares of restricted stock that have not yet vested as of the date of such termination of employment or consultancy/service relationship and (ii) if a grantee incurs a termination of employment or consultancy/service relationship with Company and its Subsidiaries, Affiliates, consultants and service providers as the result of his or her death or Disability, all shares of restricted stock that have not yet vested as of the date of such termination shall immediately vest as of such date; it being understood that (A) then outstanding restricted stock Awards shall not be affected by a change of employment or consultancy/service relationship with Company and its Subsidiaries, Affiliates, consultants and service providers so long as the grantee continues to be a director, officer or employee of, or a consultant or service provider to (or a Person employed by or providing services to any entity that that is itself a consultant or service provider to), the Company or any of its Subsidiaries or Affiliates and (B) neither sick-leave or military conscription, alone and without termination of employment or consultancy/service relationship with Company and its Subsidiaries, Affiliates, consultants and service providers, shall be treated as a termination of employment or consultancy/service relationship with Company and its Subsidiaries, Affiliates, consultants and service providers. Unless otherwise determined by the Administrator, all dividends paid on shares forfeited under this Section 2.6(e) that have not theretofore been directly remitted to the grantee shall also be forfeited, whether by termination of any escrow arrangement under which such dividends are held or otherwise. The Administrator may, in writing, waive or modify the application of the foregoing provisions of this Section 2.6(e), subject to Section 3.1(c).</w:t>
      </w:r>
    </w:p>
    <w:p>
      <w:pPr>
        <w:spacing w:after="0" w:line="20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2"/>
          <w:szCs w:val="12"/>
          <w:b w:val="1"/>
          <w:bCs w:val="1"/>
          <w:color w:val="auto"/>
        </w:rPr>
        <w:t>2.7 Grant of Restricted Stock Units</w:t>
      </w:r>
    </w:p>
    <w:p>
      <w:pPr>
        <w:spacing w:after="0" w:line="154" w:lineRule="exact"/>
        <w:rPr>
          <w:sz w:val="20"/>
          <w:szCs w:val="20"/>
          <w:color w:val="auto"/>
        </w:rPr>
      </w:pPr>
    </w:p>
    <w:p>
      <w:pPr>
        <w:jc w:val="both"/>
        <w:ind w:firstLine="424"/>
        <w:spacing w:after="0" w:line="254" w:lineRule="auto"/>
        <w:tabs>
          <w:tab w:leader="none" w:pos="604"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Restricted Stock Unit Grants</w:t>
      </w:r>
      <w:r>
        <w:rPr>
          <w:rFonts w:ascii="Times New Roman" w:cs="Times New Roman" w:eastAsia="Times New Roman" w:hAnsi="Times New Roman"/>
          <w:sz w:val="12"/>
          <w:szCs w:val="12"/>
          <w:color w:val="auto"/>
        </w:rPr>
        <w:t>. The Administrator may grant restricted stock units to such Key Persons, and in such amounts and subject to such vesting and forfeiture provisions and other terms and conditions, as the Administrator shall determine, subject to the provisions of the Plan. A restricted stock unit granted under the Plan shall confer upon the grantee a right to receive from the Company, conditioned upon the occurrence of such vesting event as shall be determined by the Administrator and specified in the Award Agreement, the number of such grantee’s restricted stock units that vest upon the occurrence of such vesting event multiplied by the Fair Market Value of a share of Common Stock on the date of vesting. Payment upon vesting of a restricted stock unit shall be in cash or in shares of Common Stock (valued at their Fair Market Value on the date of vesting) or both, all as the Administrator shall determine, and such payments shall be made to the grantee at such time as provided in the Award Agreement, which the Administrator shall intend to be (i) if Section 409A of the Code is applicable to the grantee, within the period required by Section 409A such that it qualifies as a “short-term deferral” pursuant to Section 409A and the Treasury Regulations issued thereunder, unless the Administrator shall provide for deferral of the Award intended to comply with Section 409A, (ii) if Section 457A of the Code is applicable to the grantee, within the period required by Section 457A(d)(3)(B) such that it qualifies for the exemption thereunder, or (iii) if Sections 409A and 457A of the Code are not applicable to the grantee, at such time as determined by the Administrator.</w:t>
      </w:r>
    </w:p>
    <w:p>
      <w:pPr>
        <w:spacing w:after="0" w:line="127" w:lineRule="exact"/>
        <w:rPr>
          <w:rFonts w:ascii="Times New Roman" w:cs="Times New Roman" w:eastAsia="Times New Roman" w:hAnsi="Times New Roman"/>
          <w:sz w:val="12"/>
          <w:szCs w:val="12"/>
          <w:color w:val="auto"/>
        </w:rPr>
      </w:pPr>
    </w:p>
    <w:p>
      <w:pPr>
        <w:jc w:val="both"/>
        <w:ind w:firstLine="424"/>
        <w:spacing w:after="0" w:line="255" w:lineRule="auto"/>
        <w:tabs>
          <w:tab w:leader="none" w:pos="602"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Dividend Equivalents</w:t>
      </w:r>
      <w:r>
        <w:rPr>
          <w:rFonts w:ascii="Times New Roman" w:cs="Times New Roman" w:eastAsia="Times New Roman" w:hAnsi="Times New Roman"/>
          <w:sz w:val="12"/>
          <w:szCs w:val="12"/>
          <w:color w:val="auto"/>
        </w:rPr>
        <w:t>. The Administrator may include in any Award Agreement with respect to a restricted stock unit a dividend equivalent right entitling the grantee to receive amounts equal to the ordinary dividends that would be paid, during the time such Award is outstanding and unvested, and/or, if payment of the vested Award is deferred, during the period of such deferral following such vesting event, on the shares of Common Stock underlying such Award if such shares were then outstanding. In the event such a provision is included in a Award Agreement, the Administrator shall determine whether such payments shall be (i) paid to the holder of the Award, as specified in the Award Agreement, either (A) at the same time as the underlying dividends are paid, regardless of the fact that the restricted stock unit has not theretofore vested, (B) at the time at which the Award’s vesting event occurs, conditioned upon the occurrence of the vesting event, (C) once the Award has vested, at the same time as the underlying dividends are paid, regardless of the fact that payment of the vested restricted stock unit has been deferred, and/or (D) at the time at which the corresponding vested restricted stock units are paid, (ii) made in cash, shares of Common Stock or other property and (iii) subject to such other vesting and forfeiture provisions and other terms and conditions as the Administrator shall deem appropriate and as shall be set forth in the Award Agreement.</w:t>
      </w:r>
    </w:p>
    <w:p>
      <w:pPr>
        <w:spacing w:after="0" w:line="125" w:lineRule="exact"/>
        <w:rPr>
          <w:rFonts w:ascii="Times New Roman" w:cs="Times New Roman" w:eastAsia="Times New Roman" w:hAnsi="Times New Roman"/>
          <w:sz w:val="12"/>
          <w:szCs w:val="12"/>
          <w:color w:val="auto"/>
        </w:rPr>
      </w:pPr>
    </w:p>
    <w:p>
      <w:pPr>
        <w:jc w:val="both"/>
        <w:ind w:firstLine="424"/>
        <w:spacing w:after="0" w:line="257" w:lineRule="auto"/>
        <w:tabs>
          <w:tab w:leader="none" w:pos="595"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Stockholder Rights</w:t>
      </w:r>
      <w:r>
        <w:rPr>
          <w:rFonts w:ascii="Times New Roman" w:cs="Times New Roman" w:eastAsia="Times New Roman" w:hAnsi="Times New Roman"/>
          <w:sz w:val="12"/>
          <w:szCs w:val="12"/>
          <w:color w:val="auto"/>
        </w:rPr>
        <w:t>. No grantee of a restricted stock unit shall have any of the rights of a stockholder of the Company with respect to such Award unless and until a stock certificate is issued with respect to such Award upon the vesting of such Award or an account in the name of the grantee evidences ownership of stock in uncertificated form (it being understood that the Administrator shall determine whether to pay any vested restricted stock unit in the form of cash or Company shares or both), which issuance shall be subject to Sections 3.2, 3.4 and 3.13. Except as otherwise provided in Section 1.5(c), no adjustment to any restricted stock unit shall be made for dividends, distributions or other rights (whether ordinary or extraordinary, and whether in cash, securities or other property) for which the record date is prior to the date such stock certificate, if any, is issued or the date an account evidencing ownership of the stock in uncertificated form notes receipt of such stock.</w:t>
      </w:r>
    </w:p>
    <w:p>
      <w:pPr>
        <w:spacing w:after="0" w:line="125" w:lineRule="exact"/>
        <w:rPr>
          <w:rFonts w:ascii="Times New Roman" w:cs="Times New Roman" w:eastAsia="Times New Roman" w:hAnsi="Times New Roman"/>
          <w:sz w:val="12"/>
          <w:szCs w:val="12"/>
          <w:color w:val="auto"/>
        </w:rPr>
      </w:pPr>
    </w:p>
    <w:p>
      <w:pPr>
        <w:ind w:firstLine="424"/>
        <w:spacing w:after="0" w:line="279" w:lineRule="auto"/>
        <w:tabs>
          <w:tab w:leader="none" w:pos="602"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Nontransferability</w:t>
      </w:r>
      <w:r>
        <w:rPr>
          <w:rFonts w:ascii="Times New Roman" w:cs="Times New Roman" w:eastAsia="Times New Roman" w:hAnsi="Times New Roman"/>
          <w:sz w:val="12"/>
          <w:szCs w:val="12"/>
          <w:color w:val="auto"/>
        </w:rPr>
        <w:t>. No restricted stock unit granted under the Plan may be sold, assigned, transferred, pledged or otherwise encumbered or disposed of, except as otherwise specifically provided in this Plan or the applicable Award Agreement.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3" w:right="299" w:bottom="1440" w:gutter="0" w:footer="0" w:header="0"/>
        </w:sectPr>
      </w:pPr>
    </w:p>
    <w:bookmarkStart w:id="158" w:name="page159"/>
    <w:bookmarkEnd w:id="158"/>
    <w:p>
      <w:pPr>
        <w:jc w:val="both"/>
        <w:ind w:firstLine="424"/>
        <w:spacing w:after="0" w:line="253" w:lineRule="auto"/>
        <w:tabs>
          <w:tab w:leader="none" w:pos="595" w:val="left"/>
        </w:tabs>
        <w:numPr>
          <w:ilvl w:val="0"/>
          <w:numId w:val="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Consequence of Termination of Employment/Service</w:t>
      </w:r>
      <w:r>
        <w:rPr>
          <w:rFonts w:ascii="Times New Roman" w:cs="Times New Roman" w:eastAsia="Times New Roman" w:hAnsi="Times New Roman"/>
          <w:sz w:val="12"/>
          <w:szCs w:val="12"/>
          <w:color w:val="auto"/>
        </w:rPr>
        <w:t>. Unless otherwise specifically set forth in the applicable Award Agreement or the grantee’s relevant employment, severance or consulting agreement with the Company or a Subsidiary or Affiliate, (i) a grantee’s termination of employment or consultancy/service relationship with Company and its Subsidiaries, Affiliates, consultants and service providers for any reason other than death or Disability shall cause the immediate forfeiture of all restricted stock units that have not yet vested as of the date of such termination of employment or consultancy/service relationship and (ii) if a grantee incurs a termination of employment or consultancy/service relationship with Company and its Subsidiaries, Affiliates, consultants and service providers as the result of his or her death or Disability, all restricted stock units that have not yet vested as of the date of such termination shall immediately vest as of such date; it being understood that (A) then outstanding restricted stock units shall not be affected by a change of employment or consultancy/service relationship with Company and its Subsidiaries, Affiliates, consultants and service providers so long as the grantee continues to be a director, officer or employee of, or a consultant or service provider to (or a Person employed by or providing services to any entity that that is itself a consultant or service provider to), the Company or any of its Subsidiaries or Affiliates and (B) neither sick-leave or military conscription, alone and without termination of employment or consultancy/service relationship with Company and its Subsidiaries, Affiliates, consultants and service providers, shall be treated as a termination of employment or consultancy/service relationship with Company and its Subsidiaries, Affiliates, consultants and service providers. Unless otherwise determined by the Administrator, any dividend equivalent rights on any restricted stock units forfeited under this Section 2.7(e) that have not theretofore been directly remitted to the grantee shall also be forfeited, whether by termination of any escrow arrangement under which such dividends are held or otherwise. The Administrator may, in writing, waive or modify the application of the foregoing provisions of this Section 2.7(e), subject to Section 3.1(c).</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2.8 Grant of Cash Awards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Administrator may grant Awards that are payable solely in cash to such Key Persons and in such amounts and subject to such terms, conditions, restrictions and forfeiture provisions as the Administrator shall determine.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Cash awards may be thus granted in respect of past services or other valid consideration.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2.9 Grant of Unrestricted Stock</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The Administrator may grant (or sell at a purchase price at least equal to par value) shares of Common Stock free of restrictions under the Plan to such Key Persons and in such amounts and subject to such forfeiture provisions as the Administrator shall determine. Shares may be thus granted or sold in respect of past services or other valid consideration.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2.10 Other Stock-Based Awards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 xml:space="preserve">Subject to the provisions of the Plan (including, without limitation, Section 3.16), the Administrator shall have the sole and complete authority to grant to Key Persons other equity-based or equity-related Awards in such amounts and subject to such terms and conditions as the Administrator shall determine;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any such Awards must comply with applicable law and, to the extent deemed desirable by the Administrator, Rule 16b-3.</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2.11 Dividend Equivalents</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Subject to the provisions of the Plan (including, without limitation, Section 3.16), in the discretion of the Administrator, an Award, other than an option or stock appreciation right, may provide the Award recipient with dividends or dividend equivalents, payable in cash, shares, other securities, other Awards or other property, on a current or deferred basis, on such terms and conditions as may be determined by the Administrator, including, without limitation, payment directly to the Award recipient, withholding of such amounts by the Company subject to vesting of the Award, or reinvestment in additional shares, restricted shares or other Awards.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159" w:name="page160"/>
    <w:bookmarkEnd w:id="15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ARTICLE III.</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Miscellaneous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3.1 Amendment of the Plan; Modification of Awards</w:t>
      </w:r>
    </w:p>
    <w:p>
      <w:pPr>
        <w:spacing w:after="0" w:line="154" w:lineRule="exact"/>
        <w:rPr>
          <w:sz w:val="20"/>
          <w:szCs w:val="20"/>
          <w:color w:val="auto"/>
        </w:rPr>
      </w:pPr>
    </w:p>
    <w:p>
      <w:pPr>
        <w:jc w:val="both"/>
        <w:ind w:left="8" w:firstLine="424"/>
        <w:spacing w:after="0" w:line="265" w:lineRule="auto"/>
        <w:tabs>
          <w:tab w:leader="none" w:pos="603"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Amendment of the Plan</w:t>
      </w:r>
      <w:r>
        <w:rPr>
          <w:rFonts w:ascii="Times New Roman" w:cs="Times New Roman" w:eastAsia="Times New Roman" w:hAnsi="Times New Roman"/>
          <w:sz w:val="12"/>
          <w:szCs w:val="12"/>
          <w:color w:val="auto"/>
        </w:rPr>
        <w:t>. The Board may from time to time suspend, discontinue, revise or amend the Plan in any respect whatsoever, except that no such amendment shall materially impair any rights or materially increase any obligations under any Award theretofore made under the Plan without the consent of the grantee (or, upon the grantee’s death, the Person having the rights to the Award). For purposes of this Section 3.1, any action of the Board or the Administrator that in any way alters or affects the tax treatment of any Award shall not be considered to materially impair any rights of any grantee.</w:t>
      </w:r>
    </w:p>
    <w:p>
      <w:pPr>
        <w:spacing w:after="0" w:line="118" w:lineRule="exact"/>
        <w:rPr>
          <w:rFonts w:ascii="Times New Roman" w:cs="Times New Roman" w:eastAsia="Times New Roman" w:hAnsi="Times New Roman"/>
          <w:sz w:val="12"/>
          <w:szCs w:val="12"/>
          <w:color w:val="auto"/>
        </w:rPr>
      </w:pPr>
    </w:p>
    <w:p>
      <w:pPr>
        <w:ind w:left="608" w:hanging="176"/>
        <w:spacing w:after="0"/>
        <w:tabs>
          <w:tab w:leader="none" w:pos="608" w:val="left"/>
        </w:tabs>
        <w:numPr>
          <w:ilvl w:val="1"/>
          <w:numId w:val="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Stockholder Approval Requirement</w:t>
      </w:r>
      <w:r>
        <w:rPr>
          <w:rFonts w:ascii="Times New Roman" w:cs="Times New Roman" w:eastAsia="Times New Roman" w:hAnsi="Times New Roman"/>
          <w:sz w:val="12"/>
          <w:szCs w:val="12"/>
          <w:color w:val="auto"/>
        </w:rPr>
        <w:t>. If required by applicable rules or regulations of a national securities exchange or the SEC, the Company shall obtain stockholder approval with respect to any amendment to the Plan that</w:t>
      </w:r>
    </w:p>
    <w:p>
      <w:pPr>
        <w:spacing w:after="0" w:line="16" w:lineRule="exact"/>
        <w:rPr>
          <w:rFonts w:ascii="Times New Roman" w:cs="Times New Roman" w:eastAsia="Times New Roman" w:hAnsi="Times New Roman"/>
          <w:sz w:val="12"/>
          <w:szCs w:val="12"/>
          <w:color w:val="auto"/>
        </w:rPr>
      </w:pPr>
    </w:p>
    <w:p>
      <w:pPr>
        <w:jc w:val="both"/>
        <w:ind w:left="8" w:hanging="8"/>
        <w:spacing w:after="0" w:line="255" w:lineRule="auto"/>
        <w:tabs>
          <w:tab w:leader="none" w:pos="152" w:val="left"/>
        </w:tabs>
        <w:numPr>
          <w:ilvl w:val="0"/>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expands the types of Awards available under the Plan, (ii) materially increases the aggregate number of shares which may be issued under the Plan, except as permitted pursuant to Section 1.5(c), (iii) materially increases the benefits to participants under the Plan, including any material change to (A) permit, or that has the effect of, a Repricing of any outstanding Award, (B) reduce the price at which shares or options to purchase shares may be offered or (C) extend the duration of the Plan, or (iv) materially expands the class of Persons eligible to receive Awards under the Plan.</w:t>
      </w:r>
    </w:p>
    <w:p>
      <w:pPr>
        <w:spacing w:after="0" w:line="125" w:lineRule="exact"/>
        <w:rPr>
          <w:rFonts w:ascii="Times New Roman" w:cs="Times New Roman" w:eastAsia="Times New Roman" w:hAnsi="Times New Roman"/>
          <w:sz w:val="12"/>
          <w:szCs w:val="12"/>
          <w:color w:val="auto"/>
        </w:rPr>
      </w:pPr>
    </w:p>
    <w:p>
      <w:pPr>
        <w:jc w:val="both"/>
        <w:ind w:left="8" w:firstLine="424"/>
        <w:spacing w:after="0" w:line="254" w:lineRule="auto"/>
        <w:tabs>
          <w:tab w:leader="none" w:pos="612" w:val="left"/>
        </w:tabs>
        <w:numPr>
          <w:ilvl w:val="1"/>
          <w:numId w:val="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Modification of Awards</w:t>
      </w:r>
      <w:r>
        <w:rPr>
          <w:rFonts w:ascii="Times New Roman" w:cs="Times New Roman" w:eastAsia="Times New Roman" w:hAnsi="Times New Roman"/>
          <w:sz w:val="12"/>
          <w:szCs w:val="12"/>
          <w:color w:val="auto"/>
        </w:rPr>
        <w:t xml:space="preserve">. The Administrator may cancel any Award under the Plan. The Administrator also may amend any outstanding Award Agreement, including, without limitation, by amendment which would: (i) accelerate the time or times at which the Award becomes unrestricted, vested or may be exercised; (ii) waive or amend any goals, restrictions or conditions set forth in the Award Agreement; or (iii) waive or amend the operation of Section 2.4, Section 2.6(e) or Section 2.7(e) with respect to the termination of the Award upon termination of employment or consultancy/service relationship or dismissal from the Board;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amendment shall be made without shareholder approval if such approval is necessary to comply with any tax or regulatory requirement applicable to the Award. However, any such cancellation or amendment (other than an amendment pursuant to Section 1.5, Section 3.5 or Section 3.16) that materially impairs the rights or materially increases the obligations of a grantee under an outstanding Award shall be made only with the consent of the grantee (or, upon the grantee’s death, the Person having the rights to the Award). In making any modification to an Award (</w:t>
      </w:r>
      <w:r>
        <w:rPr>
          <w:rFonts w:ascii="Times New Roman" w:cs="Times New Roman" w:eastAsia="Times New Roman" w:hAnsi="Times New Roman"/>
          <w:sz w:val="12"/>
          <w:szCs w:val="12"/>
          <w:u w:val="single" w:color="auto"/>
          <w:color w:val="auto"/>
        </w:rPr>
        <w:t>e.g.</w:t>
      </w:r>
      <w:r>
        <w:rPr>
          <w:rFonts w:ascii="Times New Roman" w:cs="Times New Roman" w:eastAsia="Times New Roman" w:hAnsi="Times New Roman"/>
          <w:sz w:val="12"/>
          <w:szCs w:val="12"/>
          <w:color w:val="auto"/>
        </w:rPr>
        <w:t>, an amendment resulting in a direct or indirect reduction in the Exercise Price or a waiver or modification under Section 2.4(f), Section 2.6(e) or Section 2.7(e)), the Administrator may consider the implications, if any, of such modification under the Code with respect to Sections 409A and 457A of the Code in respect of Awards granted under the Plan to individuals subject to such provisions of the Code.</w:t>
      </w:r>
    </w:p>
    <w:p>
      <w:pPr>
        <w:spacing w:after="0" w:line="12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3.2 Consent Requirement</w:t>
      </w:r>
    </w:p>
    <w:p>
      <w:pPr>
        <w:spacing w:after="0" w:line="154" w:lineRule="exact"/>
        <w:rPr>
          <w:sz w:val="20"/>
          <w:szCs w:val="20"/>
          <w:color w:val="auto"/>
        </w:rPr>
      </w:pPr>
    </w:p>
    <w:p>
      <w:pPr>
        <w:jc w:val="both"/>
        <w:ind w:left="8" w:firstLine="424"/>
        <w:spacing w:after="0" w:line="265" w:lineRule="auto"/>
        <w:tabs>
          <w:tab w:leader="none" w:pos="603" w:val="left"/>
        </w:tabs>
        <w:numPr>
          <w:ilvl w:val="0"/>
          <w:numId w:val="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No Plan Action Without Required Consent</w:t>
      </w:r>
      <w:r>
        <w:rPr>
          <w:rFonts w:ascii="Times New Roman" w:cs="Times New Roman" w:eastAsia="Times New Roman" w:hAnsi="Times New Roman"/>
          <w:sz w:val="12"/>
          <w:szCs w:val="12"/>
          <w:color w:val="auto"/>
        </w:rPr>
        <w:t>. If the Administrator shall at any time determine that any Consent (as defined below) is necessary or desirable as a condition of, or in connection with, the granting of any Award under the Plan, the issuance or purchase of shares or other rights thereunder, or the taking of any other action thereunder (each such action being hereinafter referred to as a “Plan Action”), then such Plan Action shall not be taken, in whole or in part, unless and until such Consent shall have been effected or obtained to the full satisfaction of the Administrator.</w:t>
      </w:r>
    </w:p>
    <w:p>
      <w:pPr>
        <w:spacing w:after="0" w:line="19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160" w:name="page161"/>
    <w:bookmarkEnd w:id="160"/>
    <w:p>
      <w:pPr>
        <w:jc w:val="both"/>
        <w:ind w:firstLine="424"/>
        <w:spacing w:after="0" w:line="260" w:lineRule="auto"/>
        <w:tabs>
          <w:tab w:leader="none" w:pos="602" w:val="left"/>
        </w:tabs>
        <w:numPr>
          <w:ilvl w:val="0"/>
          <w:numId w:val="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Consent Defined</w:t>
      </w:r>
      <w:r>
        <w:rPr>
          <w:rFonts w:ascii="Times New Roman" w:cs="Times New Roman" w:eastAsia="Times New Roman" w:hAnsi="Times New Roman"/>
          <w:sz w:val="12"/>
          <w:szCs w:val="12"/>
          <w:color w:val="auto"/>
        </w:rPr>
        <w:t>. The term “Consent” as used herein with respect to any Plan Action means (i) any and all listings, registrations or qualifications in respect thereof upon any securities exchange or under any federal, state or local law, rule or regulation, (ii) any and all written agreements and representations by the grantee with respect to the disposition of shares, or with respect to any other matter, which the Administrator shall deem necessary or desirable to comply with the terms of any such listing, registration or qualification or to obtain an exemption from the requirement that any such listing, qualification or registration be made and (iii) any and all consents, clearances and approvals in respect of a Plan Action by any governmental or other regulatory bodies or any other Person.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3.3 Nonassignability</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Except as provided in Section 2.4(e), Section 2.5, Section 2.6(d) or Section 2.7(e), (a) no Award or right granted to any Person under the Plan or under any Award Agreement shall be assignable or transferable other than by will or by the laws of descent and distribution and (b) all rights granted under the Plan or any Award Agreement shall be exercisable during the life of the grantee only by the grantee or the grantee’s legal representative or the grantee’s permissible successors or assigns (as authorized and determined by the Administrator). All terms and conditions of the Plan and the applicable Award Agreements will be binding upon any permitted successors or assigns.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3.4 Taxes</w:t>
      </w:r>
    </w:p>
    <w:p>
      <w:pPr>
        <w:spacing w:after="0" w:line="154" w:lineRule="exact"/>
        <w:rPr>
          <w:sz w:val="20"/>
          <w:szCs w:val="20"/>
          <w:color w:val="auto"/>
        </w:rPr>
      </w:pPr>
    </w:p>
    <w:p>
      <w:pPr>
        <w:jc w:val="both"/>
        <w:ind w:firstLine="424"/>
        <w:spacing w:after="0" w:line="254" w:lineRule="auto"/>
        <w:tabs>
          <w:tab w:leader="none" w:pos="595"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Withholding</w:t>
      </w:r>
      <w:r>
        <w:rPr>
          <w:rFonts w:ascii="Times New Roman" w:cs="Times New Roman" w:eastAsia="Times New Roman" w:hAnsi="Times New Roman"/>
          <w:sz w:val="12"/>
          <w:szCs w:val="12"/>
          <w:color w:val="auto"/>
        </w:rPr>
        <w:t>. A grantee or other Award holder under the Plan shall be required to pay, in cash, to the Company, and the Company and its Subsidiaries and Affiliates shall have the right and are hereby authorized to withhold from any Award, from any cash or other payment due or transfer made under any Award or under the Plan or from any compensation or other amount owing to such grantee or other Award holder, the amount of any applicable withholding taxes in respect of an Award, its grant, its exercise, its vesting, or any payment or transfer under an Award or under the Plan up to the maximum statutory rates in the applicable jurisdiction with respect to the Award, as determined by the Company, and to take such other action as may be necessary in the opinion of the Company to satisfy all obligations for payment of such taxes. Whenever shares of Common Stock are to be delivered pursuant to an Award under the Plan, with the approval of the Administrator, which the Administrator shall have sole discretion whether or not to give, the grantee may satisfy the foregoing condition by electing to have the Company withhold from delivery shares having a value equal to the amount of the applicable withholding taxes as determined in accordance with this Section 3.4(a). Such shares shall be valued at their Fair Market Value as of the date on which the amount of tax to be withheld is determined. Fractional share amounts shall be settled in cash. Such a withholding election may be made with respect to all or any portion of the shares to be delivered pursuant to an Award as may be approved by the Administrator in its sole discretion.</w:t>
      </w:r>
    </w:p>
    <w:p>
      <w:pPr>
        <w:spacing w:after="0" w:line="127" w:lineRule="exact"/>
        <w:rPr>
          <w:rFonts w:ascii="Times New Roman" w:cs="Times New Roman" w:eastAsia="Times New Roman" w:hAnsi="Times New Roman"/>
          <w:sz w:val="12"/>
          <w:szCs w:val="12"/>
          <w:color w:val="auto"/>
        </w:rPr>
      </w:pPr>
    </w:p>
    <w:p>
      <w:pPr>
        <w:jc w:val="both"/>
        <w:ind w:firstLine="424"/>
        <w:spacing w:after="0" w:line="255" w:lineRule="auto"/>
        <w:tabs>
          <w:tab w:leader="none" w:pos="602" w:val="left"/>
        </w:tabs>
        <w:numPr>
          <w:ilvl w:val="0"/>
          <w:numId w:val="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Liability for Taxes</w:t>
      </w:r>
      <w:r>
        <w:rPr>
          <w:rFonts w:ascii="Times New Roman" w:cs="Times New Roman" w:eastAsia="Times New Roman" w:hAnsi="Times New Roman"/>
          <w:sz w:val="12"/>
          <w:szCs w:val="12"/>
          <w:color w:val="auto"/>
        </w:rPr>
        <w:t>. Grantees and holders of Awards are solely responsible and liable for the satisfaction of all taxes and penalties that may arise in connection with Awards (including, without limitation, any taxes arising under Sections 409A and 457A of the Code) and the Company shall not have any obligation to indemnify or otherwise hold any such Person harmless from any or all of such taxes. The Administrator shall have the discretion to organize any deferral program, to require deferral election forms, and to grant or, notwithstanding anything to the contrary in the Plan or any Award Agreement, to unilaterally modify any Award in a manner that (i) conforms with the requirements of Sections 409A and 457A of the Code (to the extent applicable), (ii) voids any participant election to the extent it would violate Section 409A or Section 457A of the Code (to the extent applicable) and (iii) for any distribution event or election that could be expected to violate Section 409A of the Code, make the distribution only upon the earliest of the first to occur of a “permissible distribution event” within the meaning of Section 409A of the Code or a distribution event that the participant elects in accordance with Section 409A of the Code. The Administrator shall have the sole discretion to interpret the requirements of the Code, including, without limitation, Sections 409A and 457A, for purposes of the Plan and all Awards.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9" w:right="29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2"/>
          <w:szCs w:val="12"/>
          <w:b w:val="1"/>
          <w:bCs w:val="1"/>
          <w:color w:val="auto"/>
        </w:rPr>
        <w:t>3.5 Change in Control</w:t>
      </w:r>
    </w:p>
    <w:p>
      <w:pPr>
        <w:spacing w:after="0" w:line="154" w:lineRule="exact"/>
        <w:rPr>
          <w:sz w:val="20"/>
          <w:szCs w:val="20"/>
          <w:color w:val="auto"/>
        </w:rPr>
      </w:pPr>
    </w:p>
    <w:p>
      <w:pPr>
        <w:jc w:val="both"/>
        <w:ind w:firstLine="424"/>
        <w:spacing w:after="0" w:line="265" w:lineRule="auto"/>
        <w:tabs>
          <w:tab w:leader="none" w:pos="595" w:val="left"/>
        </w:tabs>
        <w:numPr>
          <w:ilvl w:val="0"/>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Change in Control Defined</w:t>
      </w:r>
      <w:r>
        <w:rPr>
          <w:rFonts w:ascii="Times New Roman" w:cs="Times New Roman" w:eastAsia="Times New Roman" w:hAnsi="Times New Roman"/>
          <w:sz w:val="12"/>
          <w:szCs w:val="12"/>
          <w:color w:val="auto"/>
        </w:rPr>
        <w:t>. Unless otherwise specifically set forth in the applicable Award Agreement, for purposes of the Plan, “Change in Control” shall mean the occurrence of any of the following (provided that if there is an employment, severance, consulting, service or other agreement governing the relationship between the grantee, on the one hand, and the Company or any Subsidiary or Affiliate, on the other hand, that contains a definition of “change in control” (or similar phrase), for purposes of the Plan, the term “Change in Control” shall have the meaning ascribed to “change in control” (or such similar phrase) under such agreement):</w:t>
      </w:r>
    </w:p>
    <w:p>
      <w:pPr>
        <w:spacing w:after="0" w:line="118" w:lineRule="exact"/>
        <w:rPr>
          <w:rFonts w:ascii="Times New Roman" w:cs="Times New Roman" w:eastAsia="Times New Roman" w:hAnsi="Times New Roman"/>
          <w:sz w:val="12"/>
          <w:szCs w:val="12"/>
          <w:color w:val="auto"/>
        </w:rPr>
      </w:pPr>
    </w:p>
    <w:p>
      <w:pPr>
        <w:jc w:val="both"/>
        <w:ind w:left="420" w:firstLine="436"/>
        <w:spacing w:after="0" w:line="257" w:lineRule="auto"/>
        <w:tabs>
          <w:tab w:leader="none" w:pos="997"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“person” (as defined in Section 13(d)(3) of the 1934 Act), company or other entity acquires “beneficial ownership” (as defined in Rule 13d-3 under the 1934 Act), directly or indirectly, of more than 40% of the aggregate voting power of the capital stock ordinarily entitled to elect directors of the Company;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Change in Control shall have occurred in the event of such an acquisition by (A) the Company, (B) any trustee or other fiduciary holding securities under an employee benefit plan of the Company or any Subsidiary or Affiliate, or (C) any company or other entity owned, directly or indirectly, by the holders of the voting stock ordinarily entitled to elect directors of the Company in substantially the same proportions as their ownership of the aggregate voting power of the capital stock ordinarily entitled to elect directors of the Company immediately prior to such acquisition;</w:t>
      </w:r>
    </w:p>
    <w:p>
      <w:pPr>
        <w:spacing w:after="0" w:line="125" w:lineRule="exact"/>
        <w:rPr>
          <w:rFonts w:ascii="Times New Roman" w:cs="Times New Roman" w:eastAsia="Times New Roman" w:hAnsi="Times New Roman"/>
          <w:sz w:val="12"/>
          <w:szCs w:val="12"/>
          <w:color w:val="auto"/>
        </w:rPr>
      </w:pPr>
    </w:p>
    <w:p>
      <w:pPr>
        <w:jc w:val="both"/>
        <w:ind w:left="420" w:firstLine="436"/>
        <w:spacing w:after="0" w:line="256" w:lineRule="auto"/>
        <w:tabs>
          <w:tab w:leader="none" w:pos="1036"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sale of all or substantially all the Company’s assets in one or more related transactions to any “person” (as defined in Section 13(d)(3) of the 1934 Act), company or other entity;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Change in Control shall have occurred in the event of such a sale (A) to a Subsidiary which does not involve a material change in the equity holdings of the Company, or (B) to an entity (the “Acquiring Entity”) which has acquired all or substantially all the Company’s assets if, immediately following such sale, 60% or more of the aggregate voting power of the capital stock ordinarily entitled to elect directors of the Acquiring Entity (or, if applicable, the ultimate parent entity that directly or indirectly has beneficial ownership of more than 60% of the aggregate voting power of the capital stock ordinarily entitled to elect directors of the Acquiring Entity) is beneficially owned by the holders of the voting stock ordinarily entitled to elect directors of the Company immediately prior to such sale in substantially the same proportions as the aggregate voting power of the capital stock ordinarily entitled to elect directors of the Company immediately prior to such sale;</w:t>
      </w:r>
    </w:p>
    <w:p>
      <w:pPr>
        <w:spacing w:after="0" w:line="124" w:lineRule="exact"/>
        <w:rPr>
          <w:rFonts w:ascii="Times New Roman" w:cs="Times New Roman" w:eastAsia="Times New Roman" w:hAnsi="Times New Roman"/>
          <w:sz w:val="12"/>
          <w:szCs w:val="12"/>
          <w:color w:val="auto"/>
        </w:rPr>
      </w:pPr>
    </w:p>
    <w:p>
      <w:pPr>
        <w:jc w:val="both"/>
        <w:ind w:left="420" w:firstLine="436"/>
        <w:spacing w:after="0" w:line="260" w:lineRule="auto"/>
        <w:tabs>
          <w:tab w:leader="none" w:pos="1066" w:val="left"/>
        </w:tabs>
        <w:numPr>
          <w:ilvl w:val="1"/>
          <w:numId w:val="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merger, consolidation, reorganization or similar event of the Company or any Subsidiary;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Change in Control shall have occurred in the event 60% or more of the aggregate voting power of the capital stock ordinarily entitled to elect directors of the surviving entity (or, if applicable, the ultimate parent entity that directly or indirectly has beneficial ownership of more than 60% of the aggregate voting power of the capital stock ordinarily entitled to elect directors of the surviving entity) is beneficially owned by the holders of the voting stock ordinarily entitled to elect directors of the Company immediately prior to such event in substantially the same proportions as the aggregate voting power of the capital stock ordinarily entitled to elect directors of the Company immediately prior to such event;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162" w:name="page163"/>
    <w:bookmarkEnd w:id="162"/>
    <w:p>
      <w:pPr>
        <w:ind w:left="1060" w:hanging="204"/>
        <w:spacing w:after="0"/>
        <w:tabs>
          <w:tab w:leader="none" w:pos="106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approval by the Company’s stockholders of a plan of complete liquidation or dissolution of the Company; or</w:t>
      </w:r>
    </w:p>
    <w:p>
      <w:pPr>
        <w:spacing w:after="0" w:line="150" w:lineRule="exact"/>
        <w:rPr>
          <w:rFonts w:ascii="Times New Roman" w:cs="Times New Roman" w:eastAsia="Times New Roman" w:hAnsi="Times New Roman"/>
          <w:sz w:val="12"/>
          <w:szCs w:val="12"/>
          <w:color w:val="auto"/>
        </w:rPr>
      </w:pPr>
    </w:p>
    <w:p>
      <w:pPr>
        <w:ind w:left="1020" w:hanging="164"/>
        <w:spacing w:after="0"/>
        <w:tabs>
          <w:tab w:leader="none" w:pos="1020" w:val="left"/>
        </w:tabs>
        <w:numPr>
          <w:ilvl w:val="0"/>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period of 24 consecutive calendar months, individuals:</w:t>
      </w:r>
    </w:p>
    <w:p>
      <w:pPr>
        <w:spacing w:after="0" w:line="150" w:lineRule="exact"/>
        <w:rPr>
          <w:rFonts w:ascii="Times New Roman" w:cs="Times New Roman" w:eastAsia="Times New Roman" w:hAnsi="Times New Roman"/>
          <w:sz w:val="12"/>
          <w:szCs w:val="12"/>
          <w:color w:val="auto"/>
        </w:rPr>
      </w:pPr>
    </w:p>
    <w:p>
      <w:pPr>
        <w:ind w:left="1480" w:hanging="192"/>
        <w:spacing w:after="0"/>
        <w:tabs>
          <w:tab w:leader="none" w:pos="1480"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were directors of the Company on the first day of such period, or</w:t>
      </w:r>
    </w:p>
    <w:p>
      <w:pPr>
        <w:spacing w:after="0" w:line="150" w:lineRule="exact"/>
        <w:rPr>
          <w:rFonts w:ascii="Times New Roman" w:cs="Times New Roman" w:eastAsia="Times New Roman" w:hAnsi="Times New Roman"/>
          <w:sz w:val="12"/>
          <w:szCs w:val="12"/>
          <w:color w:val="auto"/>
        </w:rPr>
      </w:pPr>
    </w:p>
    <w:p>
      <w:pPr>
        <w:ind w:left="420" w:right="20" w:firstLine="868"/>
        <w:spacing w:after="0" w:line="279" w:lineRule="auto"/>
        <w:tabs>
          <w:tab w:leader="none" w:pos="1477" w:val="left"/>
        </w:tabs>
        <w:numPr>
          <w:ilvl w:val="1"/>
          <w:numId w:val="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whose election or nomination for election to the Board was recommended or approved by at least a majority of the directors then still in office who were directors of the Company on the first day of such period, or whose election or nomination for election were so approved, shall cease to constitute a majority of the Board.</w:t>
      </w:r>
    </w:p>
    <w:p>
      <w:pPr>
        <w:spacing w:after="0" w:line="11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Notwithstanding the foregoing, unless otherwise specifically set forth in the applicable Award Agreement, for each Award subject to Section 409A of the Code, to the extent necessary to prevent the imposition of taxes or penalties under Section 409A of the Code, a Change in Control shall be deemed to have occurred under this Plan with respect to such Award only if a change in the ownership or effective control of the Company or a change in the ownership of a substantial portion of the assets of the Company shall also be deemed to have occurred under Section 409A of the Code.</w:t>
      </w:r>
    </w:p>
    <w:p>
      <w:pPr>
        <w:spacing w:after="0" w:line="119" w:lineRule="exact"/>
        <w:rPr>
          <w:sz w:val="20"/>
          <w:szCs w:val="20"/>
          <w:color w:val="auto"/>
        </w:rPr>
      </w:pPr>
    </w:p>
    <w:p>
      <w:pPr>
        <w:ind w:firstLine="424"/>
        <w:spacing w:after="0" w:line="279" w:lineRule="auto"/>
        <w:tabs>
          <w:tab w:leader="none" w:pos="602"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Effect of a Change in Control</w:t>
      </w:r>
      <w:r>
        <w:rPr>
          <w:rFonts w:ascii="Times New Roman" w:cs="Times New Roman" w:eastAsia="Times New Roman" w:hAnsi="Times New Roman"/>
          <w:sz w:val="12"/>
          <w:szCs w:val="12"/>
          <w:color w:val="auto"/>
        </w:rPr>
        <w:t>. Unless otherwise specifically provided in an Award Agreement or any applicable employment, severance or consulting agreement entered into between the grantee and the Company or any Subsidiary or Affiliate, upon the occurrence of a Change in Control:</w:t>
      </w:r>
    </w:p>
    <w:p>
      <w:pPr>
        <w:spacing w:after="0" w:line="111" w:lineRule="exact"/>
        <w:rPr>
          <w:rFonts w:ascii="Times New Roman" w:cs="Times New Roman" w:eastAsia="Times New Roman" w:hAnsi="Times New Roman"/>
          <w:sz w:val="12"/>
          <w:szCs w:val="12"/>
          <w:color w:val="auto"/>
        </w:rPr>
      </w:pPr>
    </w:p>
    <w:p>
      <w:pPr>
        <w:ind w:left="420" w:firstLine="436"/>
        <w:spacing w:after="0" w:line="279" w:lineRule="auto"/>
        <w:tabs>
          <w:tab w:leader="none" w:pos="996"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this Plan, any Award then outstanding shall become fully vested and any forfeiture provisions thereon imposed pursuant to the Plan and the applicable Award Agreement shall lapse and any Award in the form of an option or stock appreciation right shall be immediately exercisable;</w:t>
      </w:r>
    </w:p>
    <w:p>
      <w:pPr>
        <w:spacing w:after="0" w:line="111" w:lineRule="exact"/>
        <w:rPr>
          <w:rFonts w:ascii="Times New Roman" w:cs="Times New Roman" w:eastAsia="Times New Roman" w:hAnsi="Times New Roman"/>
          <w:sz w:val="12"/>
          <w:szCs w:val="12"/>
          <w:color w:val="auto"/>
        </w:rPr>
      </w:pPr>
    </w:p>
    <w:p>
      <w:pPr>
        <w:ind w:left="1040" w:hanging="184"/>
        <w:spacing w:after="0"/>
        <w:tabs>
          <w:tab w:leader="none" w:pos="1040"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permitted by law and not otherwise limited by the terms of the Plan, the Administrator may amend any Award Agreement in such manner as it deems appropriate;</w:t>
      </w:r>
    </w:p>
    <w:p>
      <w:pPr>
        <w:spacing w:after="0" w:line="150" w:lineRule="exact"/>
        <w:rPr>
          <w:rFonts w:ascii="Times New Roman" w:cs="Times New Roman" w:eastAsia="Times New Roman" w:hAnsi="Times New Roman"/>
          <w:sz w:val="12"/>
          <w:szCs w:val="12"/>
          <w:color w:val="auto"/>
        </w:rPr>
      </w:pPr>
    </w:p>
    <w:p>
      <w:pPr>
        <w:jc w:val="both"/>
        <w:ind w:left="420" w:firstLine="436"/>
        <w:spacing w:after="0" w:line="260" w:lineRule="auto"/>
        <w:tabs>
          <w:tab w:leader="none" w:pos="1064" w:val="left"/>
        </w:tabs>
        <w:numPr>
          <w:ilvl w:val="1"/>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grantee who incurs a termination of employment or consultancy/service relationship for any reason, other than a termination or dismissal “for Cause”, concurrent with or within one year following the Change in Control may exercise any outstanding option or stock appreciation right, but only to the extent that the grantee was entitled to exercise the Award on the date of his or her termination of employment or consultancy/service relationship, until the earlier of (A) the original expiration date of the Award and (B) the later of (x) the date provided for under the terms of Section 2.4 without reference to this Section 3.5(b)(iii) and (y) the first anniversary of the grantee’s termination of employment or consultancy/service relationship.</w:t>
      </w:r>
    </w:p>
    <w:p>
      <w:pPr>
        <w:spacing w:after="0" w:line="122"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Miscellaneous</w:t>
      </w:r>
      <w:r>
        <w:rPr>
          <w:rFonts w:ascii="Times New Roman" w:cs="Times New Roman" w:eastAsia="Times New Roman" w:hAnsi="Times New Roman"/>
          <w:sz w:val="12"/>
          <w:szCs w:val="12"/>
          <w:color w:val="auto"/>
        </w:rPr>
        <w:t>. Whenever deemed appropriate by the Administrator, any action referred to in paragraph (b)(ii) of this Section 3.5 may be made conditional upon the consummation of the applicable Change in Control</w:t>
      </w:r>
    </w:p>
    <w:p>
      <w:pPr>
        <w:spacing w:after="0" w:line="16" w:lineRule="exact"/>
        <w:rPr>
          <w:rFonts w:ascii="Times New Roman" w:cs="Times New Roman" w:eastAsia="Times New Roman" w:hAnsi="Times New Roman"/>
          <w:sz w:val="12"/>
          <w:szCs w:val="12"/>
          <w:color w:val="auto"/>
        </w:rPr>
      </w:pP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transaction.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7" w:right="2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2"/>
          <w:szCs w:val="12"/>
          <w:b w:val="1"/>
          <w:bCs w:val="1"/>
          <w:color w:val="auto"/>
        </w:rPr>
        <w:t>3.6 Operation and Conduct of Business</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Nothing in the Plan or any Award Agreement shall be construed as limiting or preventing the Company or any Subsidiary or Affiliate from taking any action with respect to the operation and conduct of its business that it deems appropriate or in its best interests, including any or all adjustments, recapitalizations, reorganizations, exchanges or other changes in the capital structure of the Company or any Subsidiary or Affiliate, any merger or consolidation of the Company or any Subsidiary or Affiliate, any issuance of Company shares or other securities or subscription rights, any issuance of bonds, debentures, preferred or prior preference stock ahead of or affecting the Common Stock or other securities or rights thereof, any dissolution or liquidation of the Company or any Subsidiary or Affiliate, any sale or transfer of all or any part of the assets or business of the Company or any Subsidiary or Affiliate, or any other corporate act or proceeding, whether of a similar character or otherwise.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3.7 No Rights to Awards</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No Key Person or other Person shall have any claim to be granted any Award under the Plan.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3.8 Right of Discharge Reserved</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Nothing in the Plan or in any Award Agreement shall confer upon any grantee the right to continue his or her employment with the Company or any Subsidiary or Affiliate, his or her consultancy/service relationship with the Company or any Subsidiary or Affiliate, or his or her position as a director of the Company or any Subsidiary or Affiliate, or affect any right that the Company or any Subsidiary or Affiliate may have to terminate such employment or consultancy/service relationship or service as a director.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3.9 Non-Uniform Determinations</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Administrator’s determinations and the treatment of Key Persons and grantees and their beneficiaries under the Plan need not be uniform and may be made and determined by the Administrator selectively among Persons who receive, or who are eligible to receive, Awards under the Plan (whether or not such Persons are similarly situated). Without limiting the generality of the foregoing, the Administrator shall be entitled, among other things, to make non-uniform and selective determinations, and to enter into non-uniform and selective Award Agreements, as to (a) the Persons to receive Awards under the Plan, (b) the types of Awards granted under the Plan, (c) the number of shares to be covered by, or with respect to which payments, rights or other matters are to be calculated with respect to, Awards and (d) the terms and conditions of Awards.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3.10 Other Payments or Awards</w:t>
      </w:r>
    </w:p>
    <w:p>
      <w:pPr>
        <w:spacing w:after="0" w:line="154" w:lineRule="exact"/>
        <w:rPr>
          <w:sz w:val="20"/>
          <w:szCs w:val="20"/>
          <w:color w:val="auto"/>
        </w:rPr>
      </w:pPr>
    </w:p>
    <w:p>
      <w:pPr>
        <w:jc w:val="both"/>
        <w:ind w:right="20" w:firstLine="432"/>
        <w:spacing w:after="0" w:line="279" w:lineRule="auto"/>
        <w:rPr>
          <w:sz w:val="20"/>
          <w:szCs w:val="20"/>
          <w:color w:val="auto"/>
        </w:rPr>
      </w:pPr>
      <w:r>
        <w:rPr>
          <w:rFonts w:ascii="Times New Roman" w:cs="Times New Roman" w:eastAsia="Times New Roman" w:hAnsi="Times New Roman"/>
          <w:sz w:val="12"/>
          <w:szCs w:val="12"/>
          <w:color w:val="auto"/>
        </w:rPr>
        <w:t>Nothing contained in the Plan shall be deemed in any way to limit or restrict the Company from making any award or payment to any Person under any other plan, arrangement or understanding, whether now existing or hereafter in effect.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2"/>
          <w:szCs w:val="12"/>
          <w:b w:val="1"/>
          <w:bCs w:val="1"/>
          <w:color w:val="auto"/>
        </w:rPr>
        <w:t>3.11 Headings</w:t>
      </w:r>
    </w:p>
    <w:p>
      <w:pPr>
        <w:spacing w:after="0" w:line="154" w:lineRule="exact"/>
        <w:rPr>
          <w:sz w:val="20"/>
          <w:szCs w:val="20"/>
          <w:color w:val="auto"/>
        </w:rPr>
      </w:pPr>
    </w:p>
    <w:p>
      <w:pPr>
        <w:ind w:firstLine="432"/>
        <w:spacing w:after="0" w:line="279" w:lineRule="auto"/>
        <w:rPr>
          <w:sz w:val="20"/>
          <w:szCs w:val="20"/>
          <w:color w:val="auto"/>
        </w:rPr>
      </w:pPr>
      <w:r>
        <w:rPr>
          <w:rFonts w:ascii="Times New Roman" w:cs="Times New Roman" w:eastAsia="Times New Roman" w:hAnsi="Times New Roman"/>
          <w:sz w:val="12"/>
          <w:szCs w:val="12"/>
          <w:color w:val="auto"/>
        </w:rPr>
        <w:t>Any section, subsection, paragraph or other subdivision headings contained herein are for the purpose of convenience only and are not intended to expand, limit or otherwise define the contents of such section, subsection, paragraph or subdivision.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3.12 Effective Date and Term of Plan</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 xml:space="preserve">(a) </w:t>
      </w:r>
      <w:r>
        <w:rPr>
          <w:rFonts w:ascii="Times New Roman" w:cs="Times New Roman" w:eastAsia="Times New Roman" w:hAnsi="Times New Roman"/>
          <w:sz w:val="12"/>
          <w:szCs w:val="12"/>
          <w:u w:val="single" w:color="auto"/>
          <w:color w:val="auto"/>
        </w:rPr>
        <w:t>Adoption</w:t>
      </w:r>
      <w:r>
        <w:rPr>
          <w:rFonts w:ascii="Times New Roman" w:cs="Times New Roman" w:eastAsia="Times New Roman" w:hAnsi="Times New Roman"/>
          <w:sz w:val="12"/>
          <w:szCs w:val="12"/>
          <w:color w:val="auto"/>
        </w:rPr>
        <w:t>. The Plan was initially adopted by the Board on February 4, 2019 and was amended and restated on September 29, 2021 (together, the “</w:t>
      </w:r>
      <w:r>
        <w:rPr>
          <w:rFonts w:ascii="Times New Roman" w:cs="Times New Roman" w:eastAsia="Times New Roman" w:hAnsi="Times New Roman"/>
          <w:sz w:val="12"/>
          <w:szCs w:val="12"/>
          <w:b w:val="1"/>
          <w:bCs w:val="1"/>
          <w:color w:val="auto"/>
        </w:rPr>
        <w:t>Original Plan</w:t>
      </w:r>
      <w:r>
        <w:rPr>
          <w:rFonts w:ascii="Times New Roman" w:cs="Times New Roman" w:eastAsia="Times New Roman" w:hAnsi="Times New Roman"/>
          <w:sz w:val="12"/>
          <w:szCs w:val="12"/>
          <w:color w:val="auto"/>
        </w:rPr>
        <w:t>”) and was thereafter amended and restated on September 25,</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2025.</w:t>
      </w:r>
    </w:p>
    <w:p>
      <w:pPr>
        <w:spacing w:after="0" w:line="139" w:lineRule="exact"/>
        <w:rPr>
          <w:sz w:val="20"/>
          <w:szCs w:val="20"/>
          <w:color w:val="auto"/>
        </w:rPr>
      </w:pPr>
    </w:p>
    <w:p>
      <w:pPr>
        <w:ind w:right="20" w:firstLine="424"/>
        <w:spacing w:after="0" w:line="279" w:lineRule="auto"/>
        <w:tabs>
          <w:tab w:leader="none" w:pos="602" w:val="left"/>
        </w:tabs>
        <w:numPr>
          <w:ilvl w:val="0"/>
          <w:numId w:val="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Termination of Plan</w:t>
      </w:r>
      <w:r>
        <w:rPr>
          <w:rFonts w:ascii="Times New Roman" w:cs="Times New Roman" w:eastAsia="Times New Roman" w:hAnsi="Times New Roman"/>
          <w:sz w:val="12"/>
          <w:szCs w:val="12"/>
          <w:color w:val="auto"/>
        </w:rPr>
        <w:t>. The Board may terminate the Plan at any time. All Awards made under the Plan prior to its termination shall remain in effect until such Awards have been satisfied or terminated in accordance with the terms and provisions of the Plan and the applicable Award Agreements. No Awards may be granted under the Plan following the tenth anniversary of the date on which the Plan was adopted by the Board.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3.13 Restriction on Issuance of Stock Pursuant to Awards</w:t>
      </w:r>
    </w:p>
    <w:p>
      <w:pPr>
        <w:spacing w:after="0" w:line="154" w:lineRule="exact"/>
        <w:rPr>
          <w:sz w:val="20"/>
          <w:szCs w:val="20"/>
          <w:color w:val="auto"/>
        </w:rPr>
      </w:pPr>
    </w:p>
    <w:p>
      <w:pPr>
        <w:jc w:val="both"/>
        <w:ind w:firstLine="432"/>
        <w:spacing w:after="0" w:line="252" w:lineRule="auto"/>
        <w:rPr>
          <w:sz w:val="20"/>
          <w:szCs w:val="20"/>
          <w:color w:val="auto"/>
        </w:rPr>
      </w:pPr>
      <w:r>
        <w:rPr>
          <w:rFonts w:ascii="Times New Roman" w:cs="Times New Roman" w:eastAsia="Times New Roman" w:hAnsi="Times New Roman"/>
          <w:sz w:val="12"/>
          <w:szCs w:val="12"/>
          <w:color w:val="auto"/>
        </w:rPr>
        <w:t>The Company shall not permit any shares of Common Stock to be issued pursuant to Awards granted under the Plan unless such shares of Common Stock are fully paid and non-assessable under applicable law. Notwithstanding anything to the contrary in the Plan or any Award Agreement, at the time of the exercise of any Award, at the time of vesting of any Award, at the time of payment of shares of Common Stock in exchange for, or in cancellation of, any Award, or at the time of grant of any unrestricted shares under the Plan, the Company and the Administrator may, if either shall deem it necessary or advisable for any reason, require the holder of an Award (a) to represent in writing to the Company that it is the Award holder’s then-intention to acquire the shares with respect to which the Award is granted for investment and not with a view to the distribution thereof or (b) to postpone the date of exercise until such time as the Company has available for delivery to the Award holder a prospectus meeting the requirements of all applicable securities laws; and no shares shall be issued or transferred in connection with any Award unless and until all legal requirements applicable to the issuance or transfer of such shares have been complied with to the satisfaction of the Company and the Administrator. The Company and the Administrator shall have the right to condition any issuance of shares to any Award holder hereunder on such Person’s undertaking in writing to comply with such restrictions on the subsequent transfer of such shares as the Company or the Administrator shall deem necessary or advisable as a result of any applicable law, regulation or official interpretation thereof, and all share certificates delivered under the Plan shall be subject to such stop transfer orders and other restrictions as the Company or the Administrator may deem advisable under the Plan, the applicable Award Agreement or the rules, regulations and other requirements of the SEC, any stock exchange upon which such shares are listed, and any applicable securities or other laws, and certificates representing such shares may contain a legend to reflect any such restrictions. The Administrator may refuse to issue or transfer any shares or other consideration under an Award if it determines that the issuance or transfer of such shares or other consideration might violate any applicable law or regulation or entitle the Company to recover the same under Section 16(b) of the 1934 Act, and any payment tendered to the Company by a grantee or other Award holder in connection with the exercise of such Award shall be promptly refunded to the relevant grantee or other Award holder. Without limiting the generality of the foregoing, no Award granted under the Plan shall be construed as an offer to sell securities of the Company, and no such offer shall be outstanding, unless and until the Administrator has determined that any such offer, if made, would be in compliance with all applicable requirements of any applicable securities laws.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2"/>
          <w:szCs w:val="12"/>
          <w:b w:val="1"/>
          <w:bCs w:val="1"/>
          <w:color w:val="auto"/>
        </w:rPr>
        <w:t>3.14 Requirement of Notification of Election Under Section 83(b) of the Code</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an Award recipient, in connection with the acquisition of Company shares under the Plan, makes an election under Section 83(b) of the Code (to include in gross income in the year of transfer the amounts specified in Section 83(b) of the Code), the grantee shall notify the Administrator of such election within ten days of filing notice of the election with the U.S. Internal Revenue Service, in addition to any filing and notification required pursuant to regulations issued under Section 83(b) of the Code.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3.15 Severability</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If any provision of the Plan or any Award is or becomes or is deemed to be invalid, illegal, or unenforceable in any jurisdiction or as to any Person or Award, or would disqualify the Plan or any Award under any law deemed applicable by the Administrator, such provision shall be construed or deemed amended to conform to the applicable laws or, if it cannot be construed or deemed amended without, in the determination of the Administrator, materially altering the intent of the Plan or the Award, such provision shall be stricken as to such jurisdiction, Person or Award and the remainder of the Plan and any such Award shall remain in full force and effect.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3.16 Sections 409A and 457A</w:t>
      </w:r>
    </w:p>
    <w:p>
      <w:pPr>
        <w:spacing w:after="0" w:line="154"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To the extent applicable, the Plan and Award Agreements shall be interpreted in accordance with Sections 409A and 457A of the Code and Department of Treasury regulations and other interpretive guidance issued thereunder. Notwithstanding any provision of the Plan or any applicable Award Agreement to the contrary, in the event that the Administrator determines that any Award may be subject to Section 409A or Section 457A of the Code, the Administrator may adopt such amendments to the Plan and the applicable Award Agreement or adopt other policies and procedures (including amendments, policies and procedures with retroactive effect), or take any other actions, that the Administrator determines are necessary or appropriate to (i) exempt the Plan and Award from Sections 409A and 457A of the Code and/or preserve the intended tax treatment of the benefits provided with respect to the Award, or (ii) comply with the requirements of Sections 409A and 457A of the Code and related Department of Treasury guidance and thereby avoid the application of penalty taxes under Sections 409A and 457A of the Code.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3.17 Forfeiture; Clawback</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Administrator may, in its sole discretion, specify in the applicable Award Agreement that any realized gain with respect to options or stock appreciation rights and any realized value with respect to other Awards shall be subject to forfeiture or clawback, in the event of (a) a grantee’s breach of any non-competition, non-solicitation, confidentiality or other restrictive covenants with respect to the Company or any Subsidiary or Affiliate, (b) a grantee’s breach of any employment or consulting agreement with the Company or any Subsidiary or Affiliate, (c) a grantee’s termination for Cause or (d) a financial restatement that reduces the amount of compensation under the Plan previously awarded to a grantee that would have been earned had results been properly reported.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93" w:right="2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2"/>
          <w:szCs w:val="12"/>
          <w:b w:val="1"/>
          <w:bCs w:val="1"/>
          <w:color w:val="auto"/>
        </w:rPr>
        <w:t>3.18 No Trust or Fund Created</w:t>
      </w:r>
    </w:p>
    <w:p>
      <w:pPr>
        <w:spacing w:after="0" w:line="154"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2"/>
          <w:szCs w:val="12"/>
          <w:color w:val="auto"/>
        </w:rPr>
        <w:t>Neither the Plan nor any Award shall create or be construed to create a trust or separate fund of any kind or a fiduciary relationship between the Company or any Subsidiary or Affiliate and an Award recipient or any other Person. To the extent that any Person acquires a right to receive payments from the Company or any Subsidiary or Affiliate pursuant to an Award, such right shall be no greater than the right of any unsecured general creditor of the Company or its Subsidiary or Affiliate.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3.19 No Fractional Shares</w:t>
      </w:r>
    </w:p>
    <w:p>
      <w:pPr>
        <w:spacing w:after="0" w:line="154" w:lineRule="exact"/>
        <w:rPr>
          <w:sz w:val="20"/>
          <w:szCs w:val="20"/>
          <w:color w:val="auto"/>
        </w:rPr>
      </w:pPr>
    </w:p>
    <w:p>
      <w:pPr>
        <w:jc w:val="both"/>
        <w:ind w:firstLine="432"/>
        <w:spacing w:after="0" w:line="279" w:lineRule="auto"/>
        <w:rPr>
          <w:sz w:val="20"/>
          <w:szCs w:val="20"/>
          <w:color w:val="auto"/>
        </w:rPr>
      </w:pPr>
      <w:r>
        <w:rPr>
          <w:rFonts w:ascii="Times New Roman" w:cs="Times New Roman" w:eastAsia="Times New Roman" w:hAnsi="Times New Roman"/>
          <w:sz w:val="12"/>
          <w:szCs w:val="12"/>
          <w:color w:val="auto"/>
        </w:rPr>
        <w:t>No fractional shares shall be issued or delivered pursuant to the Plan or any Award, and the Administrator shall determine whether cash, other securities, or other property shall be paid or transferred in lieu of any fractional shares or whether such fractional shares or any rights thereto shall be canceled, terminated, or otherwise eliminated.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3.20 Governing Law</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The Plan will be construed and administered in accordance with the laws of the State of New York, without giving effect to principles of conflict of laws.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167" w:name="page168"/>
    <w:bookmarkEnd w:id="16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68" w:name="page169"/>
    <w:bookmarkEnd w:id="168"/>
    <w:p>
      <w:pPr>
        <w:ind w:left="10680"/>
        <w:spacing w:after="0"/>
        <w:rPr>
          <w:sz w:val="20"/>
          <w:szCs w:val="20"/>
          <w:color w:val="auto"/>
        </w:rPr>
      </w:pPr>
      <w:r>
        <w:rPr>
          <w:rFonts w:ascii="Times New Roman" w:cs="Times New Roman" w:eastAsia="Times New Roman" w:hAnsi="Times New Roman"/>
          <w:sz w:val="11"/>
          <w:szCs w:val="11"/>
          <w:b w:val="1"/>
          <w:bCs w:val="1"/>
          <w:color w:val="auto"/>
        </w:rPr>
        <w:t>Exhibit 4.12</w:t>
      </w:r>
    </w:p>
    <w:p>
      <w:pPr>
        <w:spacing w:after="0" w:line="171" w:lineRule="exact"/>
        <w:rPr>
          <w:sz w:val="20"/>
          <w:szCs w:val="20"/>
          <w:color w:val="auto"/>
        </w:rPr>
      </w:pPr>
    </w:p>
    <w:p>
      <w:pPr>
        <w:ind w:left="10300"/>
        <w:spacing w:after="0"/>
        <w:rPr>
          <w:sz w:val="20"/>
          <w:szCs w:val="20"/>
          <w:color w:val="auto"/>
        </w:rPr>
      </w:pPr>
      <w:r>
        <w:rPr>
          <w:rFonts w:ascii="Times New Roman" w:cs="Times New Roman" w:eastAsia="Times New Roman" w:hAnsi="Times New Roman"/>
          <w:sz w:val="12"/>
          <w:szCs w:val="12"/>
          <w:b w:val="1"/>
          <w:bCs w:val="1"/>
          <w:color w:val="auto"/>
        </w:rPr>
        <w:t>SHIPMAN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7109460" cy="45720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0">
                      <a:extLst>
                        <a:ext uri="{28A0092B-C50C-407E-A947-70E740481C1C}"/>
                      </a:extLst>
                    </a:blip>
                    <a:srcRect/>
                    <a:stretch>
                      <a:fillRect/>
                    </a:stretch>
                  </pic:blipFill>
                  <pic:spPr bwMode="auto">
                    <a:xfrm>
                      <a:off x="0" y="0"/>
                      <a:ext cx="7109460" cy="4572000"/>
                    </a:xfrm>
                    <a:prstGeom prst="rect">
                      <a:avLst/>
                    </a:prstGeom>
                    <a:noFill/>
                  </pic:spPr>
                </pic:pic>
              </a:graphicData>
            </a:graphic>
          </wp:anchor>
        </w:drawing>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STANDARD SHIP MANAGEMENT AGREEMENT</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vMerge w:val="restart"/>
          </w:tcPr>
          <w:p>
            <w:pPr>
              <w:ind w:left="40"/>
              <w:spacing w:after="0"/>
              <w:rPr>
                <w:sz w:val="20"/>
                <w:szCs w:val="20"/>
                <w:color w:val="auto"/>
              </w:rPr>
            </w:pPr>
            <w:r>
              <w:rPr>
                <w:rFonts w:ascii="Times New Roman" w:cs="Times New Roman" w:eastAsia="Times New Roman" w:hAnsi="Times New Roman"/>
                <w:sz w:val="23"/>
                <w:szCs w:val="23"/>
                <w:color w:val="auto"/>
              </w:rPr>
              <w:t>BIMCO</w:t>
            </w:r>
          </w:p>
        </w:tc>
        <w:tc>
          <w:tcPr>
            <w:tcW w:w="660" w:type="dxa"/>
            <w:vAlign w:val="bottom"/>
          </w:tcPr>
          <w:p>
            <w:pPr>
              <w:spacing w:after="0"/>
              <w:rPr>
                <w:sz w:val="13"/>
                <w:szCs w:val="13"/>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PART I</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5140" w:type="dxa"/>
            <w:vAlign w:val="bottom"/>
            <w:tcBorders>
              <w:right w:val="single" w:sz="8" w:color="auto"/>
            </w:tcBorders>
            <w:gridSpan w:val="3"/>
          </w:tcPr>
          <w:p>
            <w:pPr>
              <w:ind w:left="80"/>
              <w:spacing w:after="0" w:line="115" w:lineRule="exact"/>
              <w:rPr>
                <w:sz w:val="20"/>
                <w:szCs w:val="20"/>
                <w:color w:val="auto"/>
              </w:rPr>
            </w:pPr>
            <w:r>
              <w:rPr>
                <w:rFonts w:ascii="Times New Roman" w:cs="Times New Roman" w:eastAsia="Times New Roman" w:hAnsi="Times New Roman"/>
                <w:sz w:val="12"/>
                <w:szCs w:val="12"/>
                <w:color w:val="auto"/>
              </w:rPr>
              <w:t>1.   Place and date of Agreement (date to be inserted)</w:t>
            </w:r>
          </w:p>
        </w:tc>
        <w:tc>
          <w:tcPr>
            <w:tcW w:w="6040" w:type="dxa"/>
            <w:vAlign w:val="bottom"/>
            <w:gridSpan w:val="2"/>
          </w:tcPr>
          <w:p>
            <w:pPr>
              <w:spacing w:after="0" w:line="115" w:lineRule="exact"/>
              <w:rPr>
                <w:sz w:val="20"/>
                <w:szCs w:val="20"/>
                <w:color w:val="auto"/>
              </w:rPr>
            </w:pPr>
            <w:r>
              <w:rPr>
                <w:rFonts w:ascii="Times New Roman" w:cs="Times New Roman" w:eastAsia="Times New Roman" w:hAnsi="Times New Roman"/>
                <w:sz w:val="12"/>
                <w:szCs w:val="12"/>
                <w:color w:val="auto"/>
              </w:rPr>
              <w:t>2   Date of commencement of Agreement (Cls. 2,12, 21 and 27) (date to be inserted)</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280" w:type="dxa"/>
            <w:vAlign w:val="bottom"/>
          </w:tcPr>
          <w:p>
            <w:pPr>
              <w:spacing w:after="0"/>
              <w:rPr>
                <w:sz w:val="22"/>
                <w:szCs w:val="22"/>
                <w:color w:val="auto"/>
              </w:rPr>
            </w:pPr>
          </w:p>
        </w:tc>
        <w:tc>
          <w:tcPr>
            <w:tcW w:w="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4480" w:type="dxa"/>
            <w:vAlign w:val="bottom"/>
            <w:tcBorders>
              <w:right w:val="single" w:sz="8" w:color="auto"/>
            </w:tcBorders>
          </w:tcPr>
          <w:p>
            <w:pPr>
              <w:spacing w:after="0"/>
              <w:rPr>
                <w:sz w:val="22"/>
                <w:szCs w:val="22"/>
                <w:color w:val="auto"/>
              </w:rPr>
            </w:pPr>
          </w:p>
        </w:tc>
        <w:tc>
          <w:tcPr>
            <w:tcW w:w="60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Effective Date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color w:val="auto"/>
              </w:rPr>
              <w:t xml:space="preserve"> January 2026</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
        </w:trPr>
        <w:tc>
          <w:tcPr>
            <w:tcW w:w="2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vMerge w:val="continue"/>
          </w:tcPr>
          <w:p>
            <w:pPr>
              <w:spacing w:after="0"/>
              <w:rPr>
                <w:sz w:val="3"/>
                <w:szCs w:val="3"/>
                <w:color w:val="auto"/>
              </w:rPr>
            </w:pPr>
          </w:p>
        </w:tc>
        <w:tc>
          <w:tcPr>
            <w:tcW w:w="4480" w:type="dxa"/>
            <w:vAlign w:val="bottom"/>
            <w:tcBorders>
              <w:bottom w:val="single" w:sz="8" w:color="auto"/>
              <w:right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5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4"/>
        </w:trPr>
        <w:tc>
          <w:tcPr>
            <w:tcW w:w="514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color w:val="auto"/>
              </w:rPr>
              <w:t>3.   Owners (name, place of registered office and law of registry) (Cl. 1)</w:t>
            </w: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3.  (a) Guarantors (name, place of registered office and law of registry) (Cl.34)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(i)   Name: [•]</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w:t>
            </w:r>
          </w:p>
        </w:tc>
        <w:tc>
          <w:tcPr>
            <w:tcW w:w="5380" w:type="dxa"/>
            <w:vAlign w:val="bottom"/>
          </w:tcPr>
          <w:p>
            <w:pPr>
              <w:jc w:val="right"/>
              <w:ind w:right="332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GLOBAL SHIP LEASE, INC.</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80" w:type="dxa"/>
            <w:vAlign w:val="bottom"/>
          </w:tcPr>
          <w:p>
            <w:pPr>
              <w:spacing w:after="0"/>
              <w:rPr>
                <w:sz w:val="24"/>
                <w:szCs w:val="24"/>
                <w:color w:val="auto"/>
              </w:rPr>
            </w:pP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(ii)  Place of registered office: [•]</w:t>
            </w:r>
          </w:p>
        </w:tc>
        <w:tc>
          <w:tcPr>
            <w:tcW w:w="66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(ii)</w:t>
            </w:r>
          </w:p>
        </w:tc>
        <w:tc>
          <w:tcPr>
            <w:tcW w:w="5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Trust Company Complex, Ajeltake Road, Ajeltake Island, Majuro, MH96960,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48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color w:val="auto"/>
              </w:rPr>
              <w:t>(iii)  Law of registry: [•]</w:t>
            </w:r>
          </w:p>
        </w:tc>
        <w:tc>
          <w:tcPr>
            <w:tcW w:w="6040" w:type="dxa"/>
            <w:vAlign w:val="bottom"/>
            <w:gridSpan w:val="2"/>
          </w:tcPr>
          <w:p>
            <w:pPr>
              <w:ind w:left="400"/>
              <w:spacing w:after="0"/>
              <w:rPr>
                <w:sz w:val="20"/>
                <w:szCs w:val="20"/>
                <w:color w:val="auto"/>
              </w:rPr>
            </w:pPr>
            <w:r>
              <w:rPr>
                <w:rFonts w:ascii="Times New Roman" w:cs="Times New Roman" w:eastAsia="Times New Roman" w:hAnsi="Times New Roman"/>
                <w:sz w:val="12"/>
                <w:szCs w:val="12"/>
                <w:b w:val="1"/>
                <w:bCs w:val="1"/>
                <w:color w:val="auto"/>
              </w:rPr>
              <w:t>Marshall Islands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80" w:type="dxa"/>
            <w:vAlign w:val="bottom"/>
          </w:tcPr>
          <w:p>
            <w:pPr>
              <w:spacing w:after="0"/>
              <w:rPr>
                <w:sz w:val="11"/>
                <w:szCs w:val="11"/>
                <w:color w:val="auto"/>
              </w:rPr>
            </w:pPr>
          </w:p>
        </w:tc>
        <w:tc>
          <w:tcPr>
            <w:tcW w:w="4860" w:type="dxa"/>
            <w:vAlign w:val="bottom"/>
            <w:tcBorders>
              <w:right w:val="single" w:sz="8" w:color="auto"/>
            </w:tcBorders>
            <w:gridSpan w:val="2"/>
            <w:vMerge w:val="continue"/>
          </w:tcPr>
          <w:p>
            <w:pPr>
              <w:spacing w:after="0"/>
              <w:rPr>
                <w:sz w:val="11"/>
                <w:szCs w:val="11"/>
                <w:color w:val="auto"/>
              </w:rPr>
            </w:pP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2"/>
                <w:szCs w:val="12"/>
                <w:color w:val="auto"/>
              </w:rPr>
              <w:t>(iii)</w:t>
            </w:r>
          </w:p>
        </w:tc>
        <w:tc>
          <w:tcPr>
            <w:tcW w:w="5380" w:type="dxa"/>
            <w:vAlign w:val="bottom"/>
            <w:vMerge w:val="restart"/>
          </w:tcPr>
          <w:p>
            <w:pPr>
              <w:ind w:left="40"/>
              <w:spacing w:after="0"/>
              <w:rPr>
                <w:sz w:val="20"/>
                <w:szCs w:val="20"/>
                <w:color w:val="auto"/>
              </w:rPr>
            </w:pPr>
            <w:r>
              <w:rPr>
                <w:rFonts w:ascii="Times New Roman" w:cs="Times New Roman" w:eastAsia="Times New Roman" w:hAnsi="Times New Roman"/>
                <w:sz w:val="12"/>
                <w:szCs w:val="12"/>
                <w:color w:val="auto"/>
              </w:rPr>
              <w:t xml:space="preserve">  Law of registry: </w:t>
            </w:r>
            <w:r>
              <w:rPr>
                <w:rFonts w:ascii="Times New Roman" w:cs="Times New Roman" w:eastAsia="Times New Roman" w:hAnsi="Times New Roman"/>
                <w:sz w:val="12"/>
                <w:szCs w:val="12"/>
                <w:b w:val="1"/>
                <w:bCs w:val="1"/>
                <w:color w:val="auto"/>
              </w:rPr>
              <w:t>Marshall Islands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80" w:type="dxa"/>
            <w:vAlign w:val="bottom"/>
            <w:tcBorders>
              <w:right w:val="single" w:sz="8" w:color="auto"/>
            </w:tcBorders>
          </w:tcPr>
          <w:p>
            <w:pPr>
              <w:spacing w:after="0"/>
              <w:rPr>
                <w:sz w:val="7"/>
                <w:szCs w:val="7"/>
                <w:color w:val="auto"/>
              </w:rPr>
            </w:pPr>
          </w:p>
        </w:tc>
        <w:tc>
          <w:tcPr>
            <w:tcW w:w="660" w:type="dxa"/>
            <w:vAlign w:val="bottom"/>
            <w:vMerge w:val="continue"/>
          </w:tcPr>
          <w:p>
            <w:pPr>
              <w:spacing w:after="0"/>
              <w:rPr>
                <w:sz w:val="7"/>
                <w:szCs w:val="7"/>
                <w:color w:val="auto"/>
              </w:rPr>
            </w:pPr>
          </w:p>
        </w:tc>
        <w:tc>
          <w:tcPr>
            <w:tcW w:w="53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80" w:type="dxa"/>
            <w:vAlign w:val="bottom"/>
            <w:tcBorders>
              <w:bottom w:val="single" w:sz="8" w:color="auto"/>
            </w:tcBorders>
          </w:tcPr>
          <w:p>
            <w:pPr>
              <w:spacing w:after="0"/>
              <w:rPr>
                <w:sz w:val="4"/>
                <w:szCs w:val="4"/>
                <w:color w:val="auto"/>
              </w:rPr>
            </w:pPr>
          </w:p>
        </w:tc>
        <w:tc>
          <w:tcPr>
            <w:tcW w:w="4860" w:type="dxa"/>
            <w:vAlign w:val="bottom"/>
            <w:tcBorders>
              <w:bottom w:val="single" w:sz="8" w:color="auto"/>
              <w:right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3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Managers (name, place of registered office and law of registry) (Cl. 1)</w:t>
            </w:r>
          </w:p>
        </w:tc>
        <w:tc>
          <w:tcPr>
            <w:tcW w:w="66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0"/>
        </w:trPr>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w:t>
            </w:r>
          </w:p>
        </w:tc>
        <w:tc>
          <w:tcPr>
            <w:tcW w:w="44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Technomar Shipping Inc.</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0" w:type="dxa"/>
            <w:vAlign w:val="bottom"/>
          </w:tcPr>
          <w:p>
            <w:pPr>
              <w:spacing w:after="0"/>
              <w:rPr>
                <w:sz w:val="24"/>
                <w:szCs w:val="24"/>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(II)</w:t>
            </w:r>
          </w:p>
        </w:tc>
        <w:tc>
          <w:tcPr>
            <w:tcW w:w="448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80 Broad Street, Monrovia, Liberia</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80" w:type="dxa"/>
            <w:vAlign w:val="bottom"/>
          </w:tcPr>
          <w:p>
            <w:pPr>
              <w:spacing w:after="0"/>
              <w:rPr>
                <w:sz w:val="21"/>
                <w:szCs w:val="21"/>
                <w:color w:val="auto"/>
              </w:rPr>
            </w:pPr>
          </w:p>
        </w:tc>
        <w:tc>
          <w:tcPr>
            <w:tcW w:w="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(III)</w:t>
            </w:r>
          </w:p>
        </w:tc>
        <w:tc>
          <w:tcPr>
            <w:tcW w:w="448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2"/>
                <w:szCs w:val="12"/>
                <w:color w:val="auto"/>
              </w:rPr>
              <w:t xml:space="preserve">Established office : </w:t>
            </w:r>
            <w:r>
              <w:rPr>
                <w:rFonts w:ascii="Times New Roman" w:cs="Times New Roman" w:eastAsia="Times New Roman" w:hAnsi="Times New Roman"/>
                <w:sz w:val="12"/>
                <w:szCs w:val="12"/>
                <w:b w:val="1"/>
                <w:bCs w:val="1"/>
                <w:color w:val="auto"/>
              </w:rPr>
              <w:t>3-5 Menandrou Str. 14561, Kifissia</w:t>
            </w:r>
          </w:p>
        </w:tc>
        <w:tc>
          <w:tcPr>
            <w:tcW w:w="660" w:type="dxa"/>
            <w:vAlign w:val="bottom"/>
          </w:tcPr>
          <w:p>
            <w:pPr>
              <w:spacing w:after="0"/>
              <w:rPr>
                <w:sz w:val="21"/>
                <w:szCs w:val="21"/>
                <w:color w:val="auto"/>
              </w:rPr>
            </w:pPr>
          </w:p>
        </w:tc>
        <w:tc>
          <w:tcPr>
            <w:tcW w:w="5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2"/>
                <w:szCs w:val="12"/>
                <w:b w:val="1"/>
                <w:bCs w:val="1"/>
                <w:color w:val="auto"/>
              </w:rPr>
              <w:t>Athens - Greece</w:t>
            </w:r>
          </w:p>
        </w:tc>
        <w:tc>
          <w:tcPr>
            <w:tcW w:w="660" w:type="dxa"/>
            <w:vAlign w:val="bottom"/>
          </w:tcPr>
          <w:p>
            <w:pPr>
              <w:spacing w:after="0"/>
              <w:rPr>
                <w:sz w:val="13"/>
                <w:szCs w:val="13"/>
                <w:color w:val="auto"/>
              </w:rPr>
            </w:pP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5"/>
        </w:trPr>
        <w:tc>
          <w:tcPr>
            <w:tcW w:w="280" w:type="dxa"/>
            <w:vAlign w:val="bottom"/>
          </w:tcPr>
          <w:p>
            <w:pPr>
              <w:spacing w:after="0"/>
              <w:rPr>
                <w:sz w:val="24"/>
                <w:szCs w:val="24"/>
                <w:color w:val="auto"/>
              </w:rPr>
            </w:pPr>
          </w:p>
        </w:tc>
        <w:tc>
          <w:tcPr>
            <w:tcW w:w="3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(IV)</w:t>
            </w:r>
          </w:p>
        </w:tc>
        <w:tc>
          <w:tcPr>
            <w:tcW w:w="4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Law of registry: </w:t>
            </w:r>
            <w:r>
              <w:rPr>
                <w:rFonts w:ascii="Times New Roman" w:cs="Times New Roman" w:eastAsia="Times New Roman" w:hAnsi="Times New Roman"/>
                <w:sz w:val="12"/>
                <w:szCs w:val="12"/>
                <w:b w:val="1"/>
                <w:bCs w:val="1"/>
                <w:color w:val="auto"/>
              </w:rPr>
              <w:t>LIBERIA</w:t>
            </w:r>
          </w:p>
        </w:tc>
        <w:tc>
          <w:tcPr>
            <w:tcW w:w="66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 w:type="dxa"/>
            <w:vAlign w:val="bottom"/>
            <w:tcBorders>
              <w:bottom w:val="single" w:sz="8" w:color="auto"/>
            </w:tcBorders>
          </w:tcPr>
          <w:p>
            <w:pPr>
              <w:spacing w:after="0"/>
              <w:rPr>
                <w:sz w:val="12"/>
                <w:szCs w:val="12"/>
                <w:color w:val="auto"/>
              </w:rPr>
            </w:pPr>
          </w:p>
        </w:tc>
        <w:tc>
          <w:tcPr>
            <w:tcW w:w="4860" w:type="dxa"/>
            <w:vAlign w:val="bottom"/>
            <w:tcBorders>
              <w:bottom w:val="single" w:sz="8" w:color="auto"/>
              <w:right w:val="single" w:sz="8" w:color="auto"/>
            </w:tcBorders>
            <w:gridSpan w:val="2"/>
          </w:tcPr>
          <w:p>
            <w:pPr>
              <w:spacing w:after="0"/>
              <w:rPr>
                <w:sz w:val="12"/>
                <w:szCs w:val="12"/>
                <w:color w:val="auto"/>
              </w:rPr>
            </w:pPr>
          </w:p>
        </w:tc>
        <w:tc>
          <w:tcPr>
            <w:tcW w:w="6040" w:type="dxa"/>
            <w:vAlign w:val="bottom"/>
            <w:tcBorders>
              <w:bottom w:val="single" w:sz="8" w:color="auto"/>
            </w:tcBorders>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0" w:type="dxa"/>
            <w:vAlign w:val="bottom"/>
          </w:tcPr>
          <w:p>
            <w:pPr>
              <w:ind w:left="100"/>
              <w:spacing w:after="0" w:line="133" w:lineRule="exact"/>
              <w:rPr>
                <w:sz w:val="20"/>
                <w:szCs w:val="20"/>
                <w:color w:val="auto"/>
              </w:rPr>
            </w:pPr>
            <w:r>
              <w:rPr>
                <w:rFonts w:ascii="Times New Roman" w:cs="Times New Roman" w:eastAsia="Times New Roman" w:hAnsi="Times New Roman"/>
                <w:sz w:val="12"/>
                <w:szCs w:val="12"/>
                <w:color w:val="auto"/>
              </w:rPr>
              <w:t>5.</w:t>
            </w:r>
          </w:p>
        </w:tc>
        <w:tc>
          <w:tcPr>
            <w:tcW w:w="4860" w:type="dxa"/>
            <w:vAlign w:val="bottom"/>
            <w:tcBorders>
              <w:right w:val="single" w:sz="8" w:color="auto"/>
            </w:tcBorders>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The Company (with reference to the ISM/ISPS Code) (state name and IMO Unique Company</w:t>
            </w:r>
          </w:p>
        </w:tc>
        <w:tc>
          <w:tcPr>
            <w:tcW w:w="6040" w:type="dxa"/>
            <w:vAlign w:val="bottom"/>
            <w:gridSpan w:val="2"/>
          </w:tcPr>
          <w:p>
            <w:pPr>
              <w:spacing w:after="0" w:line="133" w:lineRule="exact"/>
              <w:rPr>
                <w:sz w:val="20"/>
                <w:szCs w:val="20"/>
                <w:color w:val="auto"/>
              </w:rPr>
            </w:pPr>
            <w:r>
              <w:rPr>
                <w:rFonts w:ascii="Times New Roman" w:cs="Times New Roman" w:eastAsia="Times New Roman" w:hAnsi="Times New Roman"/>
                <w:sz w:val="12"/>
                <w:szCs w:val="12"/>
                <w:color w:val="auto"/>
              </w:rPr>
              <w:t>6. Technical Management (state “yes” or “no” as agreed) (Cl. 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4860" w:type="dxa"/>
            <w:vAlign w:val="bottom"/>
            <w:tcBorders>
              <w:right w:val="single" w:sz="8" w:color="auto"/>
            </w:tcBorders>
            <w:gridSpan w:val="2"/>
          </w:tcPr>
          <w:p>
            <w:pPr>
              <w:ind w:left="40"/>
              <w:spacing w:after="0" w:line="133" w:lineRule="exact"/>
              <w:rPr>
                <w:sz w:val="20"/>
                <w:szCs w:val="20"/>
                <w:color w:val="auto"/>
              </w:rPr>
            </w:pPr>
            <w:r>
              <w:rPr>
                <w:rFonts w:ascii="Times New Roman" w:cs="Times New Roman" w:eastAsia="Times New Roman" w:hAnsi="Times New Roman"/>
                <w:sz w:val="12"/>
                <w:szCs w:val="12"/>
                <w:color w:val="auto"/>
              </w:rPr>
              <w:t>identification number. If the Company is a third party then also state registered office and principal</w:t>
            </w:r>
          </w:p>
        </w:tc>
        <w:tc>
          <w:tcPr>
            <w:tcW w:w="660" w:type="dxa"/>
            <w:vAlign w:val="bottom"/>
          </w:tcPr>
          <w:p>
            <w:pPr>
              <w:spacing w:after="0"/>
              <w:rPr>
                <w:sz w:val="11"/>
                <w:szCs w:val="11"/>
                <w:color w:val="auto"/>
              </w:rPr>
            </w:pPr>
          </w:p>
        </w:tc>
        <w:tc>
          <w:tcPr>
            <w:tcW w:w="5380" w:type="dxa"/>
            <w:vAlign w:val="bottom"/>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80" w:type="dxa"/>
            <w:vAlign w:val="bottom"/>
          </w:tcPr>
          <w:p>
            <w:pPr>
              <w:spacing w:after="0"/>
              <w:rPr>
                <w:sz w:val="8"/>
                <w:szCs w:val="8"/>
                <w:color w:val="auto"/>
              </w:rPr>
            </w:pPr>
          </w:p>
        </w:tc>
        <w:tc>
          <w:tcPr>
            <w:tcW w:w="4860" w:type="dxa"/>
            <w:vAlign w:val="bottom"/>
            <w:tcBorders>
              <w:right w:val="single" w:sz="8" w:color="auto"/>
            </w:tcBorders>
            <w:gridSpan w:val="2"/>
          </w:tcPr>
          <w:p>
            <w:pPr>
              <w:ind w:left="40"/>
              <w:spacing w:after="0" w:line="99" w:lineRule="exact"/>
              <w:rPr>
                <w:sz w:val="20"/>
                <w:szCs w:val="20"/>
                <w:color w:val="auto"/>
              </w:rPr>
            </w:pPr>
            <w:r>
              <w:rPr>
                <w:rFonts w:ascii="Times New Roman" w:cs="Times New Roman" w:eastAsia="Times New Roman" w:hAnsi="Times New Roman"/>
                <w:sz w:val="11"/>
                <w:szCs w:val="11"/>
                <w:color w:val="auto"/>
              </w:rPr>
              <w:t>place of business) (Cls. 1 and 9(c)(i))</w:t>
            </w:r>
          </w:p>
        </w:tc>
        <w:tc>
          <w:tcPr>
            <w:tcW w:w="660" w:type="dxa"/>
            <w:vAlign w:val="bottom"/>
            <w:tcBorders>
              <w:bottom w:val="single" w:sz="8" w:color="auto"/>
            </w:tcBorders>
          </w:tcPr>
          <w:p>
            <w:pPr>
              <w:spacing w:after="0"/>
              <w:rPr>
                <w:sz w:val="8"/>
                <w:szCs w:val="8"/>
                <w:color w:val="auto"/>
              </w:rPr>
            </w:pPr>
          </w:p>
        </w:tc>
        <w:tc>
          <w:tcPr>
            <w:tcW w:w="5380" w:type="dxa"/>
            <w:vAlign w:val="bottom"/>
            <w:tcBorders>
              <w:bottom w:val="single" w:sz="8" w:color="auto"/>
            </w:tcBorders>
            <w:vMerge w:val="continue"/>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7. Crew Management (state “yes or no” as agreed (Cl. 5(a))</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8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(i)</w:t>
            </w:r>
          </w:p>
        </w:tc>
        <w:tc>
          <w:tcPr>
            <w:tcW w:w="44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2"/>
                <w:szCs w:val="12"/>
                <w:color w:val="auto"/>
              </w:rPr>
              <w:t xml:space="preserve">Name: </w:t>
            </w:r>
            <w:r>
              <w:rPr>
                <w:rFonts w:ascii="Times New Roman" w:cs="Times New Roman" w:eastAsia="Times New Roman" w:hAnsi="Times New Roman"/>
                <w:sz w:val="12"/>
                <w:szCs w:val="12"/>
                <w:b w:val="1"/>
                <w:bCs w:val="1"/>
                <w:color w:val="auto"/>
              </w:rPr>
              <w:t>Technomar Shipping Inc.</w:t>
            </w:r>
          </w:p>
        </w:tc>
        <w:tc>
          <w:tcPr>
            <w:tcW w:w="660" w:type="dxa"/>
            <w:vAlign w:val="bottom"/>
          </w:tcPr>
          <w:p>
            <w:pPr>
              <w:spacing w:after="0"/>
              <w:rPr>
                <w:sz w:val="13"/>
                <w:szCs w:val="13"/>
                <w:color w:val="auto"/>
              </w:rPr>
            </w:pPr>
          </w:p>
        </w:tc>
        <w:tc>
          <w:tcPr>
            <w:tcW w:w="5380" w:type="dxa"/>
            <w:vAlign w:val="bottom"/>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3"/>
        </w:trPr>
        <w:tc>
          <w:tcPr>
            <w:tcW w:w="280" w:type="dxa"/>
            <w:vAlign w:val="bottom"/>
          </w:tcPr>
          <w:p>
            <w:pPr>
              <w:spacing w:after="0"/>
              <w:rPr>
                <w:sz w:val="5"/>
                <w:szCs w:val="5"/>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(ii)</w:t>
            </w:r>
          </w:p>
        </w:tc>
        <w:tc>
          <w:tcPr>
            <w:tcW w:w="4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 xml:space="preserve">IMO Unique Company identification number: </w:t>
            </w:r>
            <w:r>
              <w:rPr>
                <w:rFonts w:ascii="Times New Roman" w:cs="Times New Roman" w:eastAsia="Times New Roman" w:hAnsi="Times New Roman"/>
                <w:sz w:val="12"/>
                <w:szCs w:val="12"/>
                <w:b w:val="1"/>
                <w:bCs w:val="1"/>
                <w:color w:val="auto"/>
              </w:rPr>
              <w:t>160528</w:t>
            </w:r>
          </w:p>
        </w:tc>
        <w:tc>
          <w:tcPr>
            <w:tcW w:w="660" w:type="dxa"/>
            <w:vAlign w:val="bottom"/>
            <w:tcBorders>
              <w:bottom w:val="single" w:sz="8" w:color="auto"/>
            </w:tcBorders>
          </w:tcPr>
          <w:p>
            <w:pPr>
              <w:spacing w:after="0"/>
              <w:rPr>
                <w:sz w:val="5"/>
                <w:szCs w:val="5"/>
                <w:color w:val="auto"/>
              </w:rPr>
            </w:pPr>
          </w:p>
        </w:tc>
        <w:tc>
          <w:tcPr>
            <w:tcW w:w="538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color w:val="auto"/>
              </w:rPr>
              <w:t>8. Commercial Management (state “yes or no” as agreed) (Cl. 6)</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9"/>
        </w:trPr>
        <w:tc>
          <w:tcPr>
            <w:tcW w:w="280" w:type="dxa"/>
            <w:vAlign w:val="bottom"/>
          </w:tcPr>
          <w:p>
            <w:pPr>
              <w:spacing w:after="0"/>
              <w:rPr>
                <w:sz w:val="7"/>
                <w:szCs w:val="7"/>
                <w:color w:val="auto"/>
              </w:rPr>
            </w:pPr>
          </w:p>
        </w:tc>
        <w:tc>
          <w:tcPr>
            <w:tcW w:w="38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auto"/>
              </w:rPr>
              <w:t>(iii)</w:t>
            </w:r>
          </w:p>
        </w:tc>
        <w:tc>
          <w:tcPr>
            <w:tcW w:w="448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2"/>
                <w:szCs w:val="12"/>
                <w:color w:val="auto"/>
              </w:rPr>
              <w:t xml:space="preserve">Place of registered office: </w:t>
            </w:r>
            <w:r>
              <w:rPr>
                <w:rFonts w:ascii="Times New Roman" w:cs="Times New Roman" w:eastAsia="Times New Roman" w:hAnsi="Times New Roman"/>
                <w:sz w:val="12"/>
                <w:szCs w:val="12"/>
                <w:b w:val="1"/>
                <w:bCs w:val="1"/>
                <w:color w:val="auto"/>
              </w:rPr>
              <w:t>as per box 4</w:t>
            </w:r>
          </w:p>
        </w:tc>
        <w:tc>
          <w:tcPr>
            <w:tcW w:w="60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5"/>
        </w:trPr>
        <w:tc>
          <w:tcPr>
            <w:tcW w:w="280" w:type="dxa"/>
            <w:vAlign w:val="bottom"/>
          </w:tcPr>
          <w:p>
            <w:pPr>
              <w:spacing w:after="0"/>
              <w:rPr>
                <w:sz w:val="4"/>
                <w:szCs w:val="4"/>
                <w:color w:val="auto"/>
              </w:rPr>
            </w:pPr>
          </w:p>
        </w:tc>
        <w:tc>
          <w:tcPr>
            <w:tcW w:w="380" w:type="dxa"/>
            <w:vAlign w:val="bottom"/>
            <w:vMerge w:val="continue"/>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NO</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2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(iv)</w:t>
            </w:r>
          </w:p>
        </w:tc>
        <w:tc>
          <w:tcPr>
            <w:tcW w:w="448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 xml:space="preserve">Principal place of business: </w:t>
            </w:r>
            <w:r>
              <w:rPr>
                <w:rFonts w:ascii="Times New Roman" w:cs="Times New Roman" w:eastAsia="Times New Roman" w:hAnsi="Times New Roman"/>
                <w:sz w:val="12"/>
                <w:szCs w:val="12"/>
                <w:b w:val="1"/>
                <w:bCs w:val="1"/>
                <w:color w:val="auto"/>
              </w:rPr>
              <w:t>as per box 4</w:t>
            </w:r>
          </w:p>
        </w:tc>
        <w:tc>
          <w:tcPr>
            <w:tcW w:w="660" w:type="dxa"/>
            <w:vAlign w:val="bottom"/>
            <w:tcBorders>
              <w:bottom w:val="single" w:sz="8" w:color="auto"/>
            </w:tcBorders>
          </w:tcPr>
          <w:p>
            <w:pPr>
              <w:spacing w:after="0"/>
              <w:rPr>
                <w:sz w:val="13"/>
                <w:szCs w:val="13"/>
                <w:color w:val="auto"/>
              </w:rPr>
            </w:pPr>
          </w:p>
        </w:tc>
        <w:tc>
          <w:tcPr>
            <w:tcW w:w="53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9.</w:t>
            </w:r>
          </w:p>
        </w:tc>
        <w:tc>
          <w:tcPr>
            <w:tcW w:w="48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color w:val="auto"/>
              </w:rPr>
              <w:t>Chartering Services period (only to be filled in if “yes” stated in Box 8) (Cl. 6(a))</w:t>
            </w:r>
          </w:p>
        </w:tc>
        <w:tc>
          <w:tcPr>
            <w:tcW w:w="60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10.  Crew Insurance arrangements (state “yes” or “no” as agreed) - </w:t>
            </w:r>
            <w:r>
              <w:rPr>
                <w:rFonts w:ascii="Times New Roman" w:cs="Times New Roman" w:eastAsia="Times New Roman" w:hAnsi="Times New Roman"/>
                <w:sz w:val="12"/>
                <w:szCs w:val="12"/>
                <w:b w:val="1"/>
                <w:bCs w:val="1"/>
                <w:color w:val="auto"/>
              </w:rPr>
              <w:t>YES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4"/>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right w:val="single" w:sz="8" w:color="auto"/>
            </w:tcBorders>
            <w:vMerge w:val="restart"/>
          </w:tcPr>
          <w:p>
            <w:pPr>
              <w:ind w:left="1800"/>
              <w:spacing w:after="0"/>
              <w:rPr>
                <w:sz w:val="20"/>
                <w:szCs w:val="20"/>
                <w:color w:val="auto"/>
              </w:rPr>
            </w:pPr>
            <w:r>
              <w:rPr>
                <w:rFonts w:ascii="Times New Roman" w:cs="Times New Roman" w:eastAsia="Times New Roman" w:hAnsi="Times New Roman"/>
                <w:sz w:val="12"/>
                <w:szCs w:val="12"/>
                <w:b w:val="1"/>
                <w:bCs w:val="1"/>
                <w:color w:val="auto"/>
              </w:rPr>
              <w:t>N/A</w:t>
            </w:r>
          </w:p>
        </w:tc>
        <w:tc>
          <w:tcPr>
            <w:tcW w:w="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w:t>
            </w:r>
          </w:p>
        </w:tc>
        <w:tc>
          <w:tcPr>
            <w:tcW w:w="53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Crew Insurances* (Cl. 5(b))</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80" w:type="dxa"/>
            <w:vAlign w:val="bottom"/>
            <w:tcBorders>
              <w:right w:val="single" w:sz="8" w:color="auto"/>
            </w:tcBorders>
            <w:vMerge w:val="continue"/>
          </w:tcPr>
          <w:p>
            <w:pPr>
              <w:spacing w:after="0"/>
              <w:rPr>
                <w:sz w:val="4"/>
                <w:szCs w:val="4"/>
                <w:color w:val="auto"/>
              </w:rPr>
            </w:pPr>
          </w:p>
        </w:tc>
        <w:tc>
          <w:tcPr>
            <w:tcW w:w="660" w:type="dxa"/>
            <w:vAlign w:val="bottom"/>
          </w:tcPr>
          <w:p>
            <w:pPr>
              <w:spacing w:after="0"/>
              <w:rPr>
                <w:sz w:val="4"/>
                <w:szCs w:val="4"/>
                <w:color w:val="auto"/>
              </w:rPr>
            </w:pPr>
          </w:p>
        </w:tc>
        <w:tc>
          <w:tcPr>
            <w:tcW w:w="5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right w:val="single" w:sz="8" w:color="auto"/>
            </w:tcBorders>
          </w:tcPr>
          <w:p>
            <w:pPr>
              <w:spacing w:after="0"/>
              <w:rPr>
                <w:sz w:val="24"/>
                <w:szCs w:val="24"/>
                <w:color w:val="auto"/>
              </w:rPr>
            </w:pPr>
          </w:p>
        </w:tc>
        <w:tc>
          <w:tcPr>
            <w:tcW w:w="6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(ii)</w:t>
            </w:r>
          </w:p>
        </w:tc>
        <w:tc>
          <w:tcPr>
            <w:tcW w:w="5380" w:type="dxa"/>
            <w:vAlign w:val="bottom"/>
          </w:tcPr>
          <w:p>
            <w:pPr>
              <w:jc w:val="right"/>
              <w:ind w:right="2400"/>
              <w:spacing w:after="0"/>
              <w:rPr>
                <w:sz w:val="20"/>
                <w:szCs w:val="20"/>
                <w:color w:val="auto"/>
              </w:rPr>
            </w:pPr>
            <w:r>
              <w:rPr>
                <w:rFonts w:ascii="Times New Roman" w:cs="Times New Roman" w:eastAsia="Times New Roman" w:hAnsi="Times New Roman"/>
                <w:sz w:val="12"/>
                <w:szCs w:val="12"/>
                <w:color w:val="auto"/>
              </w:rPr>
              <w:t>Insurance for persons proceeding to sea onboard (Cl 5(b)(i))</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480" w:type="dxa"/>
            <w:vAlign w:val="bottom"/>
            <w:tcBorders>
              <w:bottom w:val="single" w:sz="8" w:color="auto"/>
              <w:right w:val="single" w:sz="8" w:color="auto"/>
            </w:tcBorders>
          </w:tcPr>
          <w:p>
            <w:pPr>
              <w:spacing w:after="0"/>
              <w:rPr>
                <w:sz w:val="19"/>
                <w:szCs w:val="19"/>
                <w:color w:val="auto"/>
              </w:rPr>
            </w:pPr>
          </w:p>
        </w:tc>
        <w:tc>
          <w:tcPr>
            <w:tcW w:w="604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2"/>
                <w:szCs w:val="12"/>
                <w:color w:val="auto"/>
              </w:rPr>
              <w:t>*only to apply if Crew Management (Cl.5(a)) agreed (see Box 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80" w:type="dxa"/>
            <w:vAlign w:val="bottom"/>
          </w:tcPr>
          <w:p>
            <w:pPr>
              <w:ind w:left="80"/>
              <w:spacing w:after="0" w:line="122" w:lineRule="exact"/>
              <w:rPr>
                <w:sz w:val="20"/>
                <w:szCs w:val="20"/>
                <w:color w:val="auto"/>
              </w:rPr>
            </w:pPr>
            <w:r>
              <w:rPr>
                <w:rFonts w:ascii="Times New Roman" w:cs="Times New Roman" w:eastAsia="Times New Roman" w:hAnsi="Times New Roman"/>
                <w:sz w:val="12"/>
                <w:szCs w:val="12"/>
                <w:color w:val="auto"/>
              </w:rPr>
              <w:t>11.</w:t>
            </w:r>
          </w:p>
        </w:tc>
        <w:tc>
          <w:tcPr>
            <w:tcW w:w="4860" w:type="dxa"/>
            <w:vAlign w:val="bottom"/>
            <w:tcBorders>
              <w:right w:val="single" w:sz="8" w:color="auto"/>
            </w:tcBorders>
            <w:gridSpan w:val="2"/>
          </w:tcPr>
          <w:p>
            <w:pPr>
              <w:ind w:left="40"/>
              <w:spacing w:after="0" w:line="122" w:lineRule="exact"/>
              <w:rPr>
                <w:sz w:val="20"/>
                <w:szCs w:val="20"/>
                <w:color w:val="auto"/>
              </w:rPr>
            </w:pPr>
            <w:r>
              <w:rPr>
                <w:rFonts w:ascii="Times New Roman" w:cs="Times New Roman" w:eastAsia="Times New Roman" w:hAnsi="Times New Roman"/>
                <w:sz w:val="12"/>
                <w:szCs w:val="12"/>
                <w:color w:val="auto"/>
              </w:rPr>
              <w:t>Insurance arrangements (state “yes” or “no” as agreed) (Cl. 7)</w:t>
            </w:r>
          </w:p>
        </w:tc>
        <w:tc>
          <w:tcPr>
            <w:tcW w:w="6040" w:type="dxa"/>
            <w:vAlign w:val="bottom"/>
            <w:gridSpan w:val="2"/>
          </w:tcPr>
          <w:p>
            <w:pPr>
              <w:spacing w:after="0" w:line="122" w:lineRule="exact"/>
              <w:rPr>
                <w:sz w:val="20"/>
                <w:szCs w:val="20"/>
                <w:color w:val="auto"/>
              </w:rPr>
            </w:pPr>
            <w:r>
              <w:rPr>
                <w:rFonts w:ascii="Times New Roman" w:cs="Times New Roman" w:eastAsia="Times New Roman" w:hAnsi="Times New Roman"/>
                <w:sz w:val="12"/>
                <w:szCs w:val="12"/>
                <w:color w:val="auto"/>
              </w:rPr>
              <w:t>12.    Optional insurances (state optional insurance(s) as agreed, such as piracy, kidnap and ransom, loss of hire and FD &amp; 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80" w:type="dxa"/>
            <w:vAlign w:val="bottom"/>
            <w:tcBorders>
              <w:right w:val="single" w:sz="8" w:color="auto"/>
            </w:tcBorders>
          </w:tcPr>
          <w:p>
            <w:pPr>
              <w:spacing w:after="0"/>
              <w:rPr>
                <w:sz w:val="13"/>
                <w:szCs w:val="13"/>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2"/>
                <w:szCs w:val="12"/>
                <w:color w:val="auto"/>
                <w:w w:val="98"/>
              </w:rPr>
              <w:t>(Cl 10(a)(iv))</w:t>
            </w:r>
          </w:p>
        </w:tc>
        <w:tc>
          <w:tcPr>
            <w:tcW w:w="5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3"/>
        </w:trPr>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right w:val="single" w:sz="8" w:color="auto"/>
            </w:tcBorders>
          </w:tcPr>
          <w:p>
            <w:pPr>
              <w:ind w:left="1780"/>
              <w:spacing w:after="0"/>
              <w:rPr>
                <w:sz w:val="20"/>
                <w:szCs w:val="20"/>
                <w:color w:val="auto"/>
              </w:rPr>
            </w:pPr>
            <w:r>
              <w:rPr>
                <w:rFonts w:ascii="Times New Roman" w:cs="Times New Roman" w:eastAsia="Times New Roman" w:hAnsi="Times New Roman"/>
                <w:sz w:val="12"/>
                <w:szCs w:val="12"/>
                <w:b w:val="1"/>
                <w:bCs w:val="1"/>
                <w:color w:val="auto"/>
              </w:rPr>
              <w:t>YES</w:t>
            </w:r>
          </w:p>
        </w:tc>
        <w:tc>
          <w:tcPr>
            <w:tcW w:w="66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tcPr>
          <w:p>
            <w:pPr>
              <w:jc w:val="right"/>
              <w:ind w:right="2840"/>
              <w:spacing w:after="0"/>
              <w:rPr>
                <w:sz w:val="20"/>
                <w:szCs w:val="20"/>
                <w:color w:val="auto"/>
              </w:rPr>
            </w:pPr>
            <w:r>
              <w:rPr>
                <w:rFonts w:ascii="Times New Roman" w:cs="Times New Roman" w:eastAsia="Times New Roman" w:hAnsi="Times New Roman"/>
                <w:sz w:val="12"/>
                <w:szCs w:val="12"/>
                <w:b w:val="1"/>
                <w:bCs w:val="1"/>
                <w:color w:val="auto"/>
              </w:rPr>
              <w:t>AS MAY BE INSTRUCTED BY OWNERS</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5"/>
        </w:trPr>
        <w:tc>
          <w:tcPr>
            <w:tcW w:w="2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2"/>
                <w:szCs w:val="12"/>
                <w:color w:val="auto"/>
              </w:rPr>
              <w:t>1</w:t>
            </w:r>
          </w:p>
        </w:tc>
        <w:tc>
          <w:tcPr>
            <w:tcW w:w="5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69" w:right="299" w:bottom="1440" w:gutter="0" w:footer="0" w:header="0"/>
        </w:sectPr>
      </w:pPr>
    </w:p>
    <w:bookmarkStart w:id="169" w:name="page170"/>
    <w:bookmarkEnd w:id="169"/>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26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49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Interest (state rate of interest to apply after the due date to outstanding sums) (Cl.9(a))</w:t>
            </w:r>
          </w:p>
        </w:tc>
        <w:tc>
          <w:tcPr>
            <w:tcW w:w="60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14. Annual management fee (Cl. 12(a) and Cl. 23)</w:t>
            </w:r>
          </w:p>
        </w:tc>
        <w:tc>
          <w:tcPr>
            <w:tcW w:w="0" w:type="dxa"/>
            <w:vAlign w:val="bottom"/>
          </w:tcPr>
          <w:p>
            <w:pPr>
              <w:spacing w:after="0"/>
              <w:rPr>
                <w:sz w:val="1"/>
                <w:szCs w:val="1"/>
                <w:color w:val="auto"/>
              </w:rPr>
            </w:pPr>
          </w:p>
        </w:tc>
      </w:tr>
      <w:tr>
        <w:trPr>
          <w:trHeight w:val="183"/>
        </w:trPr>
        <w:tc>
          <w:tcPr>
            <w:tcW w:w="260" w:type="dxa"/>
            <w:vAlign w:val="bottom"/>
            <w:tcBorders>
              <w:left w:val="single" w:sz="8" w:color="auto"/>
            </w:tcBorders>
          </w:tcPr>
          <w:p>
            <w:pPr>
              <w:spacing w:after="0"/>
              <w:rPr>
                <w:sz w:val="15"/>
                <w:szCs w:val="15"/>
                <w:color w:val="auto"/>
              </w:rPr>
            </w:pPr>
          </w:p>
        </w:tc>
        <w:tc>
          <w:tcPr>
            <w:tcW w:w="4960" w:type="dxa"/>
            <w:vAlign w:val="bottom"/>
            <w:tcBorders>
              <w:right w:val="single" w:sz="8" w:color="auto"/>
            </w:tcBorders>
          </w:tcPr>
          <w:p>
            <w:pPr>
              <w:spacing w:after="0"/>
              <w:rPr>
                <w:sz w:val="15"/>
                <w:szCs w:val="15"/>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 xml:space="preserve">Euro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per day , plus</w:t>
            </w:r>
          </w:p>
        </w:tc>
        <w:tc>
          <w:tcPr>
            <w:tcW w:w="0" w:type="dxa"/>
            <w:vAlign w:val="bottom"/>
          </w:tcPr>
          <w:p>
            <w:pPr>
              <w:spacing w:after="0"/>
              <w:rPr>
                <w:sz w:val="1"/>
                <w:szCs w:val="1"/>
                <w:color w:val="auto"/>
              </w:rPr>
            </w:pPr>
          </w:p>
        </w:tc>
      </w:tr>
      <w:tr>
        <w:trPr>
          <w:trHeight w:val="123"/>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N/A</w:t>
            </w:r>
          </w:p>
        </w:tc>
        <w:tc>
          <w:tcPr>
            <w:tcW w:w="6080" w:type="dxa"/>
            <w:vAlign w:val="bottom"/>
            <w:tcBorders>
              <w:right w:val="single" w:sz="8" w:color="auto"/>
            </w:tcBorders>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9"/>
              </w:rPr>
              <w:t>Euro (.) per day pro rata ( the “Additional Fee” to cover EUETS and services as per cl. 23 and cl. 24</w:t>
            </w:r>
          </w:p>
        </w:tc>
        <w:tc>
          <w:tcPr>
            <w:tcW w:w="0" w:type="dxa"/>
            <w:vAlign w:val="bottom"/>
          </w:tcPr>
          <w:p>
            <w:pPr>
              <w:spacing w:after="0"/>
              <w:rPr>
                <w:sz w:val="1"/>
                <w:szCs w:val="1"/>
                <w:color w:val="auto"/>
              </w:rPr>
            </w:pPr>
          </w:p>
        </w:tc>
      </w:tr>
      <w:tr>
        <w:trPr>
          <w:trHeight w:val="126"/>
        </w:trPr>
        <w:tc>
          <w:tcPr>
            <w:tcW w:w="260" w:type="dxa"/>
            <w:vAlign w:val="bottom"/>
            <w:tcBorders>
              <w:left w:val="single" w:sz="8" w:color="auto"/>
              <w:bottom w:val="single" w:sz="8" w:color="auto"/>
            </w:tcBorders>
          </w:tcPr>
          <w:p>
            <w:pPr>
              <w:spacing w:after="0"/>
              <w:rPr>
                <w:sz w:val="10"/>
                <w:szCs w:val="10"/>
                <w:color w:val="auto"/>
              </w:rPr>
            </w:pPr>
          </w:p>
        </w:tc>
        <w:tc>
          <w:tcPr>
            <w:tcW w:w="4960" w:type="dxa"/>
            <w:vAlign w:val="bottom"/>
            <w:tcBorders>
              <w:bottom w:val="single" w:sz="8" w:color="auto"/>
              <w:right w:val="single" w:sz="8" w:color="auto"/>
            </w:tcBorders>
            <w:vMerge w:val="continue"/>
          </w:tcPr>
          <w:p>
            <w:pPr>
              <w:spacing w:after="0"/>
              <w:rPr>
                <w:sz w:val="10"/>
                <w:szCs w:val="10"/>
                <w:color w:val="auto"/>
              </w:rPr>
            </w:pPr>
          </w:p>
        </w:tc>
        <w:tc>
          <w:tcPr>
            <w:tcW w:w="6080" w:type="dxa"/>
            <w:vAlign w:val="bottom"/>
            <w:tcBorders>
              <w:bottom w:val="single" w:sz="8" w:color="auto"/>
              <w:right w:val="single" w:sz="8" w:color="auto"/>
            </w:tcBorders>
          </w:tcPr>
          <w:p>
            <w:pPr>
              <w:jc w:val="center"/>
              <w:ind w:right="20"/>
              <w:spacing w:after="0" w:line="126" w:lineRule="exact"/>
              <w:rPr>
                <w:sz w:val="20"/>
                <w:szCs w:val="20"/>
                <w:color w:val="auto"/>
              </w:rPr>
            </w:pPr>
            <w:r>
              <w:rPr>
                <w:rFonts w:ascii="Times New Roman" w:cs="Times New Roman" w:eastAsia="Times New Roman" w:hAnsi="Times New Roman"/>
                <w:sz w:val="12"/>
                <w:szCs w:val="12"/>
                <w:b w:val="1"/>
                <w:bCs w:val="1"/>
                <w:color w:val="auto"/>
                <w:w w:val="98"/>
              </w:rPr>
              <w:t>respectively)</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Manager’s nominated account (Cl. 12(a))</w:t>
            </w:r>
          </w:p>
        </w:tc>
        <w:tc>
          <w:tcPr>
            <w:tcW w:w="6080" w:type="dxa"/>
            <w:vAlign w:val="bottom"/>
            <w:tcBorders>
              <w:right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16. Daily rate (state rate for days in excess of those agreed in budget) (Cl. 12(c))</w:t>
            </w:r>
          </w:p>
        </w:tc>
        <w:tc>
          <w:tcPr>
            <w:tcW w:w="0" w:type="dxa"/>
            <w:vAlign w:val="bottom"/>
          </w:tcPr>
          <w:p>
            <w:pPr>
              <w:spacing w:after="0"/>
              <w:rPr>
                <w:sz w:val="1"/>
                <w:szCs w:val="1"/>
                <w:color w:val="auto"/>
              </w:rPr>
            </w:pPr>
          </w:p>
        </w:tc>
      </w:tr>
      <w:tr>
        <w:trPr>
          <w:trHeight w:val="297"/>
        </w:trPr>
        <w:tc>
          <w:tcPr>
            <w:tcW w:w="260" w:type="dxa"/>
            <w:vAlign w:val="bottom"/>
            <w:tcBorders>
              <w:left w:val="single" w:sz="8" w:color="auto"/>
            </w:tcBorders>
          </w:tcPr>
          <w:p>
            <w:pPr>
              <w:spacing w:after="0"/>
              <w:rPr>
                <w:sz w:val="24"/>
                <w:szCs w:val="24"/>
                <w:color w:val="auto"/>
              </w:rPr>
            </w:pPr>
          </w:p>
        </w:tc>
        <w:tc>
          <w:tcPr>
            <w:tcW w:w="4960" w:type="dxa"/>
            <w:vAlign w:val="bottom"/>
            <w:tcBorders>
              <w:right w:val="single" w:sz="8" w:color="auto"/>
            </w:tcBorders>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TO BE ADVISED</w:t>
            </w:r>
          </w:p>
        </w:tc>
        <w:tc>
          <w:tcPr>
            <w:tcW w:w="6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w:t>
            </w:r>
          </w:p>
        </w:tc>
        <w:tc>
          <w:tcPr>
            <w:tcW w:w="0" w:type="dxa"/>
            <w:vAlign w:val="bottom"/>
          </w:tcPr>
          <w:p>
            <w:pPr>
              <w:spacing w:after="0"/>
              <w:rPr>
                <w:sz w:val="1"/>
                <w:szCs w:val="1"/>
                <w:color w:val="auto"/>
              </w:rPr>
            </w:pPr>
          </w:p>
        </w:tc>
      </w:tr>
      <w:tr>
        <w:trPr>
          <w:trHeight w:val="88"/>
        </w:trPr>
        <w:tc>
          <w:tcPr>
            <w:tcW w:w="260" w:type="dxa"/>
            <w:vAlign w:val="bottom"/>
            <w:tcBorders>
              <w:left w:val="single" w:sz="8" w:color="auto"/>
            </w:tcBorders>
          </w:tcPr>
          <w:p>
            <w:pPr>
              <w:spacing w:after="0"/>
              <w:rPr>
                <w:sz w:val="7"/>
                <w:szCs w:val="7"/>
                <w:color w:val="auto"/>
              </w:rPr>
            </w:pPr>
          </w:p>
        </w:tc>
        <w:tc>
          <w:tcPr>
            <w:tcW w:w="4960" w:type="dxa"/>
            <w:vAlign w:val="bottom"/>
            <w:tcBorders>
              <w:right w:val="single" w:sz="8" w:color="auto"/>
            </w:tcBorders>
            <w:vMerge w:val="continue"/>
          </w:tcPr>
          <w:p>
            <w:pPr>
              <w:spacing w:after="0"/>
              <w:rPr>
                <w:sz w:val="7"/>
                <w:szCs w:val="7"/>
                <w:color w:val="auto"/>
              </w:rPr>
            </w:pPr>
          </w:p>
        </w:tc>
        <w:tc>
          <w:tcPr>
            <w:tcW w:w="60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2"/>
                <w:szCs w:val="12"/>
                <w:color w:val="auto"/>
              </w:rPr>
              <w:t>17. Lay-up period/number of months (Cl. 12(d))</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tcBorders>
          </w:tcPr>
          <w:p>
            <w:pPr>
              <w:spacing w:after="0"/>
              <w:rPr>
                <w:sz w:val="7"/>
                <w:szCs w:val="7"/>
                <w:color w:val="auto"/>
              </w:rPr>
            </w:pPr>
          </w:p>
        </w:tc>
        <w:tc>
          <w:tcPr>
            <w:tcW w:w="4960" w:type="dxa"/>
            <w:vAlign w:val="bottom"/>
            <w:tcBorders>
              <w:right w:val="single" w:sz="8" w:color="auto"/>
            </w:tcBorders>
          </w:tcPr>
          <w:p>
            <w:pPr>
              <w:spacing w:after="0"/>
              <w:rPr>
                <w:sz w:val="7"/>
                <w:szCs w:val="7"/>
                <w:color w:val="auto"/>
              </w:rPr>
            </w:pPr>
          </w:p>
        </w:tc>
        <w:tc>
          <w:tcPr>
            <w:tcW w:w="60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60" w:type="dxa"/>
            <w:vAlign w:val="bottom"/>
            <w:tcBorders>
              <w:left w:val="single" w:sz="8" w:color="auto"/>
              <w:bottom w:val="single" w:sz="8" w:color="auto"/>
            </w:tcBorders>
          </w:tcPr>
          <w:p>
            <w:pPr>
              <w:spacing w:after="0"/>
              <w:rPr>
                <w:sz w:val="17"/>
                <w:szCs w:val="17"/>
                <w:color w:val="auto"/>
              </w:rPr>
            </w:pPr>
          </w:p>
        </w:tc>
        <w:tc>
          <w:tcPr>
            <w:tcW w:w="4960" w:type="dxa"/>
            <w:vAlign w:val="bottom"/>
            <w:tcBorders>
              <w:bottom w:val="single" w:sz="8" w:color="auto"/>
              <w:right w:val="single" w:sz="8" w:color="auto"/>
            </w:tcBorders>
          </w:tcPr>
          <w:p>
            <w:pPr>
              <w:spacing w:after="0"/>
              <w:rPr>
                <w:sz w:val="17"/>
                <w:szCs w:val="17"/>
                <w:color w:val="auto"/>
              </w:rPr>
            </w:pPr>
          </w:p>
        </w:tc>
        <w:tc>
          <w:tcPr>
            <w:tcW w:w="6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3 (THREE) MONTHS</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Minimum contract period (state number of months) (Cl. 21(a))</w:t>
            </w:r>
          </w:p>
        </w:tc>
        <w:tc>
          <w:tcPr>
            <w:tcW w:w="6080" w:type="dxa"/>
            <w:vAlign w:val="bottom"/>
            <w:tcBorders>
              <w:right w:val="single" w:sz="8" w:color="auto"/>
            </w:tcBorders>
          </w:tcPr>
          <w:p>
            <w:pPr>
              <w:ind w:left="1000"/>
              <w:spacing w:after="0"/>
              <w:rPr>
                <w:sz w:val="20"/>
                <w:szCs w:val="20"/>
                <w:color w:val="auto"/>
              </w:rPr>
            </w:pPr>
            <w:r>
              <w:rPr>
                <w:rFonts w:ascii="Times New Roman" w:cs="Times New Roman" w:eastAsia="Times New Roman" w:hAnsi="Times New Roman"/>
                <w:sz w:val="12"/>
                <w:szCs w:val="12"/>
                <w:color w:val="auto"/>
              </w:rPr>
              <w:t>19. Management fee on termination (state number of months to apply) (Cl. 22(e))</w:t>
            </w:r>
          </w:p>
        </w:tc>
        <w:tc>
          <w:tcPr>
            <w:tcW w:w="0" w:type="dxa"/>
            <w:vAlign w:val="bottom"/>
          </w:tcPr>
          <w:p>
            <w:pPr>
              <w:spacing w:after="0"/>
              <w:rPr>
                <w:sz w:val="1"/>
                <w:szCs w:val="1"/>
                <w:color w:val="auto"/>
              </w:rPr>
            </w:pPr>
          </w:p>
        </w:tc>
      </w:tr>
      <w:tr>
        <w:trPr>
          <w:trHeight w:val="261"/>
        </w:trPr>
        <w:tc>
          <w:tcPr>
            <w:tcW w:w="260" w:type="dxa"/>
            <w:vAlign w:val="bottom"/>
            <w:tcBorders>
              <w:left w:val="single" w:sz="8" w:color="auto"/>
            </w:tcBorders>
          </w:tcPr>
          <w:p>
            <w:pPr>
              <w:spacing w:after="0"/>
              <w:rPr>
                <w:sz w:val="22"/>
                <w:szCs w:val="22"/>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Twenty Four (24) months following the termination/expiry of either:</w:t>
            </w: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SEE CLAUSE 22</w:t>
            </w:r>
          </w:p>
        </w:tc>
        <w:tc>
          <w:tcPr>
            <w:tcW w:w="0" w:type="dxa"/>
            <w:vAlign w:val="bottom"/>
          </w:tcPr>
          <w:p>
            <w:pPr>
              <w:spacing w:after="0"/>
              <w:rPr>
                <w:sz w:val="1"/>
                <w:szCs w:val="1"/>
                <w:color w:val="auto"/>
              </w:rPr>
            </w:pPr>
          </w:p>
        </w:tc>
      </w:tr>
      <w:tr>
        <w:trPr>
          <w:trHeight w:val="120"/>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b w:val="1"/>
                <w:bCs w:val="1"/>
                <w:color w:val="auto"/>
                <w:w w:val="98"/>
              </w:rPr>
              <w:t>(a) the Vessel's charterparty (existing at any time and as same may be extended or replaced with a</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49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new charter from time to time), or</w:t>
            </w:r>
          </w:p>
        </w:tc>
        <w:tc>
          <w:tcPr>
            <w:tcW w:w="6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(b) the Vessel’s credit facility or other debt agreement for which the Vessel serves as collateral</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60" w:type="dxa"/>
            <w:vAlign w:val="bottom"/>
            <w:tcBorders>
              <w:left w:val="single" w:sz="8" w:color="auto"/>
            </w:tcBorders>
          </w:tcPr>
          <w:p>
            <w:pPr>
              <w:spacing w:after="0"/>
              <w:rPr>
                <w:sz w:val="10"/>
                <w:szCs w:val="10"/>
                <w:color w:val="auto"/>
              </w:rPr>
            </w:pPr>
          </w:p>
        </w:tc>
        <w:tc>
          <w:tcPr>
            <w:tcW w:w="4960" w:type="dxa"/>
            <w:vAlign w:val="bottom"/>
            <w:tcBorders>
              <w:right w:val="single" w:sz="8" w:color="auto"/>
            </w:tcBorders>
          </w:tcPr>
          <w:p>
            <w:pPr>
              <w:spacing w:after="0" w:line="126" w:lineRule="exact"/>
              <w:rPr>
                <w:sz w:val="20"/>
                <w:szCs w:val="20"/>
                <w:color w:val="auto"/>
              </w:rPr>
            </w:pPr>
            <w:r>
              <w:rPr>
                <w:rFonts w:ascii="Times New Roman" w:cs="Times New Roman" w:eastAsia="Times New Roman" w:hAnsi="Times New Roman"/>
                <w:sz w:val="12"/>
                <w:szCs w:val="12"/>
                <w:b w:val="1"/>
                <w:bCs w:val="1"/>
                <w:color w:val="auto"/>
              </w:rPr>
              <w:t>(existing at any time and as same may be financed, refinanced, amended, supplemented and/or</w:t>
            </w:r>
          </w:p>
        </w:tc>
        <w:tc>
          <w:tcPr>
            <w:tcW w:w="60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4960" w:type="dxa"/>
            <w:vAlign w:val="bottom"/>
            <w:tcBorders>
              <w:right w:val="single" w:sz="8" w:color="auto"/>
            </w:tcBorders>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restated from time to time),</w:t>
            </w:r>
          </w:p>
        </w:tc>
        <w:tc>
          <w:tcPr>
            <w:tcW w:w="60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whichever is the latest.</w:t>
            </w:r>
          </w:p>
        </w:tc>
        <w:tc>
          <w:tcPr>
            <w:tcW w:w="60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bottom w:val="single" w:sz="8" w:color="auto"/>
            </w:tcBorders>
          </w:tcPr>
          <w:p>
            <w:pPr>
              <w:spacing w:after="0"/>
              <w:rPr>
                <w:sz w:val="11"/>
                <w:szCs w:val="11"/>
                <w:color w:val="auto"/>
              </w:rPr>
            </w:pPr>
          </w:p>
        </w:tc>
        <w:tc>
          <w:tcPr>
            <w:tcW w:w="4960" w:type="dxa"/>
            <w:vAlign w:val="bottom"/>
            <w:tcBorders>
              <w:bottom w:val="single" w:sz="8" w:color="auto"/>
              <w:right w:val="single" w:sz="8" w:color="auto"/>
            </w:tcBorders>
          </w:tcPr>
          <w:p>
            <w:pPr>
              <w:spacing w:after="0"/>
              <w:rPr>
                <w:sz w:val="11"/>
                <w:szCs w:val="11"/>
                <w:color w:val="auto"/>
              </w:rPr>
            </w:pPr>
          </w:p>
        </w:tc>
        <w:tc>
          <w:tcPr>
            <w:tcW w:w="60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Severance Costs (state maximum amount) (Cl. 22(c)(ii))</w:t>
            </w:r>
          </w:p>
        </w:tc>
        <w:tc>
          <w:tcPr>
            <w:tcW w:w="60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21. Dispute Resolution</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13"/>
                <w:szCs w:val="13"/>
                <w:color w:val="auto"/>
              </w:rPr>
            </w:pPr>
          </w:p>
        </w:tc>
        <w:tc>
          <w:tcPr>
            <w:tcW w:w="6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25(a)</w:t>
            </w:r>
          </w:p>
        </w:tc>
        <w:tc>
          <w:tcPr>
            <w:tcW w:w="0" w:type="dxa"/>
            <w:vAlign w:val="bottom"/>
          </w:tcPr>
          <w:p>
            <w:pPr>
              <w:spacing w:after="0"/>
              <w:rPr>
                <w:sz w:val="1"/>
                <w:szCs w:val="1"/>
                <w:color w:val="auto"/>
              </w:rPr>
            </w:pPr>
          </w:p>
        </w:tc>
      </w:tr>
      <w:tr>
        <w:trPr>
          <w:trHeight w:val="162"/>
        </w:trPr>
        <w:tc>
          <w:tcPr>
            <w:tcW w:w="260" w:type="dxa"/>
            <w:vAlign w:val="bottom"/>
            <w:tcBorders>
              <w:left w:val="single" w:sz="8" w:color="auto"/>
              <w:bottom w:val="single" w:sz="8" w:color="auto"/>
            </w:tcBorders>
          </w:tcPr>
          <w:p>
            <w:pPr>
              <w:spacing w:after="0"/>
              <w:rPr>
                <w:sz w:val="14"/>
                <w:szCs w:val="14"/>
                <w:color w:val="auto"/>
              </w:rPr>
            </w:pPr>
          </w:p>
        </w:tc>
        <w:tc>
          <w:tcPr>
            <w:tcW w:w="4960" w:type="dxa"/>
            <w:vAlign w:val="bottom"/>
            <w:tcBorders>
              <w:bottom w:val="single" w:sz="8" w:color="auto"/>
              <w:right w:val="single" w:sz="8" w:color="auto"/>
            </w:tcBorders>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AS DEFINED</w:t>
            </w:r>
          </w:p>
        </w:tc>
        <w:tc>
          <w:tcPr>
            <w:tcW w:w="608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Notices (state full style contact details for serving notice and communication to the Owners) (Cl. 26)</w:t>
            </w:r>
          </w:p>
        </w:tc>
        <w:tc>
          <w:tcPr>
            <w:tcW w:w="60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23. Notices (state full style contact details for serving notice and communication to the Managers) (Cl. 26)</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4960" w:type="dxa"/>
            <w:vAlign w:val="bottom"/>
            <w:tcBorders>
              <w:right w:val="single" w:sz="8" w:color="auto"/>
            </w:tcBorders>
          </w:tcPr>
          <w:p>
            <w:pPr>
              <w:spacing w:after="0"/>
              <w:rPr>
                <w:sz w:val="13"/>
                <w:szCs w:val="13"/>
                <w:color w:val="auto"/>
              </w:rPr>
            </w:pPr>
          </w:p>
        </w:tc>
        <w:tc>
          <w:tcPr>
            <w:tcW w:w="6080" w:type="dxa"/>
            <w:vAlign w:val="bottom"/>
            <w:tcBorders>
              <w:right w:val="single" w:sz="8" w:color="auto"/>
            </w:tcBorders>
          </w:tcPr>
          <w:p>
            <w:pPr>
              <w:ind w:left="2700"/>
              <w:spacing w:after="0"/>
              <w:rPr>
                <w:sz w:val="20"/>
                <w:szCs w:val="20"/>
                <w:color w:val="auto"/>
              </w:rPr>
            </w:pPr>
            <w:r>
              <w:rPr>
                <w:rFonts w:ascii="Times New Roman" w:cs="Times New Roman" w:eastAsia="Times New Roman" w:hAnsi="Times New Roman"/>
                <w:sz w:val="12"/>
                <w:szCs w:val="12"/>
                <w:color w:val="auto"/>
              </w:rPr>
              <w:t>AS PER BOX 4</w:t>
            </w:r>
          </w:p>
        </w:tc>
        <w:tc>
          <w:tcPr>
            <w:tcW w:w="0" w:type="dxa"/>
            <w:vAlign w:val="bottom"/>
          </w:tcPr>
          <w:p>
            <w:pPr>
              <w:spacing w:after="0"/>
              <w:rPr>
                <w:sz w:val="1"/>
                <w:szCs w:val="1"/>
                <w:color w:val="auto"/>
              </w:rPr>
            </w:pPr>
          </w:p>
        </w:tc>
      </w:tr>
      <w:tr>
        <w:trPr>
          <w:trHeight w:val="169"/>
        </w:trPr>
        <w:tc>
          <w:tcPr>
            <w:tcW w:w="260" w:type="dxa"/>
            <w:vAlign w:val="bottom"/>
            <w:tcBorders>
              <w:left w:val="single" w:sz="8" w:color="auto"/>
            </w:tcBorders>
          </w:tcPr>
          <w:p>
            <w:pPr>
              <w:spacing w:after="0"/>
              <w:rPr>
                <w:sz w:val="14"/>
                <w:szCs w:val="14"/>
                <w:color w:val="auto"/>
              </w:rPr>
            </w:pPr>
          </w:p>
        </w:tc>
        <w:tc>
          <w:tcPr>
            <w:tcW w:w="4960" w:type="dxa"/>
            <w:vAlign w:val="bottom"/>
            <w:tcBorders>
              <w:right w:val="single" w:sz="8" w:color="auto"/>
            </w:tcBorders>
          </w:tcPr>
          <w:p>
            <w:pPr>
              <w:ind w:left="1640"/>
              <w:spacing w:after="0"/>
              <w:rPr>
                <w:sz w:val="20"/>
                <w:szCs w:val="20"/>
                <w:color w:val="auto"/>
              </w:rPr>
            </w:pPr>
            <w:r>
              <w:rPr>
                <w:rFonts w:ascii="Times New Roman" w:cs="Times New Roman" w:eastAsia="Times New Roman" w:hAnsi="Times New Roman"/>
                <w:sz w:val="12"/>
                <w:szCs w:val="12"/>
                <w:color w:val="auto"/>
              </w:rPr>
              <w:t>c/o Technomar Shipping Inc.</w:t>
            </w:r>
          </w:p>
        </w:tc>
        <w:tc>
          <w:tcPr>
            <w:tcW w:w="60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60" w:type="dxa"/>
            <w:vAlign w:val="bottom"/>
            <w:tcBorders>
              <w:left w:val="single" w:sz="8" w:color="auto"/>
              <w:bottom w:val="single" w:sz="8" w:color="auto"/>
            </w:tcBorders>
          </w:tcPr>
          <w:p>
            <w:pPr>
              <w:spacing w:after="0"/>
              <w:rPr>
                <w:sz w:val="13"/>
                <w:szCs w:val="13"/>
                <w:color w:val="auto"/>
              </w:rPr>
            </w:pPr>
          </w:p>
        </w:tc>
        <w:tc>
          <w:tcPr>
            <w:tcW w:w="4960" w:type="dxa"/>
            <w:vAlign w:val="bottom"/>
            <w:tcBorders>
              <w:bottom w:val="single" w:sz="8" w:color="auto"/>
              <w:right w:val="single" w:sz="8" w:color="auto"/>
            </w:tcBorders>
          </w:tcPr>
          <w:p>
            <w:pPr>
              <w:ind w:left="1940"/>
              <w:spacing w:after="0"/>
              <w:rPr>
                <w:sz w:val="20"/>
                <w:szCs w:val="20"/>
                <w:color w:val="auto"/>
              </w:rPr>
            </w:pPr>
            <w:r>
              <w:rPr>
                <w:rFonts w:ascii="Times New Roman" w:cs="Times New Roman" w:eastAsia="Times New Roman" w:hAnsi="Times New Roman"/>
                <w:sz w:val="12"/>
                <w:szCs w:val="12"/>
                <w:color w:val="auto"/>
              </w:rPr>
              <w:t>AS PER BOX 4</w:t>
            </w:r>
          </w:p>
        </w:tc>
        <w:tc>
          <w:tcPr>
            <w:tcW w:w="608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91440</wp:posOffset>
            </wp:positionV>
            <wp:extent cx="7178040" cy="86868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1">
                      <a:extLst>
                        <a:ext uri="{28A0092B-C50C-407E-A947-70E740481C1C}"/>
                      </a:extLst>
                    </a:blip>
                    <a:srcRect/>
                    <a:stretch>
                      <a:fillRect/>
                    </a:stretch>
                  </pic:blipFill>
                  <pic:spPr bwMode="auto">
                    <a:xfrm>
                      <a:off x="0" y="0"/>
                      <a:ext cx="7178040" cy="868680"/>
                    </a:xfrm>
                    <a:prstGeom prst="rect">
                      <a:avLst/>
                    </a:prstGeom>
                    <a:noFill/>
                  </pic:spPr>
                </pic:pic>
              </a:graphicData>
            </a:graphic>
          </wp:anchor>
        </w:drawing>
      </w:r>
    </w:p>
    <w:p>
      <w:pPr>
        <w:spacing w:after="0" w:line="30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It is mutually agreed between the party stated in Box 3 and the party stated in Box 4 that this Agreement consisting of PART I and PART II as well as Annexes “A” (Details of Vessel or Vessels), “B” (Details of Crew) and C</w:t>
      </w:r>
    </w:p>
    <w:p>
      <w:pPr>
        <w:spacing w:after="0" w:line="12"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130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w w:val="99"/>
              </w:rPr>
              <w:t>(“Budget”) attached hereto, shall be performed subject to the conditions contained herein. In the event of a conflict of conditions, the provisions of PART I and Annexes “A” “B” and “C” shall prevail over those of PART II to the</w:t>
            </w:r>
          </w:p>
        </w:tc>
      </w:tr>
      <w:tr>
        <w:trPr>
          <w:trHeight w:val="155"/>
        </w:trPr>
        <w:tc>
          <w:tcPr>
            <w:tcW w:w="2940" w:type="dxa"/>
            <w:vAlign w:val="bottom"/>
            <w:tcBorders>
              <w:bottom w:val="single" w:sz="8" w:color="auto"/>
            </w:tcBorders>
          </w:tcPr>
          <w:p>
            <w:pPr>
              <w:spacing w:after="0"/>
              <w:rPr>
                <w:sz w:val="13"/>
                <w:szCs w:val="13"/>
                <w:color w:val="auto"/>
              </w:rPr>
            </w:pPr>
          </w:p>
        </w:tc>
        <w:tc>
          <w:tcPr>
            <w:tcW w:w="8360" w:type="dxa"/>
            <w:vAlign w:val="bottom"/>
            <w:tcBorders>
              <w:bottom w:val="single" w:sz="8" w:color="auto"/>
            </w:tcBorders>
            <w:gridSpan w:val="2"/>
          </w:tcPr>
          <w:p>
            <w:pPr>
              <w:jc w:val="center"/>
              <w:ind w:right="3000"/>
              <w:spacing w:after="0"/>
              <w:rPr>
                <w:sz w:val="20"/>
                <w:szCs w:val="20"/>
                <w:color w:val="auto"/>
              </w:rPr>
            </w:pPr>
            <w:r>
              <w:rPr>
                <w:rFonts w:ascii="Times New Roman" w:cs="Times New Roman" w:eastAsia="Times New Roman" w:hAnsi="Times New Roman"/>
                <w:sz w:val="12"/>
                <w:szCs w:val="12"/>
                <w:color w:val="auto"/>
                <w:w w:val="99"/>
              </w:rPr>
              <w:t>extent of such conflict but no further.</w:t>
            </w:r>
          </w:p>
        </w:tc>
      </w:tr>
      <w:tr>
        <w:trPr>
          <w:trHeight w:val="169"/>
        </w:trPr>
        <w:tc>
          <w:tcPr>
            <w:tcW w:w="29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Signature(s) (Owners)</w:t>
            </w:r>
          </w:p>
        </w:tc>
        <w:tc>
          <w:tcPr>
            <w:tcW w:w="2280" w:type="dxa"/>
            <w:vAlign w:val="bottom"/>
            <w:tcBorders>
              <w:right w:val="single" w:sz="8" w:color="auto"/>
            </w:tcBorders>
          </w:tcPr>
          <w:p>
            <w:pPr>
              <w:spacing w:after="0"/>
              <w:rPr>
                <w:sz w:val="14"/>
                <w:szCs w:val="14"/>
                <w:color w:val="auto"/>
              </w:rPr>
            </w:pPr>
          </w:p>
        </w:tc>
        <w:tc>
          <w:tcPr>
            <w:tcW w:w="608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Signature(s) (Managers)</w:t>
            </w:r>
          </w:p>
        </w:tc>
      </w:tr>
      <w:tr>
        <w:trPr>
          <w:trHeight w:val="549"/>
        </w:trPr>
        <w:tc>
          <w:tcPr>
            <w:tcW w:w="2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w:t>
            </w:r>
          </w:p>
        </w:tc>
      </w:tr>
      <w:tr>
        <w:trPr>
          <w:trHeight w:val="133"/>
        </w:trPr>
        <w:tc>
          <w:tcPr>
            <w:tcW w:w="29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6080" w:type="dxa"/>
            <w:vAlign w:val="bottom"/>
            <w:tcBorders>
              <w:bottom w:val="single" w:sz="8" w:color="auto"/>
            </w:tcBorders>
          </w:tcPr>
          <w:p>
            <w:pPr>
              <w:spacing w:after="0"/>
              <w:rPr>
                <w:sz w:val="11"/>
                <w:szCs w:val="11"/>
                <w:color w:val="auto"/>
              </w:rPr>
            </w:pPr>
          </w:p>
        </w:tc>
      </w:tr>
      <w:tr>
        <w:trPr>
          <w:trHeight w:val="169"/>
        </w:trPr>
        <w:tc>
          <w:tcPr>
            <w:tcW w:w="2940" w:type="dxa"/>
            <w:vAlign w:val="bottom"/>
            <w:tcBorders>
              <w:left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Signature(s) (Parent)</w:t>
            </w:r>
          </w:p>
        </w:tc>
        <w:tc>
          <w:tcPr>
            <w:tcW w:w="2280" w:type="dxa"/>
            <w:vAlign w:val="bottom"/>
            <w:tcBorders>
              <w:right w:val="single" w:sz="8" w:color="auto"/>
            </w:tcBorders>
          </w:tcPr>
          <w:p>
            <w:pPr>
              <w:spacing w:after="0"/>
              <w:rPr>
                <w:sz w:val="14"/>
                <w:szCs w:val="14"/>
                <w:color w:val="auto"/>
              </w:rPr>
            </w:pPr>
          </w:p>
        </w:tc>
        <w:tc>
          <w:tcPr>
            <w:tcW w:w="6080" w:type="dxa"/>
            <w:vAlign w:val="bottom"/>
            <w:tcBorders>
              <w:right w:val="single" w:sz="8" w:color="auto"/>
            </w:tcBorders>
          </w:tcPr>
          <w:p>
            <w:pPr>
              <w:spacing w:after="0"/>
              <w:rPr>
                <w:sz w:val="14"/>
                <w:szCs w:val="14"/>
                <w:color w:val="auto"/>
              </w:rPr>
            </w:pPr>
          </w:p>
        </w:tc>
      </w:tr>
      <w:tr>
        <w:trPr>
          <w:trHeight w:val="549"/>
        </w:trPr>
        <w:tc>
          <w:tcPr>
            <w:tcW w:w="2940" w:type="dxa"/>
            <w:vAlign w:val="bottom"/>
            <w:tcBorders>
              <w:left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2280" w:type="dxa"/>
            <w:vAlign w:val="bottom"/>
            <w:tcBorders>
              <w:bottom w:val="single" w:sz="8" w:color="auto"/>
              <w:right w:val="single" w:sz="8" w:color="auto"/>
            </w:tcBorders>
          </w:tcPr>
          <w:p>
            <w:pPr>
              <w:spacing w:after="0"/>
              <w:rPr>
                <w:sz w:val="24"/>
                <w:szCs w:val="24"/>
                <w:color w:val="auto"/>
              </w:rPr>
            </w:pPr>
          </w:p>
        </w:tc>
        <w:tc>
          <w:tcPr>
            <w:tcW w:w="6080" w:type="dxa"/>
            <w:vAlign w:val="bottom"/>
            <w:tcBorders>
              <w:bottom w:val="single" w:sz="8" w:color="auto"/>
              <w:right w:val="single" w:sz="8" w:color="auto"/>
            </w:tcBorders>
          </w:tcPr>
          <w:p>
            <w:pPr>
              <w:spacing w:after="0"/>
              <w:rPr>
                <w:sz w:val="24"/>
                <w:szCs w:val="24"/>
                <w:color w:val="auto"/>
              </w:rPr>
            </w:pPr>
          </w:p>
        </w:tc>
      </w:tr>
      <w:tr>
        <w:trPr>
          <w:trHeight w:val="358"/>
        </w:trPr>
        <w:tc>
          <w:tcPr>
            <w:tcW w:w="294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2"/>
          </w:tcPr>
          <w:p>
            <w:pPr>
              <w:jc w:val="right"/>
              <w:ind w:right="5560"/>
              <w:spacing w:after="0"/>
              <w:rPr>
                <w:sz w:val="20"/>
                <w:szCs w:val="20"/>
                <w:color w:val="auto"/>
              </w:rPr>
            </w:pPr>
            <w:r>
              <w:rPr>
                <w:rFonts w:ascii="Times New Roman" w:cs="Times New Roman" w:eastAsia="Times New Roman" w:hAnsi="Times New Roman"/>
                <w:sz w:val="12"/>
                <w:szCs w:val="12"/>
                <w:color w:val="auto"/>
              </w:rPr>
              <w:t>2</w:t>
            </w:r>
          </w:p>
        </w:tc>
      </w:tr>
    </w:tbl>
    <w:p>
      <w:pPr>
        <w:sectPr>
          <w:pgSz w:w="11900" w:h="16838" w:orient="portrait"/>
          <w:cols w:equalWidth="0" w:num="1">
            <w:col w:w="11300"/>
          </w:cols>
          <w:pgMar w:left="300" w:top="552" w:right="299" w:bottom="1440" w:gutter="0" w:footer="0" w:header="0"/>
        </w:sectPr>
      </w:pPr>
    </w:p>
    <w:bookmarkStart w:id="170" w:name="page171"/>
    <w:bookmarkEnd w:id="170"/>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4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1 – Basis of the Agreement</w:t>
      </w:r>
    </w:p>
    <w:p>
      <w:pPr>
        <w:spacing w:after="0" w:line="195" w:lineRule="exact"/>
        <w:rPr>
          <w:sz w:val="20"/>
          <w:szCs w:val="20"/>
          <w:color w:val="auto"/>
        </w:rPr>
      </w:pPr>
    </w:p>
    <w:p>
      <w:pPr>
        <w:ind w:left="260" w:hanging="256"/>
        <w:spacing w:after="0"/>
        <w:tabs>
          <w:tab w:leader="none" w:pos="260" w:val="left"/>
        </w:tabs>
        <w:numPr>
          <w:ilvl w:val="0"/>
          <w:numId w:val="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Agreement save where the context otherwise requires, the following words and expressions shall have the meanings hereby assigned to them:</w:t>
      </w:r>
    </w:p>
    <w:p>
      <w:pPr>
        <w:spacing w:after="0" w:line="117" w:lineRule="exact"/>
        <w:rPr>
          <w:rFonts w:ascii="Times New Roman" w:cs="Times New Roman" w:eastAsia="Times New Roman" w:hAnsi="Times New Roman"/>
          <w:sz w:val="12"/>
          <w:szCs w:val="12"/>
          <w:b w:val="1"/>
          <w:bCs w:val="1"/>
          <w:color w:val="auto"/>
        </w:rPr>
      </w:pPr>
    </w:p>
    <w:p>
      <w:pPr>
        <w:ind w:left="260" w:right="820"/>
        <w:spacing w:after="0" w:line="47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with respect to a specified Person, any Person that directly, or indirectly through one or more intermediaries, Controls, is Controlled by, or is under common Control with the specified Person. “</w:t>
      </w:r>
      <w:r>
        <w:rPr>
          <w:rFonts w:ascii="Times New Roman" w:cs="Times New Roman" w:eastAsia="Times New Roman" w:hAnsi="Times New Roman"/>
          <w:sz w:val="12"/>
          <w:szCs w:val="12"/>
          <w:b w:val="1"/>
          <w:bCs w:val="1"/>
          <w:color w:val="auto"/>
        </w:rPr>
        <w:t>Change in Majority Interests or Control</w:t>
      </w:r>
      <w:r>
        <w:rPr>
          <w:rFonts w:ascii="Times New Roman" w:cs="Times New Roman" w:eastAsia="Times New Roman" w:hAnsi="Times New Roman"/>
          <w:sz w:val="12"/>
          <w:szCs w:val="12"/>
          <w:color w:val="auto"/>
        </w:rPr>
        <w:t>” means the occurrence of any one of the following:</w:t>
      </w:r>
    </w:p>
    <w:p>
      <w:pPr>
        <w:jc w:val="both"/>
        <w:ind w:left="260" w:hanging="3"/>
        <w:spacing w:after="0" w:line="241" w:lineRule="auto"/>
        <w:tabs>
          <w:tab w:leader="none" w:pos="718"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or series of transactions involving the sale, transfer or other disposition of equity or voting securities in the Owners or in any of its direct or indirect parent companies (including, without limitation, any transfer by the current owners of equity or voting securities in the Parent), to one or more Persons that are not, immediately prior to such sale, Affiliates of the Parent, of more than 50% of the beneficial equity or voting securities in the Owners or in any such parent companies;</w:t>
      </w:r>
    </w:p>
    <w:p>
      <w:pPr>
        <w:spacing w:after="0" w:line="115" w:lineRule="exact"/>
        <w:rPr>
          <w:rFonts w:ascii="Times New Roman" w:cs="Times New Roman" w:eastAsia="Times New Roman" w:hAnsi="Times New Roman"/>
          <w:sz w:val="12"/>
          <w:szCs w:val="12"/>
          <w:color w:val="auto"/>
        </w:rPr>
      </w:pPr>
    </w:p>
    <w:p>
      <w:pPr>
        <w:ind w:left="260" w:hanging="3"/>
        <w:spacing w:after="0" w:line="248" w:lineRule="auto"/>
        <w:tabs>
          <w:tab w:leader="none" w:pos="676"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or series of transactions involving the sale, transfer or other disposition, directly or indirectly, of all or substantially all of the assets of the Parent or its subsidiaries (taken as a whole) to one or more Persons that are not, immediately prior to such sale, transfer, or other disposition, Affiliates of the Parent;</w:t>
      </w:r>
    </w:p>
    <w:p>
      <w:pPr>
        <w:spacing w:after="0" w:line="110" w:lineRule="exact"/>
        <w:rPr>
          <w:rFonts w:ascii="Times New Roman" w:cs="Times New Roman" w:eastAsia="Times New Roman" w:hAnsi="Times New Roman"/>
          <w:sz w:val="12"/>
          <w:szCs w:val="12"/>
          <w:color w:val="auto"/>
        </w:rPr>
      </w:pPr>
    </w:p>
    <w:p>
      <w:pPr>
        <w:jc w:val="both"/>
        <w:ind w:left="260" w:hanging="3"/>
        <w:spacing w:after="0" w:line="235" w:lineRule="auto"/>
        <w:tabs>
          <w:tab w:leader="none" w:pos="68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merger, consolidation or other business combination of the Owners or any of its direct or indirect parent companies (including, without limitation, the Parent) in which the owners of equity or voting securities in the Parent immediately before such transaction cease to own more than 50% of the equity or voting securities in the Parent (or equity or voting securities of its successors) or the Parent ceases to directly or indirectly own more than 50% of the equity or voting securities in the Owners or its parent companies (or equity or voting securities of their successors) as a result of such transaction;</w:t>
      </w:r>
    </w:p>
    <w:p>
      <w:pPr>
        <w:spacing w:after="0" w:line="125" w:lineRule="exact"/>
        <w:rPr>
          <w:rFonts w:ascii="Times New Roman" w:cs="Times New Roman" w:eastAsia="Times New Roman" w:hAnsi="Times New Roman"/>
          <w:sz w:val="12"/>
          <w:szCs w:val="12"/>
          <w:color w:val="auto"/>
        </w:rPr>
      </w:pPr>
    </w:p>
    <w:p>
      <w:pPr>
        <w:jc w:val="both"/>
        <w:ind w:left="260" w:hanging="3"/>
        <w:spacing w:after="0" w:line="241" w:lineRule="auto"/>
        <w:tabs>
          <w:tab w:leader="none" w:pos="702"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consummation of any transaction or a series of transactions (including, without limitation, any merger or consolidation), the result of which is that any “person”(as such term is used in Section 13(d)(3) of the U.S. Securities Exchange Act of 1934, as amended) becomes the beneficial owner, directly or indirectly of more than 50% of the Parent’s voting securities (unless such “person” is, immediately prior to such acquisition, an Affiliate of the Parent), measured by voting power rather than number of shares;</w:t>
      </w:r>
    </w:p>
    <w:p>
      <w:pPr>
        <w:spacing w:after="0" w:line="124" w:lineRule="exact"/>
        <w:rPr>
          <w:rFonts w:ascii="Times New Roman" w:cs="Times New Roman" w:eastAsia="Times New Roman" w:hAnsi="Times New Roman"/>
          <w:sz w:val="12"/>
          <w:szCs w:val="12"/>
          <w:color w:val="auto"/>
        </w:rPr>
      </w:pPr>
    </w:p>
    <w:p>
      <w:pPr>
        <w:ind w:left="660" w:hanging="403"/>
        <w:spacing w:after="0"/>
        <w:tabs>
          <w:tab w:leader="none" w:pos="660" w:val="left"/>
        </w:tabs>
        <w:numPr>
          <w:ilvl w:val="1"/>
          <w:numId w:val="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the composition of the Board of Directors of the Parent within any consecutive period of thirty-six (36) months as a result of which fewer than a majority of the directors are Incumbent Directors;</w:t>
      </w:r>
    </w:p>
    <w:p>
      <w:pPr>
        <w:spacing w:after="0" w:line="137" w:lineRule="exact"/>
        <w:rPr>
          <w:sz w:val="20"/>
          <w:szCs w:val="20"/>
          <w:color w:val="auto"/>
        </w:rPr>
      </w:pPr>
    </w:p>
    <w:p>
      <w:pPr>
        <w:jc w:val="both"/>
        <w:ind w:left="260" w:firstLine="340"/>
        <w:spacing w:after="0" w:line="233" w:lineRule="auto"/>
        <w:rPr>
          <w:sz w:val="20"/>
          <w:szCs w:val="20"/>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i w:val="1"/>
          <w:iCs w:val="1"/>
          <w:color w:val="auto"/>
        </w:rPr>
        <w:t>Incumbent Director</w:t>
      </w:r>
      <w:r>
        <w:rPr>
          <w:rFonts w:ascii="Times New Roman" w:cs="Times New Roman" w:eastAsia="Times New Roman" w:hAnsi="Times New Roman"/>
          <w:sz w:val="12"/>
          <w:szCs w:val="12"/>
          <w:color w:val="auto"/>
        </w:rPr>
        <w:t>” shall mean a person who either (1) is a member of the Board of Directors of the Parent (the “</w:t>
      </w:r>
      <w:r>
        <w:rPr>
          <w:rFonts w:ascii="Times New Roman" w:cs="Times New Roman" w:eastAsia="Times New Roman" w:hAnsi="Times New Roman"/>
          <w:sz w:val="12"/>
          <w:szCs w:val="12"/>
          <w:b w:val="1"/>
          <w:bCs w:val="1"/>
          <w:i w:val="1"/>
          <w:iCs w:val="1"/>
          <w:color w:val="auto"/>
        </w:rPr>
        <w:t>Board</w:t>
      </w:r>
      <w:r>
        <w:rPr>
          <w:rFonts w:ascii="Times New Roman" w:cs="Times New Roman" w:eastAsia="Times New Roman" w:hAnsi="Times New Roman"/>
          <w:sz w:val="12"/>
          <w:szCs w:val="12"/>
          <w:color w:val="auto"/>
        </w:rPr>
        <w:t>”) upon conclusion of the Annual Meeting of Shareholders of the Parent for the year 2022 (the “</w:t>
      </w:r>
      <w:r>
        <w:rPr>
          <w:rFonts w:ascii="Times New Roman" w:cs="Times New Roman" w:eastAsia="Times New Roman" w:hAnsi="Times New Roman"/>
          <w:sz w:val="12"/>
          <w:szCs w:val="12"/>
          <w:b w:val="1"/>
          <w:bCs w:val="1"/>
          <w:i w:val="1"/>
          <w:iCs w:val="1"/>
          <w:color w:val="auto"/>
        </w:rPr>
        <w:t>Effective Date</w:t>
      </w:r>
      <w:r>
        <w:rPr>
          <w:rFonts w:ascii="Times New Roman" w:cs="Times New Roman" w:eastAsia="Times New Roman" w:hAnsi="Times New Roman"/>
          <w:sz w:val="12"/>
          <w:szCs w:val="12"/>
          <w:color w:val="auto"/>
        </w:rPr>
        <w:t>”), and for each term in office commencing after the Effective Date, has been elected, re-elected, appointed, and/or nominated to the Board, as applicable, in satisfaction of the following subparagraph</w:t>
      </w:r>
    </w:p>
    <w:p>
      <w:pPr>
        <w:jc w:val="both"/>
        <w:ind w:left="260"/>
        <w:spacing w:after="0" w:line="228" w:lineRule="auto"/>
        <w:rPr>
          <w:sz w:val="20"/>
          <w:szCs w:val="20"/>
          <w:color w:val="auto"/>
        </w:rPr>
      </w:pPr>
      <w:r>
        <w:rPr>
          <w:rFonts w:ascii="Times New Roman" w:cs="Times New Roman" w:eastAsia="Times New Roman" w:hAnsi="Times New Roman"/>
          <w:sz w:val="12"/>
          <w:szCs w:val="12"/>
          <w:color w:val="auto"/>
        </w:rPr>
        <w:t xml:space="preserve">(2), or (2) after the Effective Date, including for each subsequent term in office, has been elected, re-elected, appointed, and/or nominated to the Board, as applicable, with the affirmative vote of at least a majority of the Incumbent Directors including the affirmative vote of the Executive Chairman at the time of such election, re-election, appointment, or nomination, </w:t>
      </w:r>
      <w:r>
        <w:rPr>
          <w:rFonts w:ascii="Times New Roman" w:cs="Times New Roman" w:eastAsia="Times New Roman" w:hAnsi="Times New Roman"/>
          <w:sz w:val="12"/>
          <w:szCs w:val="12"/>
          <w:i w:val="1"/>
          <w:iCs w:val="1"/>
          <w:color w:val="auto"/>
        </w:rPr>
        <w:t>provided that</w:t>
      </w:r>
      <w:r>
        <w:rPr>
          <w:rFonts w:ascii="Times New Roman" w:cs="Times New Roman" w:eastAsia="Times New Roman" w:hAnsi="Times New Roman"/>
          <w:sz w:val="12"/>
          <w:szCs w:val="12"/>
          <w:color w:val="auto"/>
        </w:rPr>
        <w:t xml:space="preserve"> , such person was not elected, re-elected, appointed, or nominated to the Board in connection with an actual or threatened proxy contest relating to the election of directors of the Parent; or</w:t>
      </w:r>
    </w:p>
    <w:p>
      <w:pPr>
        <w:spacing w:after="0" w:line="113" w:lineRule="exact"/>
        <w:rPr>
          <w:sz w:val="20"/>
          <w:szCs w:val="20"/>
          <w:color w:val="auto"/>
        </w:rPr>
      </w:pPr>
    </w:p>
    <w:p>
      <w:pPr>
        <w:ind w:left="680" w:hanging="423"/>
        <w:spacing w:after="0"/>
        <w:tabs>
          <w:tab w:leader="none" w:pos="680" w:val="left"/>
        </w:tabs>
        <w:numPr>
          <w:ilvl w:val="0"/>
          <w:numId w:val="1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employment of George Giouroukos (the “</w:t>
      </w:r>
      <w:r>
        <w:rPr>
          <w:rFonts w:ascii="Times New Roman" w:cs="Times New Roman" w:eastAsia="Times New Roman" w:hAnsi="Times New Roman"/>
          <w:sz w:val="12"/>
          <w:szCs w:val="12"/>
          <w:b w:val="1"/>
          <w:bCs w:val="1"/>
          <w:i w:val="1"/>
          <w:iCs w:val="1"/>
          <w:color w:val="auto"/>
        </w:rPr>
        <w:t>Executive Chairman</w:t>
      </w:r>
      <w:r>
        <w:rPr>
          <w:rFonts w:ascii="Times New Roman" w:cs="Times New Roman" w:eastAsia="Times New Roman" w:hAnsi="Times New Roman"/>
          <w:sz w:val="12"/>
          <w:szCs w:val="12"/>
          <w:color w:val="auto"/>
        </w:rPr>
        <w:t>”) as the Executive Chairman of the Parent is terminated by the Parent.</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Managers”</w:t>
      </w:r>
      <w:r>
        <w:rPr>
          <w:rFonts w:ascii="Times New Roman" w:cs="Times New Roman" w:eastAsia="Times New Roman" w:hAnsi="Times New Roman"/>
          <w:sz w:val="12"/>
          <w:szCs w:val="12"/>
          <w:color w:val="auto"/>
        </w:rPr>
        <w:t xml:space="preserve"> means Conchart Commercial Inc., a Marshall Islands corporation or Global Ship Lease Services Limited, a company incorporated in England (as applicable).</w:t>
      </w:r>
    </w:p>
    <w:p>
      <w:pPr>
        <w:spacing w:after="0" w:line="141" w:lineRule="exact"/>
        <w:rPr>
          <w:sz w:val="20"/>
          <w:szCs w:val="20"/>
          <w:color w:val="auto"/>
        </w:rPr>
      </w:pPr>
    </w:p>
    <w:p>
      <w:pPr>
        <w:ind w:left="26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Management Agreement</w:t>
      </w:r>
      <w:r>
        <w:rPr>
          <w:rFonts w:ascii="Times New Roman" w:cs="Times New Roman" w:eastAsia="Times New Roman" w:hAnsi="Times New Roman"/>
          <w:sz w:val="12"/>
          <w:szCs w:val="12"/>
          <w:color w:val="auto"/>
        </w:rPr>
        <w:t>” collectively means the agreements with respect to commercial management made between the Parent and/or its Subsidiaries, on the one hand, and the Commercial Managers, on the other hand, with respect to each of the Vessels (as defined therein).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629" w:right="379" w:bottom="1440" w:gutter="0" w:footer="0" w:header="0"/>
        </w:sectPr>
      </w:pPr>
    </w:p>
    <w:bookmarkStart w:id="171" w:name="page172"/>
    <w:bookmarkEnd w:id="171"/>
    <w:p>
      <w:pPr>
        <w:ind w:right="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Company</w:t>
      </w:r>
      <w:r>
        <w:rPr>
          <w:rFonts w:ascii="Times New Roman" w:cs="Times New Roman" w:eastAsia="Times New Roman" w:hAnsi="Times New Roman"/>
          <w:sz w:val="12"/>
          <w:szCs w:val="12"/>
          <w:color w:val="auto"/>
        </w:rPr>
        <w:t xml:space="preserve">” (with reference to the ISM Code and the ISPS Code) means the organization identified in </w:t>
      </w:r>
      <w:r>
        <w:rPr>
          <w:rFonts w:ascii="Times New Roman" w:cs="Times New Roman" w:eastAsia="Times New Roman" w:hAnsi="Times New Roman"/>
          <w:sz w:val="12"/>
          <w:szCs w:val="12"/>
          <w:b w:val="1"/>
          <w:bCs w:val="1"/>
          <w:color w:val="auto"/>
        </w:rPr>
        <w:t>Box 5</w:t>
      </w:r>
      <w:r>
        <w:rPr>
          <w:rFonts w:ascii="Times New Roman" w:cs="Times New Roman" w:eastAsia="Times New Roman" w:hAnsi="Times New Roman"/>
          <w:sz w:val="12"/>
          <w:szCs w:val="12"/>
          <w:color w:val="auto"/>
        </w:rPr>
        <w:t xml:space="preserve"> or any replacement organization appointed by the Owners from time to time (see Sub-clauses 9(b)(i) or 9(c) (ii), whichever is applicable).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xml:space="preserve"> means all information (of whatever nature and however recorded or preserved) which:</w:t>
      </w:r>
    </w:p>
    <w:p>
      <w:pPr>
        <w:spacing w:after="0" w:line="109" w:lineRule="exact"/>
        <w:rPr>
          <w:sz w:val="20"/>
          <w:szCs w:val="20"/>
          <w:color w:val="auto"/>
        </w:rPr>
      </w:pPr>
    </w:p>
    <w:p>
      <w:pPr>
        <w:ind w:left="680" w:right="20" w:hanging="333"/>
        <w:spacing w:after="0" w:line="248" w:lineRule="auto"/>
        <w:tabs>
          <w:tab w:leader="none" w:pos="6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was disclosed by the Owners to the Managers, whether before or after the date of this Agreement, as a result of the discussions leading up to this Agreement, entering into this Agreement or the performance of this Agreement and is designated as “confidential information” by the Owners at the time of disclosure; or</w:t>
      </w:r>
    </w:p>
    <w:p>
      <w:pPr>
        <w:spacing w:after="0" w:line="110" w:lineRule="exact"/>
        <w:rPr>
          <w:rFonts w:ascii="Times New Roman" w:cs="Times New Roman" w:eastAsia="Times New Roman" w:hAnsi="Times New Roman"/>
          <w:sz w:val="12"/>
          <w:szCs w:val="12"/>
          <w:color w:val="auto"/>
        </w:rPr>
      </w:pPr>
    </w:p>
    <w:p>
      <w:pPr>
        <w:ind w:left="680" w:hanging="333"/>
        <w:spacing w:after="0" w:line="248" w:lineRule="auto"/>
        <w:tabs>
          <w:tab w:leader="none" w:pos="6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information which relates to existing or proposed operations, business plans, market opportunities and business affairs of the Owners or its Affiliates and is clearly confidential from its nature and/or the circumstances in which it was imparted would be regarded as being confidential by a reasonable business person; or</w:t>
      </w:r>
    </w:p>
    <w:p>
      <w:pPr>
        <w:spacing w:after="0" w:line="110" w:lineRule="exact"/>
        <w:rPr>
          <w:rFonts w:ascii="Times New Roman" w:cs="Times New Roman" w:eastAsia="Times New Roman" w:hAnsi="Times New Roman"/>
          <w:sz w:val="12"/>
          <w:szCs w:val="12"/>
          <w:color w:val="auto"/>
        </w:rPr>
      </w:pPr>
    </w:p>
    <w:p>
      <w:pPr>
        <w:jc w:val="both"/>
        <w:ind w:left="680" w:hanging="333"/>
        <w:spacing w:after="0" w:line="235" w:lineRule="auto"/>
        <w:tabs>
          <w:tab w:leader="none" w:pos="6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clearly confidential from its nature and/or the circumstances in which it was imparted, and including information which relates to the commercial affairs, business (including but not limited to any information considered to be price sensitive information by the Owners), finances, infrastructure, products, services, developments, inventions, trade secrets, know-how, personnel, or contracts of, and any other information relating to, the Owners or its Affiliates (or its or their customers); or</w:t>
      </w:r>
    </w:p>
    <w:p>
      <w:pPr>
        <w:spacing w:after="0" w:line="116"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information referred to in (a) to (c) above disclosed on the Owners’ behalf by their Affiliates; and</w:t>
      </w:r>
    </w:p>
    <w:p>
      <w:pPr>
        <w:spacing w:after="0" w:line="150"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0"/>
          <w:numId w:val="1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extracted, copied or derived from information referred to in (a) to (d) above.</w:t>
      </w:r>
    </w:p>
    <w:p>
      <w:pPr>
        <w:spacing w:after="0" w:line="299"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Controlling</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Controlled by</w:t>
      </w:r>
      <w:r>
        <w:rPr>
          <w:rFonts w:ascii="Times New Roman" w:cs="Times New Roman" w:eastAsia="Times New Roman" w:hAnsi="Times New Roman"/>
          <w:sz w:val="12"/>
          <w:szCs w:val="12"/>
          <w:color w:val="auto"/>
        </w:rPr>
        <w:t>” means the possession, directly or indirectly, of the power to direct or cause the direction of the management and policies of a Person, whether through ownership of voting securities, by contract or otherwise.</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w:t>
      </w:r>
      <w:r>
        <w:rPr>
          <w:rFonts w:ascii="Times New Roman" w:cs="Times New Roman" w:eastAsia="Times New Roman" w:hAnsi="Times New Roman"/>
          <w:sz w:val="12"/>
          <w:szCs w:val="12"/>
          <w:color w:val="auto"/>
        </w:rPr>
        <w:t>” means the personnel of the numbers, rank and nationality specified in Annex “B” hereto, including but not limited to the Master and any officers.</w:t>
      </w:r>
    </w:p>
    <w:p>
      <w:pPr>
        <w:spacing w:after="0" w:line="14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 Insurances</w:t>
      </w:r>
      <w:r>
        <w:rPr>
          <w:rFonts w:ascii="Times New Roman" w:cs="Times New Roman" w:eastAsia="Times New Roman" w:hAnsi="Times New Roman"/>
          <w:sz w:val="12"/>
          <w:szCs w:val="12"/>
          <w:color w:val="auto"/>
        </w:rPr>
        <w:t xml:space="preserve">” means insurance of liabilities in respect of crew risks which shall include but not be limited to death, permanent disability, sickness, injury, repatriation, shipwreck unemployment indemnity and loss of personal </w:t>
      </w:r>
      <w:r>
        <w:rPr>
          <w:rFonts w:ascii="Times New Roman" w:cs="Times New Roman" w:eastAsia="Times New Roman" w:hAnsi="Times New Roman"/>
          <w:sz w:val="12"/>
          <w:szCs w:val="12"/>
          <w:i w:val="1"/>
          <w:iCs w:val="1"/>
          <w:color w:val="auto"/>
        </w:rPr>
        <w:t>effects</w:t>
      </w:r>
      <w:r>
        <w:rPr>
          <w:rFonts w:ascii="Times New Roman" w:cs="Times New Roman" w:eastAsia="Times New Roman" w:hAnsi="Times New Roman"/>
          <w:sz w:val="12"/>
          <w:szCs w:val="12"/>
          <w:color w:val="auto"/>
        </w:rPr>
        <w:t xml:space="preserve"> (see Sub- clause 5(b) (Crew Insurances) and Clause 7 (Insurance Arrangements) and Clause 10 (Insurance Policies) and </w:t>
      </w:r>
      <w:r>
        <w:rPr>
          <w:rFonts w:ascii="Times New Roman" w:cs="Times New Roman" w:eastAsia="Times New Roman" w:hAnsi="Times New Roman"/>
          <w:sz w:val="12"/>
          <w:szCs w:val="12"/>
          <w:b w:val="1"/>
          <w:bCs w:val="1"/>
          <w:color w:val="auto"/>
        </w:rPr>
        <w:t>Boxes 10</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b w:val="1"/>
          <w:bCs w:val="1"/>
          <w:color w:val="auto"/>
        </w:rPr>
        <w:t>11</w:t>
      </w:r>
      <w:r>
        <w:rPr>
          <w:rFonts w:ascii="Times New Roman" w:cs="Times New Roman" w:eastAsia="Times New Roman" w:hAnsi="Times New Roman"/>
          <w:sz w:val="12"/>
          <w:szCs w:val="12"/>
          <w:color w:val="auto"/>
        </w:rPr>
        <w:t>).</w:t>
      </w:r>
    </w:p>
    <w:p>
      <w:pPr>
        <w:spacing w:after="0" w:line="112" w:lineRule="exact"/>
        <w:rPr>
          <w:sz w:val="20"/>
          <w:szCs w:val="20"/>
          <w:color w:val="auto"/>
        </w:rPr>
      </w:pPr>
    </w:p>
    <w:p>
      <w:pPr>
        <w:jc w:val="both"/>
        <w:ind w:right="80"/>
        <w:spacing w:after="0" w:line="23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Crew Support Costs</w:t>
      </w:r>
      <w:r>
        <w:rPr>
          <w:rFonts w:ascii="Times New Roman" w:cs="Times New Roman" w:eastAsia="Times New Roman" w:hAnsi="Times New Roman"/>
          <w:sz w:val="12"/>
          <w:szCs w:val="12"/>
          <w:color w:val="auto"/>
        </w:rPr>
        <w:t>” means all expenses of a general nature which are not particularly referable to any individual vessel for the time being managed by the Managers and which are incurred by the Managers for the purpose of providing an efficient and economic management service and, without prejudice to the generality of the foregoing, shall include the cost of crew standby pay, training schemes for officers and ratings, cadet training schemes, sick pay, study pay, recruitment and interviews.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means the lawful currency of the United States of America.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Exclusive Broker</w:t>
      </w:r>
      <w:r>
        <w:rPr>
          <w:rFonts w:ascii="Times New Roman" w:cs="Times New Roman" w:eastAsia="Times New Roman" w:hAnsi="Times New Roman"/>
          <w:sz w:val="12"/>
          <w:szCs w:val="12"/>
          <w:color w:val="auto"/>
        </w:rPr>
        <w:t>” means Conchart Commercial Inc., a Marshall Islands corporation.</w:t>
      </w:r>
    </w:p>
    <w:p>
      <w:pPr>
        <w:spacing w:after="0" w:line="141"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Exclusive Brokerage Deed</w:t>
      </w:r>
      <w:r>
        <w:rPr>
          <w:rFonts w:ascii="Times New Roman" w:cs="Times New Roman" w:eastAsia="Times New Roman" w:hAnsi="Times New Roman"/>
          <w:sz w:val="12"/>
          <w:szCs w:val="12"/>
          <w:color w:val="auto"/>
        </w:rPr>
        <w:t>” means the Deed of Commercial Advisory Services and Exclusive Brokerage Services entered into on the same date as this Agreement made between the Parent, Global Ship Lease Services Limited and the Exclusive Broker with respect to the Vessels (as defined therein) (if applicable).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Flag State</w:t>
      </w:r>
      <w:r>
        <w:rPr>
          <w:rFonts w:ascii="Times New Roman" w:cs="Times New Roman" w:eastAsia="Times New Roman" w:hAnsi="Times New Roman"/>
          <w:sz w:val="12"/>
          <w:szCs w:val="12"/>
          <w:color w:val="auto"/>
        </w:rPr>
        <w:t>” means the State whose flag the Vessel is flying.</w:t>
      </w:r>
    </w:p>
    <w:p>
      <w:pPr>
        <w:spacing w:after="0" w:line="14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Entity</w:t>
      </w:r>
      <w:r>
        <w:rPr>
          <w:rFonts w:ascii="Times New Roman" w:cs="Times New Roman" w:eastAsia="Times New Roman" w:hAnsi="Times New Roman"/>
          <w:sz w:val="12"/>
          <w:szCs w:val="12"/>
          <w:color w:val="auto"/>
        </w:rPr>
        <w:t>” means and includes (whether having a distinct legal personality or not) any national or local government authority, board, commission, department, division, organ, instrumentality, court or agency and any association, organisation or institution of which any of the foregoing is a member or to whose jurisdiction any of the foregoing is subject or in whose activities any of the foregoing is a participant.</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Management Code for the Safe Operation of Ships and for Pollution Prevention and any amendment thereto or substitution therefor.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ISPS Code</w:t>
      </w:r>
      <w:r>
        <w:rPr>
          <w:rFonts w:ascii="Times New Roman" w:cs="Times New Roman" w:eastAsia="Times New Roman" w:hAnsi="Times New Roman"/>
          <w:sz w:val="12"/>
          <w:szCs w:val="12"/>
          <w:color w:val="auto"/>
        </w:rPr>
        <w:t>” means the International Code for the Security of Ships and Port Facilities and the relevant amendments to Chapter XI of SOLAS and any amendment thereto or substitution therefor.</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Managers</w:t>
      </w:r>
      <w:r>
        <w:rPr>
          <w:rFonts w:ascii="Times New Roman" w:cs="Times New Roman" w:eastAsia="Times New Roman" w:hAnsi="Times New Roman"/>
          <w:sz w:val="12"/>
          <w:szCs w:val="12"/>
          <w:color w:val="auto"/>
        </w:rPr>
        <w:t xml:space="preserve">” means the party identified in </w:t>
      </w:r>
      <w:r>
        <w:rPr>
          <w:rFonts w:ascii="Times New Roman" w:cs="Times New Roman" w:eastAsia="Times New Roman" w:hAnsi="Times New Roman"/>
          <w:sz w:val="12"/>
          <w:szCs w:val="12"/>
          <w:b w:val="1"/>
          <w:bCs w:val="1"/>
          <w:color w:val="auto"/>
        </w:rPr>
        <w:t>Box 4</w:t>
      </w:r>
      <w:r>
        <w:rPr>
          <w:rFonts w:ascii="Times New Roman" w:cs="Times New Roman" w:eastAsia="Times New Roman" w:hAnsi="Times New Roman"/>
          <w:sz w:val="12"/>
          <w:szCs w:val="12"/>
          <w:color w:val="auto"/>
        </w:rPr>
        <w:t>.</w:t>
      </w:r>
    </w:p>
    <w:p>
      <w:pPr>
        <w:spacing w:after="0" w:line="141"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Management Services</w:t>
      </w:r>
      <w:r>
        <w:rPr>
          <w:rFonts w:ascii="Times New Roman" w:cs="Times New Roman" w:eastAsia="Times New Roman" w:hAnsi="Times New Roman"/>
          <w:sz w:val="12"/>
          <w:szCs w:val="12"/>
          <w:color w:val="auto"/>
        </w:rPr>
        <w:t xml:space="preserve">” means the services specified in SECTION 2 - Services (Clauses 4 through 7) as indicated affirmatively in </w:t>
      </w:r>
      <w:r>
        <w:rPr>
          <w:rFonts w:ascii="Times New Roman" w:cs="Times New Roman" w:eastAsia="Times New Roman" w:hAnsi="Times New Roman"/>
          <w:sz w:val="12"/>
          <w:szCs w:val="12"/>
          <w:b w:val="1"/>
          <w:bCs w:val="1"/>
          <w:color w:val="auto"/>
        </w:rPr>
        <w:t>Boxes 6</w:t>
      </w:r>
      <w:r>
        <w:rPr>
          <w:rFonts w:ascii="Times New Roman" w:cs="Times New Roman" w:eastAsia="Times New Roman" w:hAnsi="Times New Roman"/>
          <w:sz w:val="12"/>
          <w:szCs w:val="12"/>
          <w:color w:val="auto"/>
        </w:rPr>
        <w:t xml:space="preserve"> through </w:t>
      </w:r>
      <w:r>
        <w:rPr>
          <w:rFonts w:ascii="Times New Roman" w:cs="Times New Roman" w:eastAsia="Times New Roman" w:hAnsi="Times New Roman"/>
          <w:sz w:val="12"/>
          <w:szCs w:val="12"/>
          <w:b w:val="1"/>
          <w:bCs w:val="1"/>
          <w:color w:val="auto"/>
        </w:rPr>
        <w:t>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10 and 11,</w:t>
      </w:r>
      <w:r>
        <w:rPr>
          <w:rFonts w:ascii="Times New Roman" w:cs="Times New Roman" w:eastAsia="Times New Roman" w:hAnsi="Times New Roman"/>
          <w:sz w:val="12"/>
          <w:szCs w:val="12"/>
          <w:color w:val="auto"/>
        </w:rPr>
        <w:t xml:space="preserve"> and all other functions performed by the Managers under the terms of this Agreement.</w:t>
      </w:r>
    </w:p>
    <w:p>
      <w:pPr>
        <w:spacing w:after="0" w:line="1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557" w:right="299" w:bottom="1440" w:gutter="0" w:footer="0" w:header="0"/>
        </w:sectPr>
      </w:pPr>
    </w:p>
    <w:bookmarkStart w:id="172" w:name="page173"/>
    <w:bookmarkEnd w:id="172"/>
    <w:p>
      <w:pPr>
        <w:jc w:val="both"/>
        <w:ind w:left="256"/>
        <w:spacing w:after="0" w:line="233"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 Change of Control</w:t>
      </w:r>
      <w:r>
        <w:rPr>
          <w:rFonts w:ascii="Times New Roman" w:cs="Times New Roman" w:eastAsia="Times New Roman" w:hAnsi="Times New Roman"/>
          <w:sz w:val="12"/>
          <w:szCs w:val="12"/>
          <w:color w:val="auto"/>
        </w:rPr>
        <w:t>” means (i) a transaction or series of transactions involving the sale, transfer or other disposition by George Giouroukos ( other than by reason of his death or other incapacity in managing his affairs ) to one or more Persons that are not, immediately prior to such sale, transfer, or other disposition, Affiliates of George Giouroukos, of more than 50% of the equity interests in the Managers; or (ii) any merger, consolidation or other business combination of the Managers in which George Giouroukos or his Affiliates immediately after such transaction ceases to own more than 50% of the equity interests in the Managers (or equity interests of their successors) as a result of such transaction.</w:t>
      </w:r>
    </w:p>
    <w:p>
      <w:pPr>
        <w:spacing w:after="0" w:line="12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means the party identified in </w:t>
      </w:r>
      <w:r>
        <w:rPr>
          <w:rFonts w:ascii="Times New Roman" w:cs="Times New Roman" w:eastAsia="Times New Roman" w:hAnsi="Times New Roman"/>
          <w:sz w:val="12"/>
          <w:szCs w:val="12"/>
          <w:b w:val="1"/>
          <w:bCs w:val="1"/>
          <w:color w:val="auto"/>
        </w:rPr>
        <w:t>Box 3</w:t>
      </w:r>
      <w:r>
        <w:rPr>
          <w:rFonts w:ascii="Times New Roman" w:cs="Times New Roman" w:eastAsia="Times New Roman" w:hAnsi="Times New Roman"/>
          <w:sz w:val="12"/>
          <w:szCs w:val="12"/>
          <w:color w:val="auto"/>
        </w:rPr>
        <w:t>.</w:t>
      </w:r>
    </w:p>
    <w:p>
      <w:pPr>
        <w:spacing w:after="0" w:line="132"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Parent</w:t>
      </w:r>
      <w:r>
        <w:rPr>
          <w:rFonts w:ascii="Times New Roman" w:cs="Times New Roman" w:eastAsia="Times New Roman" w:hAnsi="Times New Roman"/>
          <w:sz w:val="12"/>
          <w:szCs w:val="12"/>
          <w:color w:val="auto"/>
        </w:rPr>
        <w:t>” means Global Ship Lease, Inc., a Marshall Islands corporation.</w:t>
      </w:r>
    </w:p>
    <w:p>
      <w:pPr>
        <w:spacing w:after="0" w:line="132"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means the Parties to this Agreement.</w:t>
      </w:r>
    </w:p>
    <w:p>
      <w:pPr>
        <w:spacing w:after="0" w:line="14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means any individual, corporation, association, partnership (general or limited), joint venture, trust, estate, limited liability company, or other legal entity or organization.</w:t>
      </w:r>
    </w:p>
    <w:p>
      <w:pPr>
        <w:spacing w:after="0" w:line="132"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Severance Costs</w:t>
      </w:r>
      <w:r>
        <w:rPr>
          <w:rFonts w:ascii="Times New Roman" w:cs="Times New Roman" w:eastAsia="Times New Roman" w:hAnsi="Times New Roman"/>
          <w:sz w:val="12"/>
          <w:szCs w:val="12"/>
          <w:color w:val="auto"/>
        </w:rPr>
        <w:t>” means the costs which are legally required to be paid to the Crew as a result of the early termination of any contracts for service on the Vessel.</w:t>
      </w:r>
    </w:p>
    <w:p>
      <w:pPr>
        <w:spacing w:after="0" w:line="132"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SMS</w:t>
      </w:r>
      <w:r>
        <w:rPr>
          <w:rFonts w:ascii="Times New Roman" w:cs="Times New Roman" w:eastAsia="Times New Roman" w:hAnsi="Times New Roman"/>
          <w:sz w:val="12"/>
          <w:szCs w:val="12"/>
          <w:color w:val="auto"/>
        </w:rPr>
        <w:t>” means the Safety Management System (as defined by the ISM Code).</w:t>
      </w:r>
    </w:p>
    <w:p>
      <w:pPr>
        <w:spacing w:after="0" w:line="132"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STCW 95</w:t>
      </w:r>
      <w:r>
        <w:rPr>
          <w:rFonts w:ascii="Times New Roman" w:cs="Times New Roman" w:eastAsia="Times New Roman" w:hAnsi="Times New Roman"/>
          <w:sz w:val="12"/>
          <w:szCs w:val="12"/>
          <w:color w:val="auto"/>
        </w:rPr>
        <w:t>” means the International Convention on Standards of Training, Certification and Watchkeeping for Seafarers, 1978, as amended in 1995 and any amendment thereto or substitution therefor.</w:t>
      </w:r>
    </w:p>
    <w:p>
      <w:pPr>
        <w:spacing w:after="0" w:line="132" w:lineRule="exact"/>
        <w:rPr>
          <w:sz w:val="20"/>
          <w:szCs w:val="20"/>
          <w:color w:val="auto"/>
        </w:rPr>
      </w:pPr>
    </w:p>
    <w:p>
      <w:pPr>
        <w:jc w:val="both"/>
        <w:ind w:left="256"/>
        <w:spacing w:after="0" w:line="231"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Subsidiary(ies)</w:t>
      </w:r>
      <w:r>
        <w:rPr>
          <w:rFonts w:ascii="Times New Roman" w:cs="Times New Roman" w:eastAsia="Times New Roman" w:hAnsi="Times New Roman"/>
          <w:sz w:val="12"/>
          <w:szCs w:val="12"/>
          <w:color w:val="auto"/>
        </w:rPr>
        <w:t>” means, with respect to any Person, (a) a corporation of which more than 50% of the voting power of shares entitled (without regard to the occurrence of any contingency) to vote in the election of directors or other governing body of such corporation is owned, directly or indirectly, at the date of determination, by such Person, by one or more Persons Controlled by such Person or a combination thereof, (b) a partnership (whether general or limited) in which such Person or a Person Controlled by such Person is, at the date of determination, a general or limited partner of such partnership, but only if more than 50% of the partnership interests of such partnership (considering all of the partnership interests of the partnership as a single class) is owned, directly or indirectly, at the date of determination, by such Person, one or more Persons Controlled by such Person, or a combination thereof, or (c) any other Person (other than a corporation or a partnership) in which such Person, one or more Persons Controlled by such Person, or a combination thereof, directly or indirectly, at the date of determination, has (i) at least a majority ownership interest or (ii) the power to elect or direct the election of a majority of the directors or other governing body of such Person.</w:t>
      </w:r>
    </w:p>
    <w:p>
      <w:pPr>
        <w:spacing w:after="0" w:line="12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TCMC</w:t>
      </w:r>
      <w:r>
        <w:rPr>
          <w:rFonts w:ascii="Times New Roman" w:cs="Times New Roman" w:eastAsia="Times New Roman" w:hAnsi="Times New Roman"/>
          <w:sz w:val="12"/>
          <w:szCs w:val="12"/>
          <w:color w:val="auto"/>
        </w:rPr>
        <w:t>” means Technomar Crew Management Corporation, a crew manning company affiliated to the Managers with registered offices in Manila, Philippines.</w:t>
      </w:r>
    </w:p>
    <w:p>
      <w:pPr>
        <w:spacing w:after="0" w:line="141" w:lineRule="exact"/>
        <w:rPr>
          <w:sz w:val="20"/>
          <w:szCs w:val="20"/>
          <w:color w:val="auto"/>
        </w:rPr>
      </w:pPr>
    </w:p>
    <w:p>
      <w:pPr>
        <w:ind w:left="256"/>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vessel details of which are set out in Annex “A” attached hereto.</w:t>
      </w:r>
    </w:p>
    <w:p>
      <w:pPr>
        <w:spacing w:after="0" w:line="141" w:lineRule="exact"/>
        <w:rPr>
          <w:sz w:val="20"/>
          <w:szCs w:val="20"/>
          <w:color w:val="auto"/>
        </w:rPr>
      </w:pPr>
    </w:p>
    <w:p>
      <w:pPr>
        <w:ind w:left="256" w:hanging="256"/>
        <w:spacing w:after="0"/>
        <w:tabs>
          <w:tab w:leader="none" w:pos="25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Commencement and Appointment</w:t>
      </w:r>
    </w:p>
    <w:p>
      <w:pPr>
        <w:spacing w:after="0" w:line="20" w:lineRule="exact"/>
        <w:rPr>
          <w:rFonts w:ascii="Times New Roman" w:cs="Times New Roman" w:eastAsia="Times New Roman" w:hAnsi="Times New Roman"/>
          <w:sz w:val="12"/>
          <w:szCs w:val="12"/>
          <w:b w:val="1"/>
          <w:bCs w:val="1"/>
          <w:color w:val="auto"/>
        </w:rPr>
      </w:pPr>
    </w:p>
    <w:p>
      <w:pPr>
        <w:ind w:left="256"/>
        <w:spacing w:after="0" w:line="23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With effect from the date stated in Box 2 for the commencement of the Management Services and continuing unless and until terminated as provided herein, the Owners hereby appoint the Managers and the Managers hereby agree to act as the Managers of the Vessel in respect of the Management Services.</w:t>
      </w:r>
    </w:p>
    <w:p>
      <w:pPr>
        <w:spacing w:after="0" w:line="121"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Authority of the Managers</w:t>
      </w:r>
    </w:p>
    <w:p>
      <w:pPr>
        <w:spacing w:after="0" w:line="20" w:lineRule="exact"/>
        <w:rPr>
          <w:rFonts w:ascii="Times New Roman" w:cs="Times New Roman" w:eastAsia="Times New Roman" w:hAnsi="Times New Roman"/>
          <w:sz w:val="12"/>
          <w:szCs w:val="12"/>
          <w:b w:val="1"/>
          <w:bCs w:val="1"/>
          <w:color w:val="auto"/>
        </w:rPr>
      </w:pPr>
    </w:p>
    <w:p>
      <w:pPr>
        <w:jc w:val="both"/>
        <w:ind w:left="256"/>
        <w:spacing w:after="0" w:line="22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terms and conditions herein provided, during the period of this Agreement the Managers shall carry out the Management Services in respect of the Vessel as agents for and on behalf of the Owners. The Managers shall have authority to take such actions as they may from time to time in their absolute discretion consider to be necessary to enable them to perform the Management Services in accordance with sound ship management practice, including but not limited to compliance with all relevant rules and regulations.</w:t>
      </w:r>
    </w:p>
    <w:p>
      <w:pPr>
        <w:spacing w:after="0" w:line="130" w:lineRule="exact"/>
        <w:rPr>
          <w:sz w:val="20"/>
          <w:szCs w:val="20"/>
          <w:color w:val="auto"/>
        </w:rPr>
      </w:pPr>
    </w:p>
    <w:p>
      <w:pPr>
        <w:ind w:left="76"/>
        <w:spacing w:after="0"/>
        <w:rPr>
          <w:sz w:val="20"/>
          <w:szCs w:val="20"/>
          <w:color w:val="auto"/>
        </w:rPr>
      </w:pPr>
      <w:r>
        <w:rPr>
          <w:rFonts w:ascii="Times New Roman" w:cs="Times New Roman" w:eastAsia="Times New Roman" w:hAnsi="Times New Roman"/>
          <w:sz w:val="12"/>
          <w:szCs w:val="12"/>
          <w:b w:val="1"/>
          <w:bCs w:val="1"/>
          <w:color w:val="auto"/>
        </w:rPr>
        <w:t>SECTION 2 – Services</w:t>
      </w:r>
    </w:p>
    <w:p>
      <w:pPr>
        <w:spacing w:after="0" w:line="204" w:lineRule="exact"/>
        <w:rPr>
          <w:sz w:val="20"/>
          <w:szCs w:val="20"/>
          <w:color w:val="auto"/>
        </w:rPr>
      </w:pPr>
    </w:p>
    <w:p>
      <w:pPr>
        <w:ind w:left="256" w:hanging="256"/>
        <w:spacing w:after="0"/>
        <w:tabs>
          <w:tab w:leader="none" w:pos="256" w:val="left"/>
        </w:tabs>
        <w:numPr>
          <w:ilvl w:val="0"/>
          <w:numId w:val="10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Technical Management</w:t>
      </w:r>
    </w:p>
    <w:p>
      <w:pPr>
        <w:spacing w:after="0" w:line="20" w:lineRule="exact"/>
        <w:rPr>
          <w:rFonts w:ascii="Times New Roman" w:cs="Times New Roman" w:eastAsia="Times New Roman" w:hAnsi="Times New Roman"/>
          <w:sz w:val="12"/>
          <w:szCs w:val="12"/>
          <w:b w:val="1"/>
          <w:bCs w:val="1"/>
          <w:color w:val="auto"/>
        </w:rPr>
      </w:pPr>
    </w:p>
    <w:p>
      <w:pPr>
        <w:ind w:left="256"/>
        <w:spacing w:after="0" w:line="23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only applicable if agreed according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Box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6</w:t>
      </w:r>
      <w:r>
        <w:rPr>
          <w:rFonts w:ascii="Times New Roman" w:cs="Times New Roman" w:eastAsia="Times New Roman" w:hAnsi="Times New Roman"/>
          <w:sz w:val="12"/>
          <w:szCs w:val="12"/>
          <w:color w:val="auto"/>
        </w:rPr>
        <w:t>).</w:t>
      </w: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technical management which includes, but is not limited to, the following services:</w:t>
      </w:r>
    </w:p>
    <w:p>
      <w:pPr>
        <w:spacing w:after="0" w:line="125" w:lineRule="exact"/>
        <w:rPr>
          <w:rFonts w:ascii="Times New Roman" w:cs="Times New Roman" w:eastAsia="Times New Roman" w:hAnsi="Times New Roman"/>
          <w:sz w:val="12"/>
          <w:szCs w:val="12"/>
          <w:b w:val="1"/>
          <w:bCs w:val="1"/>
          <w:color w:val="auto"/>
        </w:rPr>
      </w:pPr>
    </w:p>
    <w:p>
      <w:pPr>
        <w:ind w:left="256"/>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(a) </w:t>
      </w:r>
      <w:r>
        <w:rPr>
          <w:rFonts w:ascii="Times New Roman" w:cs="Times New Roman" w:eastAsia="Times New Roman" w:hAnsi="Times New Roman"/>
          <w:sz w:val="12"/>
          <w:szCs w:val="12"/>
          <w:color w:val="auto"/>
        </w:rPr>
        <w:t>ensuring that the Vessel complies with the requirements of the law of the Flag State;</w:t>
      </w:r>
    </w:p>
    <w:p>
      <w:pPr>
        <w:spacing w:after="0" w:line="217"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57" w:right="379" w:bottom="1440" w:gutter="0" w:footer="0" w:header="0"/>
        </w:sectPr>
      </w:pPr>
    </w:p>
    <w:bookmarkStart w:id="173" w:name="page174"/>
    <w:bookmarkEnd w:id="173"/>
    <w:p>
      <w:pPr>
        <w:jc w:val="center"/>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39" w:lineRule="exact"/>
        <w:rPr>
          <w:sz w:val="20"/>
          <w:szCs w:val="20"/>
          <w:color w:val="auto"/>
        </w:rPr>
      </w:pPr>
    </w:p>
    <w:p>
      <w:pPr>
        <w:ind w:left="420" w:hanging="163"/>
        <w:spacing w:after="0"/>
        <w:tabs>
          <w:tab w:leader="none" w:pos="42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compliance with the ISM Code;</w:t>
      </w:r>
    </w:p>
    <w:p>
      <w:pPr>
        <w:spacing w:after="0" w:line="132" w:lineRule="exact"/>
        <w:rPr>
          <w:rFonts w:ascii="Times New Roman" w:cs="Times New Roman" w:eastAsia="Times New Roman" w:hAnsi="Times New Roman"/>
          <w:sz w:val="12"/>
          <w:szCs w:val="12"/>
          <w:b w:val="1"/>
          <w:bCs w:val="1"/>
          <w:color w:val="auto"/>
        </w:rPr>
      </w:pPr>
    </w:p>
    <w:p>
      <w:pPr>
        <w:ind w:left="420" w:hanging="163"/>
        <w:spacing w:after="0"/>
        <w:tabs>
          <w:tab w:leader="none" w:pos="42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ensuring compliance with the ISPS Code;</w:t>
      </w:r>
    </w:p>
    <w:p>
      <w:pPr>
        <w:spacing w:after="0" w:line="132" w:lineRule="exact"/>
        <w:rPr>
          <w:rFonts w:ascii="Times New Roman" w:cs="Times New Roman" w:eastAsia="Times New Roman" w:hAnsi="Times New Roman"/>
          <w:sz w:val="12"/>
          <w:szCs w:val="12"/>
          <w:b w:val="1"/>
          <w:bCs w:val="1"/>
          <w:color w:val="auto"/>
        </w:rPr>
      </w:pPr>
    </w:p>
    <w:p>
      <w:pPr>
        <w:ind w:left="440" w:hanging="183"/>
        <w:spacing w:after="0"/>
        <w:tabs>
          <w:tab w:leader="none" w:pos="44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providing competent personnel to supervise the maintenance and general efficiency of the Vessel;</w:t>
      </w:r>
    </w:p>
    <w:p>
      <w:pPr>
        <w:spacing w:after="0" w:line="141" w:lineRule="exact"/>
        <w:rPr>
          <w:rFonts w:ascii="Times New Roman" w:cs="Times New Roman" w:eastAsia="Times New Roman" w:hAnsi="Times New Roman"/>
          <w:sz w:val="12"/>
          <w:szCs w:val="12"/>
          <w:b w:val="1"/>
          <w:bCs w:val="1"/>
          <w:color w:val="auto"/>
        </w:rPr>
      </w:pPr>
    </w:p>
    <w:p>
      <w:pPr>
        <w:ind w:left="260" w:hanging="3"/>
        <w:spacing w:after="0" w:line="248" w:lineRule="auto"/>
        <w:tabs>
          <w:tab w:leader="none" w:pos="418"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and supervising special surveys, dry dockings, repairs, alterations and the maintenance of the Vessel to the standards agreed with the Owners provided that the Managers shall be entitled to incur the necessary expenditure to ensure that the Vessel will comply with all requirements and recommendations of the classification society. and with the law of the Flag State and of the places where the Vessel is required to trade;</w:t>
      </w:r>
    </w:p>
    <w:p>
      <w:pPr>
        <w:spacing w:after="0" w:line="110" w:lineRule="exact"/>
        <w:rPr>
          <w:rFonts w:ascii="Times New Roman" w:cs="Times New Roman" w:eastAsia="Times New Roman" w:hAnsi="Times New Roman"/>
          <w:sz w:val="12"/>
          <w:szCs w:val="12"/>
          <w:b w:val="1"/>
          <w:bCs w:val="1"/>
          <w:color w:val="auto"/>
        </w:rPr>
      </w:pPr>
    </w:p>
    <w:p>
      <w:pPr>
        <w:ind w:left="400" w:hanging="143"/>
        <w:spacing w:after="0"/>
        <w:tabs>
          <w:tab w:leader="none" w:pos="40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the supply of necessary stores, spares and lubricating oil;</w:t>
      </w:r>
    </w:p>
    <w:p>
      <w:pPr>
        <w:spacing w:after="0" w:line="132" w:lineRule="exact"/>
        <w:rPr>
          <w:rFonts w:ascii="Times New Roman" w:cs="Times New Roman" w:eastAsia="Times New Roman" w:hAnsi="Times New Roman"/>
          <w:sz w:val="12"/>
          <w:szCs w:val="12"/>
          <w:b w:val="1"/>
          <w:bCs w:val="1"/>
          <w:color w:val="auto"/>
        </w:rPr>
      </w:pPr>
    </w:p>
    <w:p>
      <w:pPr>
        <w:ind w:left="420" w:hanging="163"/>
        <w:spacing w:after="0"/>
        <w:tabs>
          <w:tab w:leader="none" w:pos="42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appointing surveyors and technical consultants as the Managers may consider from time to time to be necessary;</w:t>
      </w:r>
    </w:p>
    <w:p>
      <w:pPr>
        <w:spacing w:after="0" w:line="132" w:lineRule="exact"/>
        <w:rPr>
          <w:rFonts w:ascii="Times New Roman" w:cs="Times New Roman" w:eastAsia="Times New Roman" w:hAnsi="Times New Roman"/>
          <w:sz w:val="12"/>
          <w:szCs w:val="12"/>
          <w:b w:val="1"/>
          <w:bCs w:val="1"/>
          <w:color w:val="auto"/>
        </w:rPr>
      </w:pPr>
    </w:p>
    <w:p>
      <w:pPr>
        <w:ind w:left="260" w:hanging="3"/>
        <w:spacing w:after="0" w:line="248" w:lineRule="auto"/>
        <w:tabs>
          <w:tab w:leader="none" w:pos="436"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accordance with the Owners’ instructions, arranging and supervising the sale and/or purchase and legal and physical delivery of the Vessel under the sale and purchase agreement; provided, however services under this Sub-clause 4(h) shall not include negotiation of the sale agreement;</w:t>
      </w:r>
    </w:p>
    <w:p>
      <w:pPr>
        <w:spacing w:after="0" w:line="110" w:lineRule="exact"/>
        <w:rPr>
          <w:rFonts w:ascii="Times New Roman" w:cs="Times New Roman" w:eastAsia="Times New Roman" w:hAnsi="Times New Roman"/>
          <w:sz w:val="12"/>
          <w:szCs w:val="12"/>
          <w:b w:val="1"/>
          <w:bCs w:val="1"/>
          <w:color w:val="auto"/>
        </w:rPr>
      </w:pPr>
    </w:p>
    <w:p>
      <w:pPr>
        <w:ind w:left="400" w:hanging="143"/>
        <w:spacing w:after="0"/>
        <w:tabs>
          <w:tab w:leader="none" w:pos="40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supply of provisions;</w:t>
      </w:r>
    </w:p>
    <w:p>
      <w:pPr>
        <w:spacing w:after="0" w:line="132" w:lineRule="exact"/>
        <w:rPr>
          <w:rFonts w:ascii="Times New Roman" w:cs="Times New Roman" w:eastAsia="Times New Roman" w:hAnsi="Times New Roman"/>
          <w:sz w:val="12"/>
          <w:szCs w:val="12"/>
          <w:b w:val="1"/>
          <w:bCs w:val="1"/>
          <w:color w:val="auto"/>
        </w:rPr>
      </w:pPr>
    </w:p>
    <w:p>
      <w:pPr>
        <w:ind w:left="400" w:hanging="143"/>
        <w:spacing w:after="0"/>
        <w:tabs>
          <w:tab w:leader="none" w:pos="40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sampling and testing of bunkers;</w:t>
      </w:r>
    </w:p>
    <w:p>
      <w:pPr>
        <w:spacing w:after="0" w:line="132" w:lineRule="exact"/>
        <w:rPr>
          <w:rFonts w:ascii="Times New Roman" w:cs="Times New Roman" w:eastAsia="Times New Roman" w:hAnsi="Times New Roman"/>
          <w:sz w:val="12"/>
          <w:szCs w:val="12"/>
          <w:b w:val="1"/>
          <w:bCs w:val="1"/>
          <w:color w:val="auto"/>
        </w:rPr>
      </w:pPr>
    </w:p>
    <w:p>
      <w:pPr>
        <w:ind w:left="420" w:hanging="163"/>
        <w:spacing w:after="0"/>
        <w:tabs>
          <w:tab w:leader="none" w:pos="42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for the provision of bunker fuels as required for the Vessel’s trade;</w:t>
      </w:r>
    </w:p>
    <w:p>
      <w:pPr>
        <w:spacing w:after="0" w:line="132" w:lineRule="exact"/>
        <w:rPr>
          <w:rFonts w:ascii="Times New Roman" w:cs="Times New Roman" w:eastAsia="Times New Roman" w:hAnsi="Times New Roman"/>
          <w:sz w:val="12"/>
          <w:szCs w:val="12"/>
          <w:b w:val="1"/>
          <w:bCs w:val="1"/>
          <w:color w:val="auto"/>
        </w:rPr>
      </w:pPr>
    </w:p>
    <w:p>
      <w:pPr>
        <w:ind w:left="400" w:hanging="143"/>
        <w:spacing w:after="0"/>
        <w:tabs>
          <w:tab w:leader="none" w:pos="40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receiving and relaying voyage instructions;</w:t>
      </w:r>
    </w:p>
    <w:p>
      <w:pPr>
        <w:spacing w:after="0" w:line="141"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appointing stevedores;</w:t>
      </w:r>
    </w:p>
    <w:p>
      <w:pPr>
        <w:spacing w:after="0" w:line="132" w:lineRule="exact"/>
        <w:rPr>
          <w:rFonts w:ascii="Times New Roman" w:cs="Times New Roman" w:eastAsia="Times New Roman" w:hAnsi="Times New Roman"/>
          <w:sz w:val="12"/>
          <w:szCs w:val="12"/>
          <w:b w:val="1"/>
          <w:bCs w:val="1"/>
          <w:color w:val="auto"/>
        </w:rPr>
      </w:pPr>
    </w:p>
    <w:p>
      <w:pPr>
        <w:ind w:left="440" w:hanging="183"/>
        <w:spacing w:after="0"/>
        <w:tabs>
          <w:tab w:leader="none" w:pos="44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arranging surveys associated with the commercial operation of the Vessel;</w:t>
      </w:r>
    </w:p>
    <w:p>
      <w:pPr>
        <w:spacing w:after="0" w:line="132" w:lineRule="exact"/>
        <w:rPr>
          <w:rFonts w:ascii="Times New Roman" w:cs="Times New Roman" w:eastAsia="Times New Roman" w:hAnsi="Times New Roman"/>
          <w:sz w:val="12"/>
          <w:szCs w:val="12"/>
          <w:b w:val="1"/>
          <w:bCs w:val="1"/>
          <w:color w:val="auto"/>
        </w:rPr>
      </w:pPr>
    </w:p>
    <w:p>
      <w:pPr>
        <w:ind w:left="420" w:hanging="163"/>
        <w:spacing w:after="0"/>
        <w:tabs>
          <w:tab w:leader="none" w:pos="42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accounting and calculation of hire, freights, demurrage and/or dispatch monies due from or due to charterers of the Vessel; collection of any sums due to the Owners related to the operation of the Vessel;</w:t>
      </w:r>
    </w:p>
    <w:p>
      <w:pPr>
        <w:spacing w:after="0" w:line="132" w:lineRule="exact"/>
        <w:rPr>
          <w:rFonts w:ascii="Times New Roman" w:cs="Times New Roman" w:eastAsia="Times New Roman" w:hAnsi="Times New Roman"/>
          <w:sz w:val="12"/>
          <w:szCs w:val="12"/>
          <w:b w:val="1"/>
          <w:bCs w:val="1"/>
          <w:color w:val="auto"/>
        </w:rPr>
      </w:pPr>
    </w:p>
    <w:p>
      <w:pPr>
        <w:jc w:val="both"/>
        <w:ind w:left="260" w:hanging="3"/>
        <w:spacing w:after="0" w:line="231" w:lineRule="auto"/>
        <w:tabs>
          <w:tab w:leader="none" w:pos="441"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coordinate with the Commercial Managers and the Exclusive Broker (as applicable) with respect (i) the matters referenced in Clause 4(o) above, (ii) consolidation of accounts, budgets and other materials as may be requested by the Commercial Managers, the Exclusive Broker (as applicable) or Owners with respect to the Vessel and any other vessels subject to the Commercial Management Agreement and/or the Exclusive Brokerage Deed (as applicable) and for which the Managers hereunder provide any management services, and (iii) the scope of Management Services required hereunder in relation to any charterparty for the Vessel negotiated by the Commercial Managers or the Exclusive Broker (as applicable) on its behalf or on behalf of the Owners; and</w:t>
      </w:r>
    </w:p>
    <w:p>
      <w:pPr>
        <w:spacing w:after="0" w:line="116" w:lineRule="exact"/>
        <w:rPr>
          <w:rFonts w:ascii="Times New Roman" w:cs="Times New Roman" w:eastAsia="Times New Roman" w:hAnsi="Times New Roman"/>
          <w:sz w:val="12"/>
          <w:szCs w:val="12"/>
          <w:b w:val="1"/>
          <w:bCs w:val="1"/>
          <w:color w:val="auto"/>
        </w:rPr>
      </w:pPr>
    </w:p>
    <w:p>
      <w:pPr>
        <w:ind w:left="420" w:hanging="163"/>
        <w:spacing w:after="0"/>
        <w:tabs>
          <w:tab w:leader="none" w:pos="420" w:val="left"/>
        </w:tabs>
        <w:numPr>
          <w:ilvl w:val="1"/>
          <w:numId w:val="10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Perform the Management Services hereunder in compliance with, and in such a manner as to comply with the requirements of, any charterparty for the Vessel.</w:t>
      </w:r>
    </w:p>
    <w:p>
      <w:pPr>
        <w:spacing w:after="0" w:line="12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Crew Management and Crew Insurances</w:t>
      </w:r>
    </w:p>
    <w:p>
      <w:pPr>
        <w:spacing w:after="0" w:line="20" w:lineRule="exact"/>
        <w:rPr>
          <w:rFonts w:ascii="Times New Roman" w:cs="Times New Roman" w:eastAsia="Times New Roman" w:hAnsi="Times New Roman"/>
          <w:sz w:val="12"/>
          <w:szCs w:val="12"/>
          <w:b w:val="1"/>
          <w:bCs w:val="1"/>
          <w:color w:val="auto"/>
        </w:rPr>
      </w:pPr>
    </w:p>
    <w:p>
      <w:pPr>
        <w:ind w:left="400" w:hanging="144"/>
        <w:spacing w:after="0"/>
        <w:tabs>
          <w:tab w:leader="none" w:pos="400" w:val="left"/>
        </w:tabs>
        <w:numPr>
          <w:ilvl w:val="1"/>
          <w:numId w:val="105"/>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Crew Management</w:t>
      </w:r>
    </w:p>
    <w:p>
      <w:pPr>
        <w:spacing w:after="0" w:line="1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b w:val="1"/>
          <w:bCs w:val="1"/>
          <w:color w:val="auto"/>
        </w:rPr>
        <w:t>7</w:t>
      </w:r>
      <w:r>
        <w:rPr>
          <w:rFonts w:ascii="Times New Roman" w:cs="Times New Roman" w:eastAsia="Times New Roman" w:hAnsi="Times New Roman"/>
          <w:sz w:val="12"/>
          <w:szCs w:val="12"/>
          <w:color w:val="auto"/>
        </w:rPr>
        <w:t>)</w:t>
      </w:r>
    </w:p>
    <w:p>
      <w:pPr>
        <w:ind w:left="260"/>
        <w:spacing w:after="0"/>
        <w:rPr>
          <w:sz w:val="20"/>
          <w:szCs w:val="20"/>
          <w:color w:val="auto"/>
        </w:rPr>
      </w:pPr>
      <w:r>
        <w:rPr>
          <w:rFonts w:ascii="Times New Roman" w:cs="Times New Roman" w:eastAsia="Times New Roman" w:hAnsi="Times New Roman"/>
          <w:sz w:val="12"/>
          <w:szCs w:val="12"/>
          <w:color w:val="auto"/>
        </w:rPr>
        <w:t>The Managers shall provide suitably qualified Crew who shall comply with the requirements of STCW 95. The provision of such crew management services includes, but is not limited to, the following services: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360" w:top="638" w:right="379" w:bottom="1440" w:gutter="0" w:footer="0" w:header="0"/>
        </w:sectPr>
      </w:pPr>
    </w:p>
    <w:bookmarkStart w:id="174" w:name="page175"/>
    <w:bookmarkEnd w:id="174"/>
    <w:p>
      <w:pPr>
        <w:jc w:val="center"/>
        <w:ind w:right="336"/>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21" w:lineRule="exact"/>
        <w:rPr>
          <w:sz w:val="20"/>
          <w:szCs w:val="20"/>
          <w:color w:val="auto"/>
        </w:rPr>
      </w:pPr>
    </w:p>
    <w:p>
      <w:pPr>
        <w:ind w:left="244" w:hanging="244"/>
        <w:spacing w:after="0" w:line="264" w:lineRule="auto"/>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selecting, engaging and providing for the administration of the Crew, including, as applicable, payroll arrangements, pension arrangements, tax, social security contributions and other mandatory dues related to their employment payable in each Crew member’s country of domicile;</w:t>
      </w:r>
    </w:p>
    <w:p>
      <w:pPr>
        <w:spacing w:after="0" w:line="83"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applicable requirements of the law of the Flag State in respect of rank, qualification and certification of the Crew and employment regulations, such as Crew’s tax and social insurance, are satisfied;</w:t>
      </w:r>
    </w:p>
    <w:p>
      <w:pPr>
        <w:spacing w:after="0" w:line="141" w:lineRule="exact"/>
        <w:rPr>
          <w:rFonts w:ascii="Times New Roman" w:cs="Times New Roman" w:eastAsia="Times New Roman" w:hAnsi="Times New Roman"/>
          <w:sz w:val="12"/>
          <w:szCs w:val="12"/>
          <w:color w:val="auto"/>
        </w:rPr>
      </w:pPr>
    </w:p>
    <w:p>
      <w:pPr>
        <w:ind w:left="244" w:hanging="244"/>
        <w:spacing w:after="0" w:line="248" w:lineRule="auto"/>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all Crew have passed a medical examination with a qualified doctor certifying that they are fit for the duties for which they are engaged and are in possession of valid medical certificates issued in accordance with appropriate Flag State requirements, it being understood that the Vessel shall always remain flagged with a Flag State requiring such medical certificates;</w:t>
      </w:r>
    </w:p>
    <w:p>
      <w:pPr>
        <w:spacing w:after="0" w:line="101"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Crew shall have a common working language and/or a command of the English language of a sufficient standard to enable them to perform their duties safely;</w:t>
      </w:r>
    </w:p>
    <w:p>
      <w:pPr>
        <w:spacing w:after="0" w:line="132" w:lineRule="exact"/>
        <w:rPr>
          <w:rFonts w:ascii="Times New Roman" w:cs="Times New Roman" w:eastAsia="Times New Roman" w:hAnsi="Times New Roman"/>
          <w:sz w:val="12"/>
          <w:szCs w:val="12"/>
          <w:color w:val="auto"/>
        </w:rPr>
      </w:pPr>
    </w:p>
    <w:p>
      <w:pPr>
        <w:ind w:left="184" w:hanging="184"/>
        <w:spacing w:after="0"/>
        <w:tabs>
          <w:tab w:leader="none" w:pos="18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arranging transportation of the Crew including repatriation;</w:t>
      </w:r>
    </w:p>
    <w:p>
      <w:pPr>
        <w:spacing w:after="0" w:line="150" w:lineRule="exact"/>
        <w:rPr>
          <w:rFonts w:ascii="Times New Roman" w:cs="Times New Roman" w:eastAsia="Times New Roman" w:hAnsi="Times New Roman"/>
          <w:sz w:val="12"/>
          <w:szCs w:val="12"/>
          <w:color w:val="auto"/>
        </w:rPr>
      </w:pPr>
    </w:p>
    <w:p>
      <w:pPr>
        <w:ind w:left="184" w:hanging="184"/>
        <w:spacing w:after="0"/>
        <w:tabs>
          <w:tab w:leader="none" w:pos="18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training of the Crew;</w:t>
      </w:r>
    </w:p>
    <w:p>
      <w:pPr>
        <w:spacing w:after="0" w:line="141"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conducting union negotiations;</w:t>
      </w:r>
    </w:p>
    <w:p>
      <w:pPr>
        <w:spacing w:after="0" w:line="150"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the Manager’s drug and alcohol policy;</w:t>
      </w:r>
    </w:p>
    <w:p>
      <w:pPr>
        <w:spacing w:after="0" w:line="141" w:lineRule="exact"/>
        <w:rPr>
          <w:rFonts w:ascii="Times New Roman" w:cs="Times New Roman" w:eastAsia="Times New Roman" w:hAnsi="Times New Roman"/>
          <w:sz w:val="12"/>
          <w:szCs w:val="12"/>
          <w:color w:val="auto"/>
        </w:rPr>
      </w:pPr>
    </w:p>
    <w:p>
      <w:pPr>
        <w:ind w:left="244" w:right="20" w:hanging="244"/>
        <w:spacing w:after="0" w:line="248" w:lineRule="auto"/>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any complaints with respect to the Master or any of the officers or any other members of the Crew are promptly investigated, and if such complaints are well-founded ensuring that changes in appointments are made without delay in accordance with Clause 15 (Replacement);</w:t>
      </w:r>
    </w:p>
    <w:p>
      <w:pPr>
        <w:spacing w:after="0" w:line="101" w:lineRule="exact"/>
        <w:rPr>
          <w:rFonts w:ascii="Times New Roman" w:cs="Times New Roman" w:eastAsia="Times New Roman" w:hAnsi="Times New Roman"/>
          <w:sz w:val="12"/>
          <w:szCs w:val="12"/>
          <w:color w:val="auto"/>
        </w:rPr>
      </w:pPr>
    </w:p>
    <w:p>
      <w:pPr>
        <w:ind w:left="244" w:hanging="244"/>
        <w:spacing w:after="0" w:line="248" w:lineRule="auto"/>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Managers are the Company, ensuring that the Crew, on joining the Vessel, are given proper familiarization with their duties in relation to the Vessel’s SMS and that instructions which are essential to the SMS are identified, documented and given to the Crew prior to sailing;</w:t>
      </w:r>
    </w:p>
    <w:p>
      <w:pPr>
        <w:spacing w:after="0" w:line="101" w:lineRule="exact"/>
        <w:rPr>
          <w:rFonts w:ascii="Times New Roman" w:cs="Times New Roman" w:eastAsia="Times New Roman" w:hAnsi="Times New Roman"/>
          <w:sz w:val="12"/>
          <w:szCs w:val="12"/>
          <w:color w:val="auto"/>
        </w:rPr>
      </w:pPr>
    </w:p>
    <w:p>
      <w:pPr>
        <w:jc w:val="both"/>
        <w:ind w:left="244" w:hanging="244"/>
        <w:spacing w:after="0" w:line="231" w:lineRule="auto"/>
        <w:tabs>
          <w:tab w:leader="none" w:pos="24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hereby agreed that for the employment of Filipino crew the Managers may sub-contract with TCMC or any other manning agent. Where the Mangers have sub-contracted to (i) TCMC for the employment of Filipino crew, the Owners will pay to the Managers the actual costs of TCMC calculated on the basis of crew days on board the Vessel, and there shall be no commission or other charges payable to TCMC in relation thereto and (ii) any other manning agent for the employment of Filipino crew, the Owners will pay to the Managers the costs of such manning agent calculated on the basis of crew days on board the Vessel and charged to the Manager along with the customary commission and all other charges in relation thereto;</w:t>
      </w:r>
    </w:p>
    <w:p>
      <w:pPr>
        <w:spacing w:after="0" w:line="116" w:lineRule="exact"/>
        <w:rPr>
          <w:rFonts w:ascii="Times New Roman" w:cs="Times New Roman" w:eastAsia="Times New Roman" w:hAnsi="Times New Roman"/>
          <w:sz w:val="12"/>
          <w:szCs w:val="12"/>
          <w:color w:val="auto"/>
        </w:rPr>
      </w:pPr>
    </w:p>
    <w:p>
      <w:pPr>
        <w:ind w:left="264" w:hanging="264"/>
        <w:spacing w:after="0"/>
        <w:tabs>
          <w:tab w:leader="none" w:pos="264"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Managers are not the Company: N/A; and</w:t>
      </w:r>
    </w:p>
    <w:p>
      <w:pPr>
        <w:spacing w:after="0" w:line="141" w:lineRule="exact"/>
        <w:rPr>
          <w:rFonts w:ascii="Times New Roman" w:cs="Times New Roman" w:eastAsia="Times New Roman" w:hAnsi="Times New Roman"/>
          <w:sz w:val="12"/>
          <w:szCs w:val="12"/>
          <w:color w:val="auto"/>
        </w:rPr>
      </w:pPr>
    </w:p>
    <w:p>
      <w:pPr>
        <w:ind w:left="264" w:right="4920" w:hanging="264"/>
        <w:spacing w:after="0" w:line="311" w:lineRule="auto"/>
        <w:tabs>
          <w:tab w:leader="none" w:pos="262" w:val="left"/>
        </w:tabs>
        <w:numPr>
          <w:ilvl w:val="0"/>
          <w:numId w:val="1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Managers are not providing technical management services in accordance with Clause 4 (Technical Management): N/A</w:t>
      </w:r>
    </w:p>
    <w:p>
      <w:pPr>
        <w:spacing w:after="0" w:line="92" w:lineRule="exact"/>
        <w:rPr>
          <w:sz w:val="20"/>
          <w:szCs w:val="20"/>
          <w:color w:val="auto"/>
        </w:rPr>
      </w:pPr>
    </w:p>
    <w:p>
      <w:pPr>
        <w:ind w:left="164" w:hanging="164"/>
        <w:spacing w:after="0"/>
        <w:tabs>
          <w:tab w:leader="none" w:pos="164" w:val="left"/>
        </w:tabs>
        <w:numPr>
          <w:ilvl w:val="0"/>
          <w:numId w:val="10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Crew Insurances</w:t>
      </w:r>
    </w:p>
    <w:p>
      <w:pPr>
        <w:spacing w:after="0" w:line="1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u w:val="single" w:color="auto"/>
          <w:color w:val="auto"/>
        </w:rPr>
        <w:t>only applicable if Sub-clause 5(a) applies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and</w:t>
      </w:r>
      <w:r>
        <w:rPr>
          <w:rFonts w:ascii="Times New Roman" w:cs="Times New Roman" w:eastAsia="Times New Roman" w:hAnsi="Times New Roman"/>
          <w:sz w:val="12"/>
          <w:szCs w:val="12"/>
          <w:color w:val="auto"/>
        </w:rPr>
        <w:t xml:space="preserve"> if agreed according to </w:t>
      </w:r>
      <w:r>
        <w:rPr>
          <w:rFonts w:ascii="Times New Roman" w:cs="Times New Roman" w:eastAsia="Times New Roman" w:hAnsi="Times New Roman"/>
          <w:sz w:val="12"/>
          <w:szCs w:val="12"/>
          <w:b w:val="1"/>
          <w:bCs w:val="1"/>
          <w:i w:val="1"/>
          <w:iCs w:val="1"/>
          <w:color w:val="auto"/>
        </w:rPr>
        <w:t>Box 10</w:t>
      </w:r>
      <w:r>
        <w:rPr>
          <w:rFonts w:ascii="Times New Roman" w:cs="Times New Roman" w:eastAsia="Times New Roman" w:hAnsi="Times New Roman"/>
          <w:sz w:val="12"/>
          <w:szCs w:val="12"/>
          <w:color w:val="auto"/>
        </w:rPr>
        <w:t>)</w:t>
      </w:r>
    </w:p>
    <w:p>
      <w:pPr>
        <w:ind w:left="4"/>
        <w:spacing w:after="0"/>
        <w:rPr>
          <w:sz w:val="20"/>
          <w:szCs w:val="20"/>
          <w:color w:val="auto"/>
        </w:rPr>
      </w:pPr>
      <w:r>
        <w:rPr>
          <w:rFonts w:ascii="Times New Roman" w:cs="Times New Roman" w:eastAsia="Times New Roman" w:hAnsi="Times New Roman"/>
          <w:sz w:val="12"/>
          <w:szCs w:val="12"/>
          <w:color w:val="auto"/>
        </w:rPr>
        <w:t>The Managers shall throughout the period of this Agreement provide the following services:</w:t>
      </w:r>
    </w:p>
    <w:p>
      <w:pPr>
        <w:spacing w:after="0" w:line="120" w:lineRule="exact"/>
        <w:rPr>
          <w:sz w:val="20"/>
          <w:szCs w:val="20"/>
          <w:color w:val="auto"/>
        </w:rPr>
      </w:pPr>
    </w:p>
    <w:p>
      <w:pPr>
        <w:ind w:left="244" w:hanging="244"/>
        <w:spacing w:after="0" w:line="248" w:lineRule="auto"/>
        <w:tabs>
          <w:tab w:leader="none" w:pos="24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arranging Crew Insurances in accordance with the sound practice of prudent managers of vessels of a similar type to the Vessel, with sound and reputable insurance companies, underwriters or associations. Insurances for any other persons proceeding to sea onboard the Vessel may be separately agreed by the Owners and the Managers (see </w:t>
      </w:r>
      <w:r>
        <w:rPr>
          <w:rFonts w:ascii="Times New Roman" w:cs="Times New Roman" w:eastAsia="Times New Roman" w:hAnsi="Times New Roman"/>
          <w:sz w:val="12"/>
          <w:szCs w:val="12"/>
          <w:b w:val="1"/>
          <w:bCs w:val="1"/>
          <w:color w:val="auto"/>
        </w:rPr>
        <w:t>Box 10</w:t>
      </w:r>
      <w:r>
        <w:rPr>
          <w:rFonts w:ascii="Times New Roman" w:cs="Times New Roman" w:eastAsia="Times New Roman" w:hAnsi="Times New Roman"/>
          <w:sz w:val="12"/>
          <w:szCs w:val="12"/>
          <w:color w:val="auto"/>
        </w:rPr>
        <w:t>);</w:t>
      </w:r>
    </w:p>
    <w:p>
      <w:pPr>
        <w:spacing w:after="0" w:line="101" w:lineRule="exact"/>
        <w:rPr>
          <w:rFonts w:ascii="Times New Roman" w:cs="Times New Roman" w:eastAsia="Times New Roman" w:hAnsi="Times New Roman"/>
          <w:sz w:val="12"/>
          <w:szCs w:val="12"/>
          <w:color w:val="auto"/>
        </w:rPr>
      </w:pPr>
    </w:p>
    <w:p>
      <w:pPr>
        <w:ind w:left="244" w:hanging="244"/>
        <w:spacing w:after="0"/>
        <w:tabs>
          <w:tab w:leader="none" w:pos="244" w:val="left"/>
        </w:tabs>
        <w:numPr>
          <w:ilvl w:val="0"/>
          <w:numId w:val="1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ensuring that the Owners are aware of the terms, conditions, exceptions and limits of liability of the insurances in Sub-clause 5(b)(i);</w:t>
      </w:r>
    </w:p>
    <w:p>
      <w:pPr>
        <w:spacing w:after="0" w:line="132" w:lineRule="exact"/>
        <w:rPr>
          <w:rFonts w:ascii="Times New Roman" w:cs="Times New Roman" w:eastAsia="Times New Roman" w:hAnsi="Times New Roman"/>
          <w:sz w:val="12"/>
          <w:szCs w:val="12"/>
          <w:color w:val="auto"/>
        </w:rPr>
      </w:pPr>
    </w:p>
    <w:p>
      <w:pPr>
        <w:ind w:left="164" w:hanging="164"/>
        <w:spacing w:after="0"/>
        <w:tabs>
          <w:tab w:leader="none" w:pos="164" w:val="left"/>
        </w:tabs>
        <w:numPr>
          <w:ilvl w:val="0"/>
          <w:numId w:val="10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ensuring that all premiums or calls in respect of the insurances in Sub-clause 5(b)(i) are paid by their due date;</w:t>
      </w:r>
    </w:p>
    <w:p>
      <w:pPr>
        <w:spacing w:after="0" w:line="245" w:lineRule="exact"/>
        <w:rPr>
          <w:sz w:val="20"/>
          <w:szCs w:val="20"/>
          <w:color w:val="auto"/>
        </w:rPr>
      </w:pPr>
    </w:p>
    <w:p>
      <w:pPr>
        <w:jc w:val="center"/>
        <w:ind w:right="316"/>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10795</wp:posOffset>
            </wp:positionV>
            <wp:extent cx="717804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4"/>
          </w:cols>
          <w:pgMar w:left="616" w:top="638" w:right="299" w:bottom="1440" w:gutter="0" w:footer="0" w:header="0"/>
        </w:sectPr>
      </w:pPr>
    </w:p>
    <w:bookmarkStart w:id="175" w:name="page176"/>
    <w:bookmarkEnd w:id="175"/>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PART II SHIPMAN 2009</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Standard ship management agreement</w:t>
      </w:r>
    </w:p>
    <w:p>
      <w:pPr>
        <w:spacing w:after="0" w:line="130" w:lineRule="exact"/>
        <w:rPr>
          <w:sz w:val="20"/>
          <w:szCs w:val="20"/>
          <w:color w:val="auto"/>
        </w:rPr>
      </w:pPr>
    </w:p>
    <w:p>
      <w:pPr>
        <w:ind w:left="500" w:right="20" w:hanging="244"/>
        <w:spacing w:after="0" w:line="248" w:lineRule="auto"/>
        <w:tabs>
          <w:tab w:leader="none" w:pos="500"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obtainable at no additional cost or as otherwise requested by the Owners, ensuring that insurances in Sub-clause 5(b)(i) name the Owners as a joint assured with full cover and, unless otherwise agreed, on terms such that Owners shall be under no liability in respect of premiums or calls arising in connection with such insurances;</w:t>
      </w:r>
    </w:p>
    <w:p>
      <w:pPr>
        <w:spacing w:after="0" w:line="101" w:lineRule="exact"/>
        <w:rPr>
          <w:rFonts w:ascii="Times New Roman" w:cs="Times New Roman" w:eastAsia="Times New Roman" w:hAnsi="Times New Roman"/>
          <w:sz w:val="12"/>
          <w:szCs w:val="12"/>
          <w:color w:val="auto"/>
        </w:rPr>
      </w:pPr>
    </w:p>
    <w:p>
      <w:pPr>
        <w:ind w:left="500" w:hanging="244"/>
        <w:spacing w:after="0" w:line="248" w:lineRule="auto"/>
        <w:tabs>
          <w:tab w:leader="none" w:pos="500" w:val="left"/>
        </w:tabs>
        <w:numPr>
          <w:ilvl w:val="1"/>
          <w:numId w:val="1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written evidence, to the reasonable satisfaction of the Owners, of the Managers’ compliance with their obligations under Sub-clause 5(b)(ii), and 5(b)(iii) within a reasonable time of the commencement of this Agreement, and of each renewal date and, if specifically requested, of each payment date of the insurances in Sub-clause 5(b)(i).</w:t>
      </w:r>
    </w:p>
    <w:p>
      <w:pPr>
        <w:spacing w:after="0" w:line="106" w:lineRule="exact"/>
        <w:rPr>
          <w:rFonts w:ascii="Times New Roman" w:cs="Times New Roman" w:eastAsia="Times New Roman" w:hAnsi="Times New Roman"/>
          <w:sz w:val="12"/>
          <w:szCs w:val="12"/>
          <w:color w:val="auto"/>
        </w:rPr>
      </w:pPr>
    </w:p>
    <w:p>
      <w:pPr>
        <w:ind w:left="260" w:hanging="256"/>
        <w:spacing w:after="0"/>
        <w:tabs>
          <w:tab w:leader="none" w:pos="260" w:val="left"/>
        </w:tabs>
        <w:numPr>
          <w:ilvl w:val="0"/>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Commercial Management</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 8</w:t>
      </w:r>
      <w:r>
        <w:rPr>
          <w:rFonts w:ascii="Times New Roman" w:cs="Times New Roman" w:eastAsia="Times New Roman" w:hAnsi="Times New Roman"/>
          <w:sz w:val="12"/>
          <w:szCs w:val="12"/>
          <w:i w:val="1"/>
          <w:iCs w:val="1"/>
          <w:color w:val="auto"/>
        </w:rPr>
        <w:t>). – N/A</w:t>
      </w:r>
    </w:p>
    <w:p>
      <w:pPr>
        <w:spacing w:after="0" w:line="270"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1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Arrangements</w:t>
      </w:r>
    </w:p>
    <w:p>
      <w:pPr>
        <w:spacing w:after="0" w:line="20" w:lineRule="exact"/>
        <w:rPr>
          <w:rFonts w:ascii="Times New Roman" w:cs="Times New Roman" w:eastAsia="Times New Roman" w:hAnsi="Times New Roman"/>
          <w:sz w:val="12"/>
          <w:szCs w:val="12"/>
          <w:b w:val="1"/>
          <w:bCs w:val="1"/>
          <w:color w:val="auto"/>
        </w:rPr>
      </w:pPr>
    </w:p>
    <w:p>
      <w:pPr>
        <w:ind w:left="260"/>
        <w:spacing w:after="0" w:line="23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(only applicable if agreed according to </w:t>
      </w:r>
      <w:r>
        <w:rPr>
          <w:rFonts w:ascii="Times New Roman" w:cs="Times New Roman" w:eastAsia="Times New Roman" w:hAnsi="Times New Roman"/>
          <w:sz w:val="12"/>
          <w:szCs w:val="12"/>
          <w:b w:val="1"/>
          <w:bCs w:val="1"/>
          <w:i w:val="1"/>
          <w:iCs w:val="1"/>
          <w:color w:val="auto"/>
        </w:rPr>
        <w:t>Box 11</w:t>
      </w:r>
      <w:r>
        <w:rPr>
          <w:rFonts w:ascii="Times New Roman" w:cs="Times New Roman" w:eastAsia="Times New Roman" w:hAnsi="Times New Roman"/>
          <w:sz w:val="12"/>
          <w:szCs w:val="12"/>
          <w:i w:val="1"/>
          <w:iCs w:val="1"/>
          <w:color w:val="auto"/>
        </w:rPr>
        <w:t>).</w:t>
      </w:r>
    </w:p>
    <w:p>
      <w:pPr>
        <w:ind w:left="260" w:right="80"/>
        <w:spacing w:after="0" w:line="23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arrange insurances in accordance with Clause 10 (Insurance Policies), on such terms as the Owners shall have instructed or agreed, in particular regarding conditions, insured values, deductibles, franchises and limits of liability.</w:t>
      </w:r>
    </w:p>
    <w:p>
      <w:pPr>
        <w:spacing w:after="0" w:line="1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3 – Obligations</w:t>
      </w:r>
    </w:p>
    <w:p>
      <w:pPr>
        <w:spacing w:after="0" w:line="195" w:lineRule="exact"/>
        <w:rPr>
          <w:sz w:val="20"/>
          <w:szCs w:val="20"/>
          <w:color w:val="auto"/>
        </w:rPr>
      </w:pPr>
    </w:p>
    <w:p>
      <w:pPr>
        <w:ind w:left="260" w:hanging="256"/>
        <w:spacing w:after="0"/>
        <w:tabs>
          <w:tab w:leader="none" w:pos="260" w:val="left"/>
        </w:tabs>
        <w:numPr>
          <w:ilvl w:val="0"/>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Managers’ Obligations</w:t>
      </w:r>
    </w:p>
    <w:p>
      <w:pPr>
        <w:spacing w:after="0" w:line="20" w:lineRule="exact"/>
        <w:rPr>
          <w:rFonts w:ascii="Times New Roman" w:cs="Times New Roman" w:eastAsia="Times New Roman" w:hAnsi="Times New Roman"/>
          <w:sz w:val="12"/>
          <w:szCs w:val="12"/>
          <w:b w:val="1"/>
          <w:bCs w:val="1"/>
          <w:color w:val="auto"/>
        </w:rPr>
      </w:pPr>
    </w:p>
    <w:p>
      <w:pPr>
        <w:jc w:val="both"/>
        <w:ind w:left="260" w:right="80" w:hanging="3"/>
        <w:spacing w:after="0" w:line="234" w:lineRule="auto"/>
        <w:tabs>
          <w:tab w:leader="none" w:pos="501" w:val="left"/>
        </w:tabs>
        <w:numPr>
          <w:ilvl w:val="1"/>
          <w:numId w:val="1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undertake to use their best endeavours to provide the Management Services as agents for and on behalf of the Owners in accordance with sound ship management practice and to protect and promote the interests of the Owners in all matters relating to the provision of services hereunder. In performing and discharging its obligations, duties and liabilities under this Agreement, the Managers shall act in accordance with all instructions communicated to it by the Owners and the Managers shall at all times serve the Owners faithfully and diligently.</w:t>
      </w:r>
    </w:p>
    <w:p>
      <w:pPr>
        <w:spacing w:after="0" w:line="98" w:lineRule="exact"/>
        <w:rPr>
          <w:sz w:val="20"/>
          <w:szCs w:val="20"/>
          <w:color w:val="auto"/>
        </w:rPr>
      </w:pPr>
    </w:p>
    <w:p>
      <w:pPr>
        <w:jc w:val="both"/>
        <w:ind w:left="260" w:right="80"/>
        <w:spacing w:after="0" w:line="232" w:lineRule="auto"/>
        <w:rPr>
          <w:sz w:val="20"/>
          <w:szCs w:val="20"/>
          <w:color w:val="auto"/>
        </w:rPr>
      </w:pPr>
      <w:r>
        <w:rPr>
          <w:rFonts w:ascii="Times New Roman" w:cs="Times New Roman" w:eastAsia="Times New Roman" w:hAnsi="Times New Roman"/>
          <w:sz w:val="12"/>
          <w:szCs w:val="12"/>
          <w:color w:val="auto"/>
        </w:rPr>
        <w:t>Notwithstanding anything herein to the contrary and for the avoidance of doubt, the parties acknowledge that the Managers shall continue to act as a technical manager with respect to vessels owned or operated by persons or entities other than the Owners, the Parent, or their respective Subsidiaries. In addition, and notwithstanding clause 8(a), in the performance of their management responsibilities under this Agreement, the Managers shall be entitled to have regard to their overall responsibility in relation to all other vessels as may from time to time be entrusted to their management and in particular, but without prejudice to the generality of the foregoing, the Managers shall be entitled to allocate available supplies, manpower and services in such manner as in the prevailing circumstances they consider in their discretion (reasonably exercised) to be fair and reasonable, but in no circumstances shall the Vessel be managed in a manner which is less favourable to the interests of the Owners.</w:t>
      </w:r>
    </w:p>
    <w:p>
      <w:pPr>
        <w:spacing w:after="0" w:line="89" w:lineRule="exact"/>
        <w:rPr>
          <w:sz w:val="20"/>
          <w:szCs w:val="20"/>
          <w:color w:val="auto"/>
        </w:rPr>
      </w:pPr>
    </w:p>
    <w:p>
      <w:pPr>
        <w:jc w:val="both"/>
        <w:ind w:left="260" w:right="80"/>
        <w:spacing w:after="0" w:line="248" w:lineRule="auto"/>
        <w:rPr>
          <w:sz w:val="20"/>
          <w:szCs w:val="20"/>
          <w:color w:val="auto"/>
        </w:rPr>
      </w:pPr>
      <w:r>
        <w:rPr>
          <w:rFonts w:ascii="Times New Roman" w:cs="Times New Roman" w:eastAsia="Times New Roman" w:hAnsi="Times New Roman"/>
          <w:sz w:val="12"/>
          <w:szCs w:val="12"/>
          <w:color w:val="auto"/>
        </w:rPr>
        <w:t>In the performance and discharge of its obligations, duties and liabilities under this Agreement, the Managers shall take care not to exceed the authority given by the Owners under the terms of this Agreement and shall act at all times in accordance with the Owner’s instructions.</w:t>
      </w:r>
    </w:p>
    <w:p>
      <w:pPr>
        <w:spacing w:after="0" w:line="93" w:lineRule="exact"/>
        <w:rPr>
          <w:sz w:val="20"/>
          <w:szCs w:val="20"/>
          <w:color w:val="auto"/>
        </w:rPr>
      </w:pPr>
    </w:p>
    <w:p>
      <w:pPr>
        <w:jc w:val="both"/>
        <w:ind w:left="260" w:right="80"/>
        <w:spacing w:after="0" w:line="235" w:lineRule="auto"/>
        <w:rPr>
          <w:sz w:val="20"/>
          <w:szCs w:val="20"/>
          <w:color w:val="auto"/>
        </w:rPr>
      </w:pPr>
      <w:r>
        <w:rPr>
          <w:rFonts w:ascii="Times New Roman" w:cs="Times New Roman" w:eastAsia="Times New Roman" w:hAnsi="Times New Roman"/>
          <w:sz w:val="12"/>
          <w:szCs w:val="12"/>
          <w:color w:val="auto"/>
        </w:rPr>
        <w:t>In the performance and discharge of its obligations, duties and liabilities under this Agreement, the Manager shall act with reasonable care and skill in accordance with good industry practices and in compliance with all laws and regulations, and shall provide the Management Services hereunder and maintain the Vessel at a standard at least equivalent to the standards followed by it with respect to the other vessel(s) for which the Managers provide management services.</w:t>
      </w:r>
    </w:p>
    <w:p>
      <w:pPr>
        <w:spacing w:after="0" w:line="9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Notwithstanding anything contained herein to the contrary, the Managers shall at all times devote a sufficient amount of its time, resources and personnel to provide the Management Services contemplated by this Agreement.</w:t>
      </w:r>
    </w:p>
    <w:p>
      <w:pPr>
        <w:spacing w:after="0" w:line="141" w:lineRule="exact"/>
        <w:rPr>
          <w:sz w:val="20"/>
          <w:szCs w:val="20"/>
          <w:color w:val="auto"/>
        </w:rPr>
      </w:pPr>
    </w:p>
    <w:p>
      <w:pPr>
        <w:ind w:left="260" w:right="80" w:hanging="3"/>
        <w:spacing w:after="0" w:line="248" w:lineRule="auto"/>
        <w:tabs>
          <w:tab w:leader="none" w:pos="507" w:val="left"/>
        </w:tabs>
        <w:numPr>
          <w:ilvl w:val="0"/>
          <w:numId w:val="11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technical management services in accordance with Clause 4 (Technical Management), they shall procure that the requirements of the Flag State are satisfied and they shall agree to be appointed as the Company, assuming the responsibility for the operation of the Vessel and taking over the duties and responsibilities imposed by the ISM Code and the ISPS Code, if applicable.</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620" w:right="299" w:bottom="1440" w:gutter="0" w:footer="0" w:header="0"/>
        </w:sectPr>
      </w:pPr>
    </w:p>
    <w:bookmarkStart w:id="176" w:name="page177"/>
    <w:bookmarkEnd w:id="176"/>
    <w:p>
      <w:pPr>
        <w:jc w:val="both"/>
        <w:ind w:left="260" w:right="80" w:hanging="3"/>
        <w:spacing w:after="0" w:line="230" w:lineRule="auto"/>
        <w:tabs>
          <w:tab w:leader="none" w:pos="522" w:val="left"/>
        </w:tabs>
        <w:numPr>
          <w:ilvl w:val="2"/>
          <w:numId w:val="1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providing the Management Services, the Managers will at all times comply with, without limitation, the U.S. Foreign Corrupt Practices Act, any applicable country legislation implementing the OECD Convention on combating Bribery of Foreign Public Officials in International Business Transactions, and the UK Bribery Act 2010, and any other laws or regulations relating to anti-bribery, anti-terrorism, economic sanctions and anti-money laundering, to the extent applicable. The Managers shall not engage in any activity, practice or conduct which constitutes a breach of any of the foregoing; in addition, the Managers shall not employ any Person, nor subcontract with any person or entity, to perform or discharge any of its obligations under this Agreement if that person or entity is designated or identified as a Specially Designated National, a Person subject to sanctions that prohibit all dealings or restrict dealings with such Person, a foreign terrorist organization or an organization that provides support to a foreign terrorist organization by the United States Government or any branch or department thereof (including, but not limited to, the Office of Foreign Asset Control).</w:t>
      </w:r>
    </w:p>
    <w:p>
      <w:pPr>
        <w:spacing w:after="0" w:line="129"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Obligations</w:t>
      </w:r>
    </w:p>
    <w:p>
      <w:pPr>
        <w:spacing w:after="0" w:line="20" w:lineRule="exact"/>
        <w:rPr>
          <w:rFonts w:ascii="Times New Roman" w:cs="Times New Roman" w:eastAsia="Times New Roman" w:hAnsi="Times New Roman"/>
          <w:sz w:val="12"/>
          <w:szCs w:val="12"/>
          <w:b w:val="1"/>
          <w:bCs w:val="1"/>
          <w:color w:val="auto"/>
        </w:rPr>
      </w:pPr>
    </w:p>
    <w:p>
      <w:pPr>
        <w:ind w:left="480" w:hanging="223"/>
        <w:spacing w:after="0"/>
        <w:tabs>
          <w:tab w:leader="none" w:pos="480" w:val="left"/>
        </w:tabs>
        <w:numPr>
          <w:ilvl w:val="2"/>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pay all sums due to the Managers punctually in accordance with the terms of this Agreement.</w:t>
      </w:r>
    </w:p>
    <w:p>
      <w:pPr>
        <w:spacing w:after="0" w:line="130"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2"/>
          <w:numId w:val="1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technical management services in accordance with Clause 4 (Technical Management), the Owners shall:</w:t>
      </w:r>
    </w:p>
    <w:p>
      <w:pPr>
        <w:spacing w:after="0" w:line="132" w:lineRule="exact"/>
        <w:rPr>
          <w:rFonts w:ascii="Times New Roman" w:cs="Times New Roman" w:eastAsia="Times New Roman" w:hAnsi="Times New Roman"/>
          <w:sz w:val="12"/>
          <w:szCs w:val="12"/>
          <w:b w:val="1"/>
          <w:bCs w:val="1"/>
          <w:color w:val="auto"/>
        </w:rPr>
      </w:pPr>
    </w:p>
    <w:p>
      <w:pPr>
        <w:ind w:left="580" w:hanging="324"/>
        <w:spacing w:after="0" w:line="264" w:lineRule="auto"/>
        <w:tabs>
          <w:tab w:leader="none" w:pos="580" w:val="left"/>
        </w:tabs>
        <w:numPr>
          <w:ilvl w:val="2"/>
          <w:numId w:val="1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report (or where the Owners are not the registered owners of the Vessel procure that the registered owners report) to the Flag State administration the details of the Managers as the Company as required to comply with the ISM and ISPS Codes;</w:t>
      </w:r>
    </w:p>
    <w:p>
      <w:pPr>
        <w:spacing w:after="0" w:line="83" w:lineRule="exact"/>
        <w:rPr>
          <w:rFonts w:ascii="Times New Roman" w:cs="Times New Roman" w:eastAsia="Times New Roman" w:hAnsi="Times New Roman"/>
          <w:sz w:val="12"/>
          <w:szCs w:val="12"/>
          <w:color w:val="auto"/>
        </w:rPr>
      </w:pPr>
    </w:p>
    <w:p>
      <w:pPr>
        <w:ind w:left="580" w:hanging="324"/>
        <w:spacing w:after="0"/>
        <w:tabs>
          <w:tab w:leader="none" w:pos="580" w:val="left"/>
        </w:tabs>
        <w:numPr>
          <w:ilvl w:val="2"/>
          <w:numId w:val="1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any officers and ratings supplied by them or on their behalf comply with the requirements of STCW 95; and</w:t>
      </w:r>
    </w:p>
    <w:p>
      <w:pPr>
        <w:spacing w:after="0" w:line="150" w:lineRule="exact"/>
        <w:rPr>
          <w:rFonts w:ascii="Times New Roman" w:cs="Times New Roman" w:eastAsia="Times New Roman" w:hAnsi="Times New Roman"/>
          <w:sz w:val="12"/>
          <w:szCs w:val="12"/>
          <w:color w:val="auto"/>
        </w:rPr>
      </w:pPr>
    </w:p>
    <w:p>
      <w:pPr>
        <w:ind w:left="580" w:hanging="324"/>
        <w:spacing w:after="0"/>
        <w:tabs>
          <w:tab w:leader="none" w:pos="580" w:val="left"/>
        </w:tabs>
        <w:numPr>
          <w:ilvl w:val="2"/>
          <w:numId w:val="1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such officers and ratings to obey all reasonable orders of the Managers (in their capacity as the Company) in connection with the operation of the Managers’ safety management system.</w:t>
      </w:r>
    </w:p>
    <w:p>
      <w:pPr>
        <w:spacing w:after="0" w:line="132" w:lineRule="exact"/>
        <w:rPr>
          <w:rFonts w:ascii="Times New Roman" w:cs="Times New Roman" w:eastAsia="Times New Roman" w:hAnsi="Times New Roman"/>
          <w:sz w:val="12"/>
          <w:szCs w:val="12"/>
          <w:color w:val="auto"/>
        </w:rPr>
      </w:pPr>
    </w:p>
    <w:p>
      <w:pPr>
        <w:ind w:left="400" w:hanging="144"/>
        <w:spacing w:after="0"/>
        <w:tabs>
          <w:tab w:leader="none" w:pos="400" w:val="left"/>
        </w:tabs>
        <w:numPr>
          <w:ilvl w:val="2"/>
          <w:numId w:val="1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Where the Managers are providing crew management services in accordance with Sub-clause 5(a) the Owners shall:</w:t>
      </w:r>
    </w:p>
    <w:p>
      <w:pPr>
        <w:spacing w:after="0" w:line="141" w:lineRule="exact"/>
        <w:rPr>
          <w:sz w:val="20"/>
          <w:szCs w:val="20"/>
          <w:color w:val="auto"/>
        </w:rPr>
      </w:pPr>
    </w:p>
    <w:p>
      <w:pPr>
        <w:jc w:val="both"/>
        <w:ind w:left="580" w:hanging="324"/>
        <w:spacing w:after="0" w:line="231" w:lineRule="auto"/>
        <w:tabs>
          <w:tab w:leader="none" w:pos="5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 the Managers, through the Commercial Managers, the Exclusive Broker (if applicable) or otherwise, prior to any order for the Vessel to any excluded or additional premium area under any of the Owners’ Insurances by reason of war risks and/or piracy or like perils and pay whatever additional costs may properly be incurred by the Managers as a consequence of such orders including, if necessary, the costs of replacing any member of the Crew. Any delays resulting from negotiation with or replacement of any member of the Crew as a result of the Vessel being ordered to such an area shall be for the Owners’ account. Should the Vessel be within an area which becomes an excluded or additional premium area the above provisions relating to cost and delay shall apply;</w:t>
      </w:r>
    </w:p>
    <w:p>
      <w:pPr>
        <w:spacing w:after="0" w:line="116" w:lineRule="exact"/>
        <w:rPr>
          <w:rFonts w:ascii="Times New Roman" w:cs="Times New Roman" w:eastAsia="Times New Roman" w:hAnsi="Times New Roman"/>
          <w:sz w:val="12"/>
          <w:szCs w:val="12"/>
          <w:color w:val="auto"/>
        </w:rPr>
      </w:pPr>
    </w:p>
    <w:p>
      <w:pPr>
        <w:ind w:left="580" w:hanging="324"/>
        <w:spacing w:after="0"/>
        <w:tabs>
          <w:tab w:leader="none" w:pos="5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 with the Managers prior to any change of flag of the Vessel and pay whatever additional costs may properly be incurred by the Managers as a consequence of such change; and</w:t>
      </w:r>
    </w:p>
    <w:p>
      <w:pPr>
        <w:spacing w:after="0" w:line="141" w:lineRule="exact"/>
        <w:rPr>
          <w:rFonts w:ascii="Times New Roman" w:cs="Times New Roman" w:eastAsia="Times New Roman" w:hAnsi="Times New Roman"/>
          <w:sz w:val="12"/>
          <w:szCs w:val="12"/>
          <w:color w:val="auto"/>
        </w:rPr>
      </w:pPr>
    </w:p>
    <w:p>
      <w:pPr>
        <w:ind w:left="580" w:hanging="324"/>
        <w:spacing w:after="0"/>
        <w:tabs>
          <w:tab w:leader="none" w:pos="580" w:val="left"/>
        </w:tabs>
        <w:numPr>
          <w:ilvl w:val="0"/>
          <w:numId w:val="1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at no cost to the Managers, in accordance with the requirements of the law of the Flag State, or higher standard, as mutually agreed, adequate Crew accommodation and living standards.</w:t>
      </w:r>
    </w:p>
    <w:p>
      <w:pPr>
        <w:spacing w:after="0" w:line="13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SECTION 4 – Insurance, Budgets, Income, Expenses and Fees</w:t>
      </w:r>
    </w:p>
    <w:p>
      <w:pPr>
        <w:spacing w:after="0" w:line="204" w:lineRule="exact"/>
        <w:rPr>
          <w:sz w:val="20"/>
          <w:szCs w:val="20"/>
          <w:color w:val="auto"/>
        </w:rPr>
      </w:pPr>
    </w:p>
    <w:p>
      <w:pPr>
        <w:ind w:left="260" w:hanging="256"/>
        <w:spacing w:after="0"/>
        <w:tabs>
          <w:tab w:leader="none" w:pos="260" w:val="left"/>
        </w:tabs>
        <w:numPr>
          <w:ilvl w:val="0"/>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Policies</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ensure that throughout the period of this Agreement:</w:t>
      </w:r>
    </w:p>
    <w:p>
      <w:pPr>
        <w:spacing w:after="0" w:line="121"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2"/>
          <w:numId w:val="12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the Owners’ expense, the Vessel is insured for not less than its sound market value or entered for its full gross tonnage, as the case may be for:</w:t>
      </w:r>
    </w:p>
    <w:p>
      <w:pPr>
        <w:spacing w:after="0" w:line="123" w:lineRule="exact"/>
        <w:rPr>
          <w:rFonts w:ascii="Times New Roman" w:cs="Times New Roman" w:eastAsia="Times New Roman" w:hAnsi="Times New Roman"/>
          <w:sz w:val="12"/>
          <w:szCs w:val="12"/>
          <w:b w:val="1"/>
          <w:bCs w:val="1"/>
          <w:color w:val="auto"/>
        </w:rPr>
      </w:pPr>
    </w:p>
    <w:p>
      <w:pPr>
        <w:ind w:left="500" w:hanging="244"/>
        <w:spacing w:after="0"/>
        <w:tabs>
          <w:tab w:leader="none" w:pos="500" w:val="left"/>
        </w:tabs>
        <w:numPr>
          <w:ilvl w:val="2"/>
          <w:numId w:val="1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hull and machinery marine risks (including but not limited to crew negligence) and excess liabilities;</w:t>
      </w:r>
    </w:p>
    <w:p>
      <w:pPr>
        <w:spacing w:after="0" w:line="141"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2"/>
          <w:numId w:val="1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protection and indemnity (“PandI”) risks (including but not limited to pollution risks, diversion expenses and, except to the extent insured separately by the Managers in accordance with Sub-clause 5(b)(i), Crew Insurances;</w:t>
      </w:r>
    </w:p>
    <w:p>
      <w:pPr>
        <w:spacing w:after="0" w:line="141" w:lineRule="exact"/>
        <w:rPr>
          <w:rFonts w:ascii="Times New Roman" w:cs="Times New Roman" w:eastAsia="Times New Roman" w:hAnsi="Times New Roman"/>
          <w:sz w:val="12"/>
          <w:szCs w:val="12"/>
          <w:color w:val="auto"/>
        </w:rPr>
      </w:pPr>
    </w:p>
    <w:p>
      <w:pPr>
        <w:ind w:left="440" w:hanging="184"/>
        <w:spacing w:after="0"/>
        <w:tabs>
          <w:tab w:leader="none" w:pos="440" w:val="left"/>
        </w:tabs>
        <w:numPr>
          <w:ilvl w:val="2"/>
          <w:numId w:val="1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Freight, Demurrage and Defence cover (“FD &amp; D”);</w:t>
      </w:r>
    </w:p>
    <w:p>
      <w:pPr>
        <w:spacing w:after="0" w:line="148" w:lineRule="exact"/>
        <w:rPr>
          <w:sz w:val="20"/>
          <w:szCs w:val="20"/>
          <w:color w:val="auto"/>
        </w:rPr>
      </w:pPr>
    </w:p>
    <w:p>
      <w:pPr>
        <w:ind w:left="260" w:right="80"/>
        <w:spacing w:after="0" w:line="252" w:lineRule="auto"/>
        <w:rPr>
          <w:sz w:val="20"/>
          <w:szCs w:val="20"/>
          <w:color w:val="auto"/>
        </w:rPr>
      </w:pPr>
      <w:r>
        <w:rPr>
          <w:rFonts w:ascii="Times New Roman" w:cs="Times New Roman" w:eastAsia="Times New Roman" w:hAnsi="Times New Roman"/>
          <w:sz w:val="12"/>
          <w:szCs w:val="12"/>
          <w:i w:val="1"/>
          <w:iCs w:val="1"/>
          <w:color w:val="auto"/>
        </w:rPr>
        <w:t>NOTE: If the Managers are not providing crew management services under Sub-clause 5(a) (Crew Management) or have agreed not to provide Crew Insurances separately in accordance with Sub-clause 5(b)(i), then such insurances must be included in the protection and indemnity risks cover for the Vessel (see Sub-clause 10(a)(ii) above).</w:t>
      </w:r>
    </w:p>
    <w:p>
      <w:pPr>
        <w:spacing w:after="0" w:line="108" w:lineRule="exact"/>
        <w:rPr>
          <w:sz w:val="20"/>
          <w:szCs w:val="20"/>
          <w:color w:val="auto"/>
        </w:rPr>
      </w:pPr>
    </w:p>
    <w:p>
      <w:pPr>
        <w:ind w:left="580" w:hanging="324"/>
        <w:spacing w:after="0"/>
        <w:tabs>
          <w:tab w:leader="none" w:pos="580"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risks (including but not limited to blocking and trapping, protection and indemnity, terrorism and crew risks); and</w:t>
      </w:r>
    </w:p>
    <w:p>
      <w:pPr>
        <w:spacing w:after="0" w:line="150" w:lineRule="exact"/>
        <w:rPr>
          <w:rFonts w:ascii="Times New Roman" w:cs="Times New Roman" w:eastAsia="Times New Roman" w:hAnsi="Times New Roman"/>
          <w:sz w:val="12"/>
          <w:szCs w:val="12"/>
          <w:color w:val="auto"/>
        </w:rPr>
      </w:pPr>
    </w:p>
    <w:p>
      <w:pPr>
        <w:ind w:left="260" w:right="80" w:hanging="3"/>
        <w:spacing w:after="0" w:line="248" w:lineRule="auto"/>
        <w:tabs>
          <w:tab w:leader="none" w:pos="443" w:val="left"/>
        </w:tabs>
        <w:numPr>
          <w:ilvl w:val="0"/>
          <w:numId w:val="1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optional insurances as may be agreed (such as piracy, kidnap and ransom, piracy loss of hire, loss of hire) (see Box 12) Sub-clauses 10(a)(i) through 10(a)(iv) all in accordance with the best practice of prudent owners of vessels of a similar type to the Vessel, with sound and reputable insurance companies, underwriters or associations (“the Owners’ Insurances”);</w:t>
      </w:r>
    </w:p>
    <w:p>
      <w:pPr>
        <w:spacing w:after="0" w:line="18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61" w:right="299" w:bottom="1440" w:gutter="0" w:footer="0" w:header="0"/>
        </w:sectPr>
      </w:pPr>
    </w:p>
    <w:bookmarkStart w:id="177" w:name="page178"/>
    <w:bookmarkEnd w:id="177"/>
    <w:p>
      <w:pPr>
        <w:ind w:left="476" w:hanging="223"/>
        <w:spacing w:after="0"/>
        <w:tabs>
          <w:tab w:leader="none" w:pos="476" w:val="left"/>
        </w:tabs>
        <w:numPr>
          <w:ilvl w:val="0"/>
          <w:numId w:val="1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premiums and calls on the Owners’ Insurances are paid by their due date;</w:t>
      </w:r>
    </w:p>
    <w:p>
      <w:pPr>
        <w:spacing w:after="0" w:line="132" w:lineRule="exact"/>
        <w:rPr>
          <w:rFonts w:ascii="Times New Roman" w:cs="Times New Roman" w:eastAsia="Times New Roman" w:hAnsi="Times New Roman"/>
          <w:sz w:val="12"/>
          <w:szCs w:val="12"/>
          <w:b w:val="1"/>
          <w:bCs w:val="1"/>
          <w:color w:val="auto"/>
        </w:rPr>
      </w:pPr>
    </w:p>
    <w:p>
      <w:pPr>
        <w:jc w:val="both"/>
        <w:ind w:left="256" w:hanging="3"/>
        <w:spacing w:after="0" w:line="235" w:lineRule="auto"/>
        <w:tabs>
          <w:tab w:leader="none" w:pos="472" w:val="left"/>
        </w:tabs>
        <w:numPr>
          <w:ilvl w:val="0"/>
          <w:numId w:val="1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the Vessel is sold or this Agreement is terminated as per the terms hereunder the Owners will either pay directly, or remit, sufficient funds in the Vessel’s Earnings Account to cover, the Vessel’s PandI and FD &amp; D estimated Release Calls as same will be calculated by the Vessel’s Protection and Indemnity Association. The Managers will ensure that, in the event of payment from the Vessel’s Earnings Account, when called by the Vessel’s Protection and Indemnity Association, the Vessel’s Release Calls are paid as appropriate and any balance remaining out of the amount originally remitted by the Owners will be released to the Owners.</w:t>
      </w:r>
    </w:p>
    <w:p>
      <w:pPr>
        <w:spacing w:after="0" w:line="116" w:lineRule="exact"/>
        <w:rPr>
          <w:rFonts w:ascii="Times New Roman" w:cs="Times New Roman" w:eastAsia="Times New Roman" w:hAnsi="Times New Roman"/>
          <w:sz w:val="12"/>
          <w:szCs w:val="12"/>
          <w:b w:val="1"/>
          <w:bCs w:val="1"/>
          <w:color w:val="auto"/>
        </w:rPr>
      </w:pPr>
    </w:p>
    <w:p>
      <w:pPr>
        <w:ind w:left="256" w:hanging="3"/>
        <w:spacing w:after="0" w:line="264" w:lineRule="auto"/>
        <w:tabs>
          <w:tab w:leader="none" w:pos="456" w:val="left"/>
        </w:tabs>
        <w:numPr>
          <w:ilvl w:val="0"/>
          <w:numId w:val="1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Insurances name the Managers and, subject to underwriters’ agreement, any third party designated by the Managers as a joint assured, with full cover. It is understood that in some cases, such as protection and indemnity, the normal terms for such cover may impose on the Managers and any such third party a liability in respect of premiums or calls arising in connection with the Owners’ Insurances.</w:t>
      </w:r>
    </w:p>
    <w:p>
      <w:pPr>
        <w:spacing w:after="0" w:line="101" w:lineRule="exact"/>
        <w:rPr>
          <w:sz w:val="20"/>
          <w:szCs w:val="20"/>
          <w:color w:val="auto"/>
        </w:rPr>
      </w:pPr>
    </w:p>
    <w:p>
      <w:pPr>
        <w:jc w:val="both"/>
        <w:ind w:left="256"/>
        <w:spacing w:after="0" w:line="231" w:lineRule="auto"/>
        <w:rPr>
          <w:sz w:val="20"/>
          <w:szCs w:val="20"/>
          <w:color w:val="auto"/>
        </w:rPr>
      </w:pPr>
      <w:r>
        <w:rPr>
          <w:rFonts w:ascii="Times New Roman" w:cs="Times New Roman" w:eastAsia="Times New Roman" w:hAnsi="Times New Roman"/>
          <w:sz w:val="12"/>
          <w:szCs w:val="12"/>
          <w:color w:val="auto"/>
        </w:rPr>
        <w:t>If obtainable at no additional cost, however, the Managers shall procure such insurances on terms such that neither the Managers nor any such third party shall be under any liability in respect of premiums or calls arising in connection with the Owners’ Insurances. In any event, on termination of this Agreement in accordance with Clause 21 (Duration of the Agreement) and Clause 22 (Termination), the Owners or Managers shall procure that the Managers and any third party designated by the Managers as joint assured shall cease to be joint assured and, if reasonably achievable, that they shall be released from any and all liability for premiums and calls that may arise in relation to the period of this Agreement; and</w:t>
      </w:r>
    </w:p>
    <w:p>
      <w:pPr>
        <w:spacing w:after="0" w:line="117" w:lineRule="exact"/>
        <w:rPr>
          <w:sz w:val="20"/>
          <w:szCs w:val="20"/>
          <w:color w:val="auto"/>
        </w:rPr>
      </w:pPr>
    </w:p>
    <w:p>
      <w:pPr>
        <w:ind w:left="256" w:hanging="3"/>
        <w:spacing w:after="0" w:line="248" w:lineRule="auto"/>
        <w:tabs>
          <w:tab w:leader="none" w:pos="472" w:val="left"/>
        </w:tabs>
        <w:numPr>
          <w:ilvl w:val="1"/>
          <w:numId w:val="1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written evidence is provided, to the reasonable satisfaction of the Owners, of the Managers’ compliance with their obligations under this Clause 10 within a reasonable time of the commencement of the Agreement, and of each renewal date and, if specifically requested, of each payment date of the Owners’ Insurances.</w:t>
      </w:r>
    </w:p>
    <w:p>
      <w:pPr>
        <w:spacing w:after="0" w:line="106"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Income Collected and Expenses Paid on Behalf of Owners</w:t>
      </w:r>
    </w:p>
    <w:p>
      <w:pPr>
        <w:spacing w:after="0" w:line="145" w:lineRule="exact"/>
        <w:rPr>
          <w:rFonts w:ascii="Times New Roman" w:cs="Times New Roman" w:eastAsia="Times New Roman" w:hAnsi="Times New Roman"/>
          <w:sz w:val="12"/>
          <w:szCs w:val="12"/>
          <w:b w:val="1"/>
          <w:bCs w:val="1"/>
          <w:color w:val="auto"/>
        </w:rPr>
      </w:pPr>
    </w:p>
    <w:p>
      <w:pPr>
        <w:ind w:left="476" w:hanging="223"/>
        <w:spacing w:after="0"/>
        <w:tabs>
          <w:tab w:leader="none" w:pos="476" w:val="left"/>
        </w:tabs>
        <w:numPr>
          <w:ilvl w:val="1"/>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monies collected by the Managers under this Agreement (other than monies payable by the Owners to the Managers) and any interest thereon shall be held to the credit of the Owners in a separate bank account.</w:t>
      </w:r>
    </w:p>
    <w:p>
      <w:pPr>
        <w:spacing w:after="0" w:line="141" w:lineRule="exact"/>
        <w:rPr>
          <w:rFonts w:ascii="Times New Roman" w:cs="Times New Roman" w:eastAsia="Times New Roman" w:hAnsi="Times New Roman"/>
          <w:sz w:val="12"/>
          <w:szCs w:val="12"/>
          <w:b w:val="1"/>
          <w:bCs w:val="1"/>
          <w:color w:val="auto"/>
        </w:rPr>
      </w:pPr>
    </w:p>
    <w:p>
      <w:pPr>
        <w:ind w:left="256" w:hanging="3"/>
        <w:spacing w:after="0" w:line="248" w:lineRule="auto"/>
        <w:tabs>
          <w:tab w:leader="none" w:pos="456" w:val="left"/>
        </w:tabs>
        <w:numPr>
          <w:ilvl w:val="1"/>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expenses incurred by the Managers under the terms of this Agreement on behalf of the Owners (including expenses as provided in Clause 12(c)) may be debited against the Owners in the account referred to under Sub-clause 11(a) but shall in any event remain payable by the Owners to the Managers on demand.</w:t>
      </w:r>
    </w:p>
    <w:p>
      <w:pPr>
        <w:spacing w:after="0" w:line="110" w:lineRule="exact"/>
        <w:rPr>
          <w:rFonts w:ascii="Times New Roman" w:cs="Times New Roman" w:eastAsia="Times New Roman" w:hAnsi="Times New Roman"/>
          <w:sz w:val="12"/>
          <w:szCs w:val="12"/>
          <w:b w:val="1"/>
          <w:bCs w:val="1"/>
          <w:color w:val="auto"/>
        </w:rPr>
      </w:pPr>
    </w:p>
    <w:p>
      <w:pPr>
        <w:ind w:left="256" w:hanging="3"/>
        <w:spacing w:after="0" w:line="248" w:lineRule="auto"/>
        <w:tabs>
          <w:tab w:leader="none" w:pos="556" w:val="left"/>
        </w:tabs>
        <w:numPr>
          <w:ilvl w:val="1"/>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the Owners with (i) monthly cash flow statements with respect to the Vessel and the Owners, and (ii) quarterly un-audited accounts and detailed analysis showing all movements and use of funds held in the separate bank account.</w:t>
      </w:r>
    </w:p>
    <w:p>
      <w:pPr>
        <w:spacing w:after="0" w:line="110" w:lineRule="exact"/>
        <w:rPr>
          <w:rFonts w:ascii="Times New Roman" w:cs="Times New Roman" w:eastAsia="Times New Roman" w:hAnsi="Times New Roman"/>
          <w:sz w:val="12"/>
          <w:szCs w:val="12"/>
          <w:b w:val="1"/>
          <w:bCs w:val="1"/>
          <w:color w:val="auto"/>
        </w:rPr>
      </w:pPr>
    </w:p>
    <w:p>
      <w:pPr>
        <w:ind w:left="256" w:hanging="3"/>
        <w:spacing w:after="0" w:line="248" w:lineRule="auto"/>
        <w:tabs>
          <w:tab w:leader="none" w:pos="543" w:val="left"/>
        </w:tabs>
        <w:numPr>
          <w:ilvl w:val="1"/>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pay, on behalf of the Owners and from the bank account referred to in Clause 11(a) above, all expenses of the Commercial Managers under the Commercial Management Agreement and all expenses of the Exclusive Broker under the Exclusive Brokerage Deed (as applicable).</w:t>
      </w:r>
    </w:p>
    <w:p>
      <w:pPr>
        <w:spacing w:after="0" w:line="106"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Management Fee and Expenses</w:t>
      </w:r>
    </w:p>
    <w:p>
      <w:pPr>
        <w:spacing w:after="0" w:line="141" w:lineRule="exact"/>
        <w:rPr>
          <w:rFonts w:ascii="Times New Roman" w:cs="Times New Roman" w:eastAsia="Times New Roman" w:hAnsi="Times New Roman"/>
          <w:sz w:val="12"/>
          <w:szCs w:val="12"/>
          <w:b w:val="1"/>
          <w:bCs w:val="1"/>
          <w:color w:val="auto"/>
        </w:rPr>
      </w:pPr>
    </w:p>
    <w:p>
      <w:pPr>
        <w:jc w:val="both"/>
        <w:ind w:left="256" w:hanging="3"/>
        <w:spacing w:after="0" w:line="245" w:lineRule="auto"/>
        <w:tabs>
          <w:tab w:leader="none" w:pos="450" w:val="left"/>
        </w:tabs>
        <w:numPr>
          <w:ilvl w:val="1"/>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Owners shall pay to the Managers a daily management fee as stated in </w:t>
      </w:r>
      <w:r>
        <w:rPr>
          <w:rFonts w:ascii="Times New Roman" w:cs="Times New Roman" w:eastAsia="Times New Roman" w:hAnsi="Times New Roman"/>
          <w:sz w:val="12"/>
          <w:szCs w:val="12"/>
          <w:b w:val="1"/>
          <w:bCs w:val="1"/>
          <w:color w:val="auto"/>
        </w:rPr>
        <w:t>Box 14</w:t>
      </w:r>
      <w:r>
        <w:rPr>
          <w:rFonts w:ascii="Times New Roman" w:cs="Times New Roman" w:eastAsia="Times New Roman" w:hAnsi="Times New Roman"/>
          <w:sz w:val="12"/>
          <w:szCs w:val="12"/>
          <w:color w:val="auto"/>
        </w:rPr>
        <w:t xml:space="preserve"> for their services as Managers under this Agreement, which shall be due and payable in monthly instalments in advance, the first instalment (pro rata if appropriate) being due and payable on the date of delivery of the Vessel to the Owners and subsequent instalments being due and payable every first New York banking day of every calendar month. The management fee shall be payable to the Managers’ nominated account stated in </w:t>
      </w:r>
      <w:r>
        <w:rPr>
          <w:rFonts w:ascii="Times New Roman" w:cs="Times New Roman" w:eastAsia="Times New Roman" w:hAnsi="Times New Roman"/>
          <w:sz w:val="12"/>
          <w:szCs w:val="12"/>
          <w:u w:val="single" w:color="auto"/>
          <w:color w:val="auto"/>
        </w:rPr>
        <w:t>Box 15</w:t>
      </w:r>
      <w:r>
        <w:rPr>
          <w:rFonts w:ascii="Times New Roman" w:cs="Times New Roman" w:eastAsia="Times New Roman" w:hAnsi="Times New Roman"/>
          <w:sz w:val="12"/>
          <w:szCs w:val="12"/>
          <w:color w:val="auto"/>
        </w:rPr>
        <w:t>.</w:t>
      </w:r>
    </w:p>
    <w:p>
      <w:pPr>
        <w:spacing w:after="0" w:line="112" w:lineRule="exact"/>
        <w:rPr>
          <w:rFonts w:ascii="Times New Roman" w:cs="Times New Roman" w:eastAsia="Times New Roman" w:hAnsi="Times New Roman"/>
          <w:sz w:val="12"/>
          <w:szCs w:val="12"/>
          <w:b w:val="1"/>
          <w:bCs w:val="1"/>
          <w:color w:val="auto"/>
        </w:rPr>
      </w:pPr>
    </w:p>
    <w:p>
      <w:pPr>
        <w:jc w:val="both"/>
        <w:ind w:left="256" w:hanging="3"/>
        <w:spacing w:after="0" w:line="235" w:lineRule="auto"/>
        <w:tabs>
          <w:tab w:leader="none" w:pos="456" w:val="left"/>
        </w:tabs>
        <w:numPr>
          <w:ilvl w:val="1"/>
          <w:numId w:val="1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management fee shall be subject to an annual review (at the end of each calendar year) in order to reflect any increases in the salaries of Managers’ employees and other expenses (inflation). The proposed fee shall be presented in the annual budget in accordance with Sub-clause 13(a). Subject always to the prior written approval of the Owners, the management fee may increase annually on January 1 of each year by not more than two and one-half percent (2.5%).</w:t>
      </w:r>
    </w:p>
    <w:p>
      <w:pPr>
        <w:spacing w:after="0" w:line="189"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61" w:right="379" w:bottom="1440" w:gutter="0" w:footer="0" w:header="0"/>
        </w:sectPr>
      </w:pPr>
    </w:p>
    <w:bookmarkStart w:id="178" w:name="page179"/>
    <w:bookmarkEnd w:id="178"/>
    <w:p>
      <w:pPr>
        <w:jc w:val="both"/>
        <w:ind w:left="256" w:hanging="3"/>
        <w:spacing w:after="0" w:line="232" w:lineRule="auto"/>
        <w:tabs>
          <w:tab w:leader="none" w:pos="490" w:val="left"/>
        </w:tabs>
        <w:numPr>
          <w:ilvl w:val="1"/>
          <w:numId w:val="1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at no extra cost to the Owners, provide their own office accommodation, office staff, facilities and stationery. Without limiting the generality of this Clause 12 (Management Fee and Expenses) the Owners shall reimburse the Managers for reasonable postage, communication, travelling and accommodation expenses, and other reasonable out of pocket expenses properly incurred by the Managers in pursuance of the Management Services including but not limited to the Vessel apportioned cost of the Managers’ “flying squad” and the “on board the Vessel” allowances as well as any other sundry administrative expenses, it being understood that the Managers shall not make any expenditure with respect to the items described in this sub-paragraph ( c ) in the aggregate in excess of US$5,000 in any given calendar month, without the prior written consent of the Owners. Notwithstanding the foregoing, any of the above items that may be included in the annual budget will not be part of this reimbursement.</w:t>
      </w:r>
    </w:p>
    <w:p>
      <w:pPr>
        <w:spacing w:after="0" w:line="112" w:lineRule="exact"/>
        <w:rPr>
          <w:rFonts w:ascii="Times New Roman" w:cs="Times New Roman" w:eastAsia="Times New Roman" w:hAnsi="Times New Roman"/>
          <w:sz w:val="12"/>
          <w:szCs w:val="12"/>
          <w:b w:val="1"/>
          <w:bCs w:val="1"/>
          <w:color w:val="auto"/>
        </w:rPr>
      </w:pPr>
    </w:p>
    <w:p>
      <w:pPr>
        <w:jc w:val="both"/>
        <w:ind w:left="256" w:hanging="3"/>
        <w:spacing w:after="0" w:line="238" w:lineRule="auto"/>
        <w:tabs>
          <w:tab w:leader="none" w:pos="465" w:val="left"/>
        </w:tabs>
        <w:numPr>
          <w:ilvl w:val="1"/>
          <w:numId w:val="1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the Owners decide to layup the Vessel and such layup lasts for more than the number of months stated in </w:t>
      </w:r>
      <w:r>
        <w:rPr>
          <w:rFonts w:ascii="Times New Roman" w:cs="Times New Roman" w:eastAsia="Times New Roman" w:hAnsi="Times New Roman"/>
          <w:sz w:val="12"/>
          <w:szCs w:val="12"/>
          <w:b w:val="1"/>
          <w:bCs w:val="1"/>
          <w:color w:val="auto"/>
        </w:rPr>
        <w:t>Box 17</w:t>
      </w:r>
      <w:r>
        <w:rPr>
          <w:rFonts w:ascii="Times New Roman" w:cs="Times New Roman" w:eastAsia="Times New Roman" w:hAnsi="Times New Roman"/>
          <w:sz w:val="12"/>
          <w:szCs w:val="12"/>
          <w:color w:val="auto"/>
        </w:rPr>
        <w:t>, the Management Fee is agreed to be Euro [190] per day and will be applicable for the period exceeding such period agreed in Box 17 until one month before the Vessel is again put into service. If the Managers are providing crew management services in accordance with Sub-clause 5(a), consequential costs of reduction and reinstatement of the Crew shall be for the Owners’ account.</w:t>
      </w:r>
    </w:p>
    <w:p>
      <w:pPr>
        <w:spacing w:after="0" w:line="115" w:lineRule="exact"/>
        <w:rPr>
          <w:rFonts w:ascii="Times New Roman" w:cs="Times New Roman" w:eastAsia="Times New Roman" w:hAnsi="Times New Roman"/>
          <w:sz w:val="12"/>
          <w:szCs w:val="12"/>
          <w:b w:val="1"/>
          <w:bCs w:val="1"/>
          <w:color w:val="auto"/>
        </w:rPr>
      </w:pPr>
    </w:p>
    <w:p>
      <w:pPr>
        <w:ind w:left="436" w:hanging="183"/>
        <w:spacing w:after="0"/>
        <w:tabs>
          <w:tab w:leader="none" w:pos="436" w:val="left"/>
        </w:tabs>
        <w:numPr>
          <w:ilvl w:val="1"/>
          <w:numId w:val="1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Save as otherwise provided in this Agreement, all discounts and commissions obtained by the Managers in the course of the performance of the Management Services shall be credited to the Owners.</w:t>
      </w:r>
    </w:p>
    <w:p>
      <w:pPr>
        <w:spacing w:after="0" w:line="128" w:lineRule="exact"/>
        <w:rPr>
          <w:rFonts w:ascii="Times New Roman" w:cs="Times New Roman" w:eastAsia="Times New Roman" w:hAnsi="Times New Roman"/>
          <w:sz w:val="12"/>
          <w:szCs w:val="12"/>
          <w:b w:val="1"/>
          <w:bCs w:val="1"/>
          <w:color w:val="auto"/>
        </w:rPr>
      </w:pPr>
    </w:p>
    <w:p>
      <w:pPr>
        <w:ind w:left="256" w:hanging="256"/>
        <w:spacing w:after="0"/>
        <w:tabs>
          <w:tab w:leader="none" w:pos="256" w:val="left"/>
        </w:tabs>
        <w:numPr>
          <w:ilvl w:val="0"/>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Budgets and Management of Funds</w:t>
      </w:r>
    </w:p>
    <w:p>
      <w:pPr>
        <w:spacing w:after="0" w:line="145" w:lineRule="exact"/>
        <w:rPr>
          <w:rFonts w:ascii="Times New Roman" w:cs="Times New Roman" w:eastAsia="Times New Roman" w:hAnsi="Times New Roman"/>
          <w:sz w:val="12"/>
          <w:szCs w:val="12"/>
          <w:b w:val="1"/>
          <w:bCs w:val="1"/>
          <w:color w:val="auto"/>
        </w:rPr>
      </w:pPr>
    </w:p>
    <w:p>
      <w:pPr>
        <w:ind w:left="256" w:hanging="3"/>
        <w:spacing w:after="0" w:line="248" w:lineRule="auto"/>
        <w:tabs>
          <w:tab w:leader="none" w:pos="422" w:val="left"/>
        </w:tabs>
        <w:numPr>
          <w:ilvl w:val="1"/>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prepare a budget. The budget shall also provide aggregate forecast expenditure by the Managers for those cost items to be reimbursed by Owners as detailed in Clause 12(c). The Managers’ initial budget is set out In Annex “C” hereto. Subsequent budgets shall be for twelve month periods and shall be prepared by the Managers and presented to the Owners not less than one month before the end of the budget year.</w:t>
      </w:r>
    </w:p>
    <w:p>
      <w:pPr>
        <w:spacing w:after="0" w:line="110" w:lineRule="exact"/>
        <w:rPr>
          <w:rFonts w:ascii="Times New Roman" w:cs="Times New Roman" w:eastAsia="Times New Roman" w:hAnsi="Times New Roman"/>
          <w:sz w:val="12"/>
          <w:szCs w:val="12"/>
          <w:b w:val="1"/>
          <w:bCs w:val="1"/>
          <w:color w:val="auto"/>
        </w:rPr>
      </w:pPr>
    </w:p>
    <w:p>
      <w:pPr>
        <w:ind w:left="256" w:hanging="3"/>
        <w:spacing w:after="0" w:line="248" w:lineRule="auto"/>
        <w:tabs>
          <w:tab w:leader="none" w:pos="512" w:val="left"/>
        </w:tabs>
        <w:numPr>
          <w:ilvl w:val="1"/>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state to the Managers in a timely manner, but in any event within one month of presentation, whether or not they agree to each proposed annual budget. In the absence of any such indication by the Owners, within such one month period, the Managers shall be entitled to assume that the Owners have accepted the proposed budget.</w:t>
      </w:r>
    </w:p>
    <w:p>
      <w:pPr>
        <w:spacing w:after="0" w:line="119" w:lineRule="exact"/>
        <w:rPr>
          <w:rFonts w:ascii="Times New Roman" w:cs="Times New Roman" w:eastAsia="Times New Roman" w:hAnsi="Times New Roman"/>
          <w:sz w:val="12"/>
          <w:szCs w:val="12"/>
          <w:b w:val="1"/>
          <w:bCs w:val="1"/>
          <w:color w:val="auto"/>
        </w:rPr>
      </w:pPr>
    </w:p>
    <w:p>
      <w:pPr>
        <w:jc w:val="both"/>
        <w:ind w:left="256" w:hanging="3"/>
        <w:spacing w:after="0" w:line="235" w:lineRule="auto"/>
        <w:tabs>
          <w:tab w:leader="none" w:pos="481" w:val="left"/>
        </w:tabs>
        <w:numPr>
          <w:ilvl w:val="1"/>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Following the agreement of the budget, the Managers shall prepare and present to the Owners their estimate of the working capital requirement for the Vessel and shall each month request the Owners in writing to pay the funds required to run the Vessel for the ensuing month, including the payment of any occasional or extraordinary item of expenditure, such as emergency repair costs, additional insurance premiums, bunkers or provisions. Such funds shall be received by the Managers within ten running days after the receipt by the Owners of the Managers’ written request and shall be held to the credit of the Owners in a separate bank account.</w:t>
      </w:r>
    </w:p>
    <w:p>
      <w:pPr>
        <w:spacing w:after="0" w:line="116" w:lineRule="exact"/>
        <w:rPr>
          <w:rFonts w:ascii="Times New Roman" w:cs="Times New Roman" w:eastAsia="Times New Roman" w:hAnsi="Times New Roman"/>
          <w:sz w:val="12"/>
          <w:szCs w:val="12"/>
          <w:b w:val="1"/>
          <w:bCs w:val="1"/>
          <w:color w:val="auto"/>
        </w:rPr>
      </w:pPr>
    </w:p>
    <w:p>
      <w:pPr>
        <w:jc w:val="both"/>
        <w:ind w:left="256" w:hanging="3"/>
        <w:spacing w:after="0" w:line="230" w:lineRule="auto"/>
        <w:tabs>
          <w:tab w:leader="none" w:pos="494" w:val="left"/>
        </w:tabs>
        <w:numPr>
          <w:ilvl w:val="1"/>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(i) establish and maintain an accounting system which meets the requirements of the Owners and provide regular accounting services, supply regular reports and records, (ii) maintain the records of all costs and expenditures incurred as well as data necessary or proper for settlement of accounts, (iii) prepare yearly operating budgets for the Vessel including any drydocking and special surveys, (iv) provide back-office administration and accounting services for the Vessel and the Owners, and (v) at all times maintain and keep true and correct accounts in respect of the Management Services in accordance with the relevant International Financial Reporting Standards or U.S GAAP as required, including records of all costs and expenditure incurred, and produce a comparison between budgeted and actual income and expenditure of the Vessel in such form and at such intervals as shall be mutually agreed. The Managers shall make such accounts available for inspection and auditing by the Owners and/or their representatives in the Managers’ offices or by electronic means, provided reasonable notice is given by the Owners.</w:t>
      </w:r>
    </w:p>
    <w:p>
      <w:pPr>
        <w:spacing w:after="0" w:line="115" w:lineRule="exact"/>
        <w:rPr>
          <w:rFonts w:ascii="Times New Roman" w:cs="Times New Roman" w:eastAsia="Times New Roman" w:hAnsi="Times New Roman"/>
          <w:sz w:val="12"/>
          <w:szCs w:val="12"/>
          <w:b w:val="1"/>
          <w:bCs w:val="1"/>
          <w:color w:val="auto"/>
        </w:rPr>
      </w:pPr>
    </w:p>
    <w:p>
      <w:pPr>
        <w:jc w:val="both"/>
        <w:ind w:left="256" w:hanging="3"/>
        <w:spacing w:after="0" w:line="227" w:lineRule="auto"/>
        <w:tabs>
          <w:tab w:leader="none" w:pos="472" w:val="left"/>
        </w:tabs>
        <w:numPr>
          <w:ilvl w:val="1"/>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assist the Owners and its Parent in complying with the requirements of Section 404 of the U.S. Sarbanes Oxley Act 2002, as it may be amended from time to time (“SOX”), governing the effectiveness of internal controls of service organizations retained by publicly held companies by taking or causing to be taken, all actions and doing, or causing to be done, all things and executing any and all documents and instruments which may reasonably be required, proper or advisable to conducting an evaluation on the internal controls of the Managers in compliance with SOX. The Managers agree to take or cause to be taken, all actions and to do, or cause to be done, all things and to execute any and all documents and instruments of any kind on an ongoing basis which might be reasonably necessary, proper or advisable to permit the Owners and its Parent to remain in compliance with SOX throughout the term of this Agreement, and, with the exception of the costs incurred by the Managers to obtain SAS 70 reports or any equivalents thereof, if require by the Owners or the Parent, which shall be payable by either the Owners or the Parent, each of the parties to this Agreement shall bear their own costs associated with such compliance.</w:t>
      </w:r>
    </w:p>
    <w:p>
      <w:pPr>
        <w:spacing w:after="0" w:line="116" w:lineRule="exact"/>
        <w:rPr>
          <w:rFonts w:ascii="Times New Roman" w:cs="Times New Roman" w:eastAsia="Times New Roman" w:hAnsi="Times New Roman"/>
          <w:sz w:val="12"/>
          <w:szCs w:val="12"/>
          <w:b w:val="1"/>
          <w:bCs w:val="1"/>
          <w:color w:val="auto"/>
        </w:rPr>
      </w:pPr>
    </w:p>
    <w:p>
      <w:pPr>
        <w:ind w:left="256" w:hanging="3"/>
        <w:spacing w:after="0" w:line="248" w:lineRule="auto"/>
        <w:tabs>
          <w:tab w:leader="none" w:pos="494" w:val="left"/>
        </w:tabs>
        <w:numPr>
          <w:ilvl w:val="1"/>
          <w:numId w:val="12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anything contained herein, the Managers shall in no circumstances be required to use or commit their own funds to finance the provision of the Management Services except where the terms of this engagement provide that such Management Services are to be provided at no extra or additional cost to the Owners.</w:t>
      </w:r>
    </w:p>
    <w:p>
      <w:pPr>
        <w:spacing w:after="0" w:line="192"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10795</wp:posOffset>
            </wp:positionV>
            <wp:extent cx="7178040" cy="57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56"/>
          </w:cols>
          <w:pgMar w:left="364" w:top="561" w:right="379" w:bottom="1440" w:gutter="0" w:footer="0" w:header="0"/>
        </w:sectPr>
      </w:pPr>
    </w:p>
    <w:bookmarkStart w:id="179" w:name="page180"/>
    <w:bookmarkEnd w:id="179"/>
    <w:p>
      <w:pPr>
        <w:ind w:left="260" w:hanging="256"/>
        <w:spacing w:after="0"/>
        <w:tabs>
          <w:tab w:leader="none" w:pos="260"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20" w:lineRule="exact"/>
        <w:rPr>
          <w:rFonts w:ascii="Times New Roman" w:cs="Times New Roman" w:eastAsia="Times New Roman" w:hAnsi="Times New Roman"/>
          <w:sz w:val="12"/>
          <w:szCs w:val="12"/>
          <w:b w:val="1"/>
          <w:bCs w:val="1"/>
          <w:color w:val="auto"/>
        </w:rPr>
      </w:pPr>
    </w:p>
    <w:p>
      <w:pPr>
        <w:ind w:left="260" w:right="80"/>
        <w:spacing w:after="0" w:line="23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Managers are providing crew management services in accordance with Sub-clause 5(a) (Crew Management), the Owners and the Managers will, prior to the commencement of this Agreement, agree on any trading restrictions to the Vessel that may result from the terms and conditions of the Crew’s employment.</w:t>
      </w:r>
    </w:p>
    <w:p>
      <w:pPr>
        <w:spacing w:after="0" w:line="112"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Replacement</w:t>
      </w:r>
    </w:p>
    <w:p>
      <w:pPr>
        <w:spacing w:after="0" w:line="20" w:lineRule="exact"/>
        <w:rPr>
          <w:rFonts w:ascii="Times New Roman" w:cs="Times New Roman" w:eastAsia="Times New Roman" w:hAnsi="Times New Roman"/>
          <w:sz w:val="12"/>
          <w:szCs w:val="12"/>
          <w:b w:val="1"/>
          <w:bCs w:val="1"/>
          <w:color w:val="auto"/>
        </w:rPr>
      </w:pPr>
    </w:p>
    <w:p>
      <w:pPr>
        <w:jc w:val="both"/>
        <w:ind w:left="260" w:right="80"/>
        <w:spacing w:after="0" w:line="23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Managers are providing crew management services in accordance with Sub-clause 5(a) (Crew Management), the Owners may require the replacement, at their own expense, at the next reasonable opportunity, of any member of the Crew, including but not limited to any Master or officer, found on reasonable grounds to be unsuitable for service. If the Managers have failed to fulfil their obligations in providing suitable qualified Crew within the meaning of Sub- clause 5(a) (Crew Management), then such replacement shall be at the Managers’ expense.</w:t>
      </w:r>
    </w:p>
    <w:p>
      <w:pPr>
        <w:spacing w:after="0" w:line="112"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Managers’ Right to Sub-Contract</w:t>
      </w:r>
    </w:p>
    <w:p>
      <w:pPr>
        <w:spacing w:after="0" w:line="20" w:lineRule="exact"/>
        <w:rPr>
          <w:rFonts w:ascii="Times New Roman" w:cs="Times New Roman" w:eastAsia="Times New Roman" w:hAnsi="Times New Roman"/>
          <w:sz w:val="12"/>
          <w:szCs w:val="12"/>
          <w:b w:val="1"/>
          <w:bCs w:val="1"/>
          <w:color w:val="auto"/>
        </w:rPr>
      </w:pPr>
    </w:p>
    <w:p>
      <w:pPr>
        <w:jc w:val="both"/>
        <w:ind w:left="260" w:right="80"/>
        <w:spacing w:after="0" w:line="22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Other than to its Affiliates or as otherwise set forth in this Agreement, the Managers shall not subcontract any of their obligations hereunder without the prior written consent of the Owners. In the event of such a sub-contract the Managers shall remain fully liable for the due performance of their obligations under this Agreement. Owners hereby agree that the Managers are allowed to sub-contract with TCMC (for the Filipino crew only) and with other manning agents as same may be necessary for the due performance of the Managers’ services under clause 5 (a).</w:t>
      </w:r>
    </w:p>
    <w:p>
      <w:pPr>
        <w:spacing w:after="0" w:line="112"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3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Responsibilities</w:t>
      </w:r>
    </w:p>
    <w:p>
      <w:pPr>
        <w:spacing w:after="0" w:line="152" w:lineRule="exact"/>
        <w:rPr>
          <w:sz w:val="20"/>
          <w:szCs w:val="20"/>
          <w:color w:val="auto"/>
        </w:rPr>
      </w:pPr>
    </w:p>
    <w:p>
      <w:pPr>
        <w:ind w:left="260" w:right="80" w:hanging="3"/>
        <w:spacing w:after="0" w:line="252" w:lineRule="auto"/>
        <w:tabs>
          <w:tab w:leader="none" w:pos="454" w:val="left"/>
        </w:tabs>
        <w:numPr>
          <w:ilvl w:val="0"/>
          <w:numId w:val="1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Force Majeure </w:t>
      </w:r>
      <w:r>
        <w:rPr>
          <w:rFonts w:ascii="Times New Roman" w:cs="Times New Roman" w:eastAsia="Times New Roman" w:hAnsi="Times New Roman"/>
          <w:sz w:val="12"/>
          <w:szCs w:val="12"/>
          <w:color w:val="auto"/>
        </w:rPr>
        <w:t>- Neither party shall be liable for any loss, damage or delay due to any of the following force majeure events and/or conditions to the extent that the party invoking force majeure is prevented or hindered from</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performing any or all of their obligations under this Agreement, provided they have made all reasonable efforts to avoid, minimise or prevent the effect of such events and/or conditions:</w:t>
      </w:r>
    </w:p>
    <w:p>
      <w:pPr>
        <w:spacing w:after="0" w:line="99" w:lineRule="exact"/>
        <w:rPr>
          <w:rFonts w:ascii="Times New Roman" w:cs="Times New Roman" w:eastAsia="Times New Roman" w:hAnsi="Times New Roman"/>
          <w:sz w:val="12"/>
          <w:szCs w:val="12"/>
          <w:b w:val="1"/>
          <w:bCs w:val="1"/>
          <w:color w:val="auto"/>
        </w:rPr>
      </w:pPr>
    </w:p>
    <w:p>
      <w:pPr>
        <w:ind w:left="500" w:hanging="244"/>
        <w:spacing w:after="0"/>
        <w:tabs>
          <w:tab w:leader="none" w:pos="500" w:val="left"/>
        </w:tabs>
        <w:numPr>
          <w:ilvl w:val="0"/>
          <w:numId w:val="1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of God;</w:t>
      </w:r>
    </w:p>
    <w:p>
      <w:pPr>
        <w:spacing w:after="0" w:line="14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(ii)any requisition, control, intervention, requirement or interference by a Governmental Entity;</w:t>
      </w:r>
    </w:p>
    <w:p>
      <w:pPr>
        <w:spacing w:after="0" w:line="141" w:lineRule="exact"/>
        <w:rPr>
          <w:sz w:val="20"/>
          <w:szCs w:val="20"/>
          <w:color w:val="auto"/>
        </w:rPr>
      </w:pPr>
    </w:p>
    <w:p>
      <w:pPr>
        <w:ind w:left="500" w:hanging="244"/>
        <w:spacing w:after="0"/>
        <w:tabs>
          <w:tab w:leader="none" w:pos="5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circumstances arising out of war, threatened act of war or warlike operations, acts of terrorism, sabotage or piracy, or the consequences thereof;</w:t>
      </w:r>
    </w:p>
    <w:p>
      <w:pPr>
        <w:spacing w:after="0" w:line="141" w:lineRule="exact"/>
        <w:rPr>
          <w:rFonts w:ascii="Times New Roman" w:cs="Times New Roman" w:eastAsia="Times New Roman" w:hAnsi="Times New Roman"/>
          <w:sz w:val="12"/>
          <w:szCs w:val="12"/>
          <w:color w:val="auto"/>
        </w:rPr>
      </w:pPr>
    </w:p>
    <w:p>
      <w:pPr>
        <w:ind w:left="440" w:hanging="184"/>
        <w:spacing w:after="0"/>
        <w:tabs>
          <w:tab w:leader="none" w:pos="4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riots, civil commotion, blockades or embargoes;</w:t>
      </w:r>
    </w:p>
    <w:p>
      <w:pPr>
        <w:spacing w:after="0" w:line="141"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epidemics;</w:t>
      </w:r>
    </w:p>
    <w:p>
      <w:pPr>
        <w:spacing w:after="0" w:line="141" w:lineRule="exact"/>
        <w:rPr>
          <w:rFonts w:ascii="Times New Roman" w:cs="Times New Roman" w:eastAsia="Times New Roman" w:hAnsi="Times New Roman"/>
          <w:sz w:val="12"/>
          <w:szCs w:val="12"/>
          <w:color w:val="auto"/>
        </w:rPr>
      </w:pPr>
    </w:p>
    <w:p>
      <w:pPr>
        <w:ind w:left="440" w:hanging="184"/>
        <w:spacing w:after="0"/>
        <w:tabs>
          <w:tab w:leader="none" w:pos="4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earthquakes, landslides, floods or other extraordinary weather conditions;</w:t>
      </w:r>
    </w:p>
    <w:p>
      <w:pPr>
        <w:spacing w:after="0" w:line="150"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strikes, lockouts or other industrial action, unless limited to the employees (which shall not include the Crew) of the party seeking to invoke force majeure;</w:t>
      </w:r>
    </w:p>
    <w:p>
      <w:pPr>
        <w:spacing w:after="0" w:line="132" w:lineRule="exact"/>
        <w:rPr>
          <w:rFonts w:ascii="Times New Roman" w:cs="Times New Roman" w:eastAsia="Times New Roman" w:hAnsi="Times New Roman"/>
          <w:sz w:val="12"/>
          <w:szCs w:val="12"/>
          <w:color w:val="auto"/>
        </w:rPr>
      </w:pPr>
    </w:p>
    <w:p>
      <w:pPr>
        <w:ind w:left="500" w:hanging="244"/>
        <w:spacing w:after="0"/>
        <w:tabs>
          <w:tab w:leader="none" w:pos="50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fire, accident, explosion except where caused by negligence of the party seeking to invoke force majeure; and</w:t>
      </w:r>
    </w:p>
    <w:p>
      <w:pPr>
        <w:spacing w:after="0" w:line="141" w:lineRule="exact"/>
        <w:rPr>
          <w:rFonts w:ascii="Times New Roman" w:cs="Times New Roman" w:eastAsia="Times New Roman" w:hAnsi="Times New Roman"/>
          <w:sz w:val="12"/>
          <w:szCs w:val="12"/>
          <w:color w:val="auto"/>
        </w:rPr>
      </w:pPr>
    </w:p>
    <w:p>
      <w:pPr>
        <w:ind w:left="440" w:hanging="184"/>
        <w:spacing w:after="0"/>
        <w:tabs>
          <w:tab w:leader="none" w:pos="440" w:val="left"/>
        </w:tabs>
        <w:numPr>
          <w:ilvl w:val="0"/>
          <w:numId w:val="1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similar cause beyond the reasonable control of either party.</w:t>
      </w:r>
    </w:p>
    <w:p>
      <w:pPr>
        <w:spacing w:after="0" w:line="139" w:lineRule="exact"/>
        <w:rPr>
          <w:sz w:val="20"/>
          <w:szCs w:val="20"/>
          <w:color w:val="auto"/>
        </w:rPr>
      </w:pPr>
    </w:p>
    <w:p>
      <w:pPr>
        <w:ind w:left="420" w:hanging="164"/>
        <w:spacing w:after="0"/>
        <w:tabs>
          <w:tab w:leader="none" w:pos="420" w:val="left"/>
        </w:tabs>
        <w:numPr>
          <w:ilvl w:val="0"/>
          <w:numId w:val="134"/>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Liability to Owners</w:t>
      </w:r>
    </w:p>
    <w:p>
      <w:pPr>
        <w:spacing w:after="0" w:line="152" w:lineRule="exact"/>
        <w:rPr>
          <w:sz w:val="20"/>
          <w:szCs w:val="20"/>
          <w:color w:val="auto"/>
        </w:rPr>
      </w:pPr>
    </w:p>
    <w:p>
      <w:pPr>
        <w:ind w:left="260" w:right="80"/>
        <w:spacing w:after="0" w:line="248" w:lineRule="auto"/>
        <w:rPr>
          <w:sz w:val="20"/>
          <w:szCs w:val="20"/>
          <w:color w:val="auto"/>
        </w:rPr>
      </w:pPr>
      <w:r>
        <w:rPr>
          <w:rFonts w:ascii="Times New Roman" w:cs="Times New Roman" w:eastAsia="Times New Roman" w:hAnsi="Times New Roman"/>
          <w:sz w:val="12"/>
          <w:szCs w:val="12"/>
          <w:color w:val="auto"/>
        </w:rPr>
        <w:t xml:space="preserve">Without prejudice to Sub-Clause 17(a), the Managers shall be under no liability whatsoever to the Owners for any loss, damage, delay or expense of whatsoever nature, whether direct or indirect (including but not limited to loss of profit arising out of or in connection with detention of or delay to the Vessel), and howsoever arising in the course of performance of the Management Services </w:t>
      </w:r>
      <w:r>
        <w:rPr>
          <w:rFonts w:ascii="Times New Roman" w:cs="Times New Roman" w:eastAsia="Times New Roman" w:hAnsi="Times New Roman"/>
          <w:sz w:val="12"/>
          <w:szCs w:val="12"/>
          <w:b w:val="1"/>
          <w:bCs w:val="1"/>
          <w:color w:val="auto"/>
        </w:rPr>
        <w:t>UNLESS</w:t>
      </w:r>
      <w:r>
        <w:rPr>
          <w:rFonts w:ascii="Times New Roman" w:cs="Times New Roman" w:eastAsia="Times New Roman" w:hAnsi="Times New Roman"/>
          <w:sz w:val="12"/>
          <w:szCs w:val="12"/>
          <w:color w:val="auto"/>
        </w:rPr>
        <w:t xml:space="preserve"> the same is proved to have resulted solely from:</w:t>
      </w:r>
    </w:p>
    <w:p>
      <w:pPr>
        <w:spacing w:after="0" w:line="84" w:lineRule="exact"/>
        <w:rPr>
          <w:sz w:val="20"/>
          <w:szCs w:val="20"/>
          <w:color w:val="auto"/>
        </w:rPr>
      </w:pPr>
    </w:p>
    <w:p>
      <w:pPr>
        <w:jc w:val="both"/>
        <w:ind w:left="500" w:hanging="244"/>
        <w:spacing w:after="0" w:line="241" w:lineRule="auto"/>
        <w:tabs>
          <w:tab w:leader="none" w:pos="500" w:val="left"/>
        </w:tabs>
        <w:numPr>
          <w:ilvl w:val="0"/>
          <w:numId w:val="1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persistent and/or continuing negligence of the Managers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or</w:t>
      </w:r>
    </w:p>
    <w:p>
      <w:pPr>
        <w:spacing w:after="0" w:line="1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57" w:right="299" w:bottom="1440" w:gutter="0" w:footer="0" w:header="0"/>
        </w:sectPr>
      </w:pPr>
    </w:p>
    <w:bookmarkStart w:id="180" w:name="page181"/>
    <w:bookmarkEnd w:id="180"/>
    <w:p>
      <w:pPr>
        <w:jc w:val="both"/>
        <w:ind w:left="500" w:hanging="244"/>
        <w:spacing w:after="0" w:line="235" w:lineRule="auto"/>
        <w:tabs>
          <w:tab w:leader="none" w:pos="500" w:val="left"/>
        </w:tabs>
        <w:numPr>
          <w:ilvl w:val="0"/>
          <w:numId w:val="1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gross negligence or wilful default of the Managers or its employees or agents, or sub-contractors employed by them in connection with the Vessel, in which case (save where loss, damage, delay or expense has resulted from the Managers’ personal act or omission committed with the intent to cause the same or recklessly and with knowledge that such loss, damage, delay or expense would probably result) the Managers’ liability for each incident or series of incidents giving rise to a claim or claims shall never exceed a total of (A) three (3) times the annual management fee payable hereunder with respect to such liability arising under the foregoing sub-clause (i) or (B) ten (10) times the annual management fee payable hereunder with respect to such liability arising under the foregoing sub-clause (ii).</w:t>
      </w:r>
    </w:p>
    <w:p>
      <w:pPr>
        <w:spacing w:after="0" w:line="106" w:lineRule="exact"/>
        <w:rPr>
          <w:sz w:val="20"/>
          <w:szCs w:val="20"/>
          <w:color w:val="auto"/>
        </w:rPr>
      </w:pPr>
    </w:p>
    <w:p>
      <w:pPr>
        <w:jc w:val="both"/>
        <w:ind w:left="500" w:hanging="244"/>
        <w:spacing w:after="0" w:line="243" w:lineRule="auto"/>
        <w:tabs>
          <w:tab w:leader="none" w:pos="500" w:val="left"/>
        </w:tabs>
        <w:numPr>
          <w:ilvl w:val="1"/>
          <w:numId w:val="1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Acts or omissions of the Crew </w:t>
      </w:r>
      <w:r>
        <w:rPr>
          <w:rFonts w:ascii="Times New Roman" w:cs="Times New Roman" w:eastAsia="Times New Roman" w:hAnsi="Times New Roman"/>
          <w:sz w:val="12"/>
          <w:szCs w:val="12"/>
          <w:color w:val="auto"/>
        </w:rPr>
        <w:t>– Notwithstanding anything that may appear to the contrary in this Agreement, the Managers shall not be liable for any acts or omissions of the Crew, even if such acts or omissions are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negligent, grossly negligent or wilful, except only to the extent that they are shown to have resulted from a failure by the Managers to discharge their obligations under Clause 5(a) (Crew Management), in which case their liability shall be limited in accordance with the terms of this Clause 17 (Responsibilities).</w:t>
      </w:r>
    </w:p>
    <w:p>
      <w:pPr>
        <w:spacing w:after="0" w:line="102" w:lineRule="exact"/>
        <w:rPr>
          <w:rFonts w:ascii="Times New Roman" w:cs="Times New Roman" w:eastAsia="Times New Roman" w:hAnsi="Times New Roman"/>
          <w:sz w:val="12"/>
          <w:szCs w:val="12"/>
          <w:color w:val="auto"/>
        </w:rPr>
      </w:pPr>
    </w:p>
    <w:p>
      <w:pPr>
        <w:jc w:val="both"/>
        <w:ind w:left="260" w:right="80" w:hanging="3"/>
        <w:spacing w:after="0" w:line="236" w:lineRule="auto"/>
        <w:tabs>
          <w:tab w:leader="none" w:pos="447" w:val="left"/>
        </w:tabs>
        <w:numPr>
          <w:ilvl w:val="2"/>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Indemnity </w:t>
      </w:r>
      <w:r>
        <w:rPr>
          <w:rFonts w:ascii="Times New Roman" w:cs="Times New Roman" w:eastAsia="Times New Roman" w:hAnsi="Times New Roman"/>
          <w:sz w:val="12"/>
          <w:szCs w:val="12"/>
          <w:color w:val="auto"/>
        </w:rPr>
        <w:t>- Except to the extent and solely for the amount therein set out that the Managers would be liable under Sub- clause 17(b), the Owners hereby undertake to keep the Managers and their employees, agents and sub-contractors indemnified and to hold them harmless against all actions, proceedings, claims, demands or liabilities whatsoever or howsoever arising which may be brought against them or incurred or suffered by them arising out of or in connection with the performance of this Agreement, and against and in respect of all costs, loss, damages and expenses (including legal costs and expenses on a full indemnity basis) which the Managers may suffer or incur (either directly or indirectly) in the course of the performance of this Agreement.</w:t>
      </w:r>
    </w:p>
    <w:p>
      <w:pPr>
        <w:spacing w:after="0" w:line="114" w:lineRule="exact"/>
        <w:rPr>
          <w:rFonts w:ascii="Times New Roman" w:cs="Times New Roman" w:eastAsia="Times New Roman" w:hAnsi="Times New Roman"/>
          <w:sz w:val="12"/>
          <w:szCs w:val="12"/>
          <w:b w:val="1"/>
          <w:bCs w:val="1"/>
          <w:color w:val="auto"/>
        </w:rPr>
      </w:pPr>
    </w:p>
    <w:p>
      <w:pPr>
        <w:jc w:val="both"/>
        <w:ind w:left="260" w:right="80" w:hanging="3"/>
        <w:spacing w:after="0" w:line="228" w:lineRule="auto"/>
        <w:tabs>
          <w:tab w:leader="none" w:pos="469" w:val="left"/>
        </w:tabs>
        <w:numPr>
          <w:ilvl w:val="2"/>
          <w:numId w:val="13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 xml:space="preserve">“Himalaya” </w:t>
      </w:r>
      <w:r>
        <w:rPr>
          <w:rFonts w:ascii="Times New Roman" w:cs="Times New Roman" w:eastAsia="Times New Roman" w:hAnsi="Times New Roman"/>
          <w:sz w:val="12"/>
          <w:szCs w:val="12"/>
          <w:color w:val="auto"/>
        </w:rPr>
        <w:t>- It is hereby expressly agreed that no employee or agent of the Managers (including every sub-contractor from time to time employed by the Managers) shall in any circumstances whatsoever be under any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liability whatsoever to the Owners for any loss, damage or delay of whatsoever kind arising or resulting directly or indirectly from any act, neglect or default on his, her or its part while acting in the course of or in connection with his, her or its employment and, without prejudice to the generality of the foregoing provisions in this Clause 17 (Responsibilities), every exemption, limitation, condition and liberty herein contained and every right, exemption from liability, defence and immunity of whatsoever nature applicable to the Managers or to which the Managers are entitled hereunder shall also be available and shall extend to protect every such employee or agent of the Managers acting as aforesaid and for the purpose of all the foregoing provisions of this Clause 17 (Responsibilities) the Managers are or shall be deemed to be acting as agent or trustee on behalf of and for the benefit of all persons who are or might be their servants or agents from time to time (including sub-contractors as aforesaid) and all such persons shall to this extent be or be deemed to be parties to this Agreement.</w:t>
      </w:r>
    </w:p>
    <w:p>
      <w:pPr>
        <w:spacing w:after="0" w:line="120"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Administration</w:t>
      </w:r>
    </w:p>
    <w:p>
      <w:pPr>
        <w:spacing w:after="0" w:line="145" w:lineRule="exact"/>
        <w:rPr>
          <w:rFonts w:ascii="Times New Roman" w:cs="Times New Roman" w:eastAsia="Times New Roman" w:hAnsi="Times New Roman"/>
          <w:sz w:val="12"/>
          <w:szCs w:val="12"/>
          <w:b w:val="1"/>
          <w:bCs w:val="1"/>
          <w:color w:val="auto"/>
        </w:rPr>
      </w:pPr>
    </w:p>
    <w:p>
      <w:pPr>
        <w:jc w:val="both"/>
        <w:ind w:left="260" w:right="80" w:hanging="3"/>
        <w:spacing w:after="0" w:line="235" w:lineRule="auto"/>
        <w:tabs>
          <w:tab w:leader="none" w:pos="463" w:val="left"/>
        </w:tabs>
        <w:numPr>
          <w:ilvl w:val="2"/>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keep the Owners and, if appropriate, the Company informed in a timely manner of any incident of which the Managers become aware which gives or may give rise to a material delay to the Vessel or material claims or disputes involving third parties. Without derogating from the foregoing, the Managers shall present the Owners with a report at least every six (6) months identifying all claims arising in or outstanding in such period, settlement and resolution status, and actions taken with respect thereto.</w:t>
      </w:r>
    </w:p>
    <w:p>
      <w:pPr>
        <w:spacing w:after="0" w:line="116" w:lineRule="exact"/>
        <w:rPr>
          <w:rFonts w:ascii="Times New Roman" w:cs="Times New Roman" w:eastAsia="Times New Roman" w:hAnsi="Times New Roman"/>
          <w:sz w:val="12"/>
          <w:szCs w:val="12"/>
          <w:b w:val="1"/>
          <w:bCs w:val="1"/>
          <w:color w:val="auto"/>
        </w:rPr>
      </w:pPr>
    </w:p>
    <w:p>
      <w:pPr>
        <w:ind w:left="260" w:right="80" w:hanging="3"/>
        <w:spacing w:after="0" w:line="248" w:lineRule="auto"/>
        <w:tabs>
          <w:tab w:leader="none" w:pos="478" w:val="left"/>
        </w:tabs>
        <w:numPr>
          <w:ilvl w:val="2"/>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handle and settle all claims and disputes arising out of the Management Services hereunder with respect to such claims or disputes relating to claims in excess of USD 100,000, unless the Owners instruct the Managers otherwise. The Managers shall keep the Owners appropriately informed in a timely manner throughout the handling of such claims and disputes.</w:t>
      </w:r>
    </w:p>
    <w:p>
      <w:pPr>
        <w:spacing w:after="0" w:line="110" w:lineRule="exact"/>
        <w:rPr>
          <w:rFonts w:ascii="Times New Roman" w:cs="Times New Roman" w:eastAsia="Times New Roman" w:hAnsi="Times New Roman"/>
          <w:sz w:val="12"/>
          <w:szCs w:val="12"/>
          <w:b w:val="1"/>
          <w:bCs w:val="1"/>
          <w:color w:val="auto"/>
        </w:rPr>
      </w:pPr>
    </w:p>
    <w:p>
      <w:pPr>
        <w:ind w:left="440" w:hanging="183"/>
        <w:spacing w:after="0"/>
        <w:tabs>
          <w:tab w:leader="none" w:pos="440" w:val="left"/>
        </w:tabs>
        <w:numPr>
          <w:ilvl w:val="2"/>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request the Managers to bring or defend other actions, suits or proceedings related to the Management Services, on terms to be agreed.</w:t>
      </w:r>
    </w:p>
    <w:p>
      <w:pPr>
        <w:spacing w:after="0" w:line="132" w:lineRule="exact"/>
        <w:rPr>
          <w:rFonts w:ascii="Times New Roman" w:cs="Times New Roman" w:eastAsia="Times New Roman" w:hAnsi="Times New Roman"/>
          <w:sz w:val="12"/>
          <w:szCs w:val="12"/>
          <w:b w:val="1"/>
          <w:bCs w:val="1"/>
          <w:color w:val="auto"/>
        </w:rPr>
      </w:pPr>
    </w:p>
    <w:p>
      <w:pPr>
        <w:ind w:left="260" w:right="80" w:hanging="3"/>
        <w:spacing w:after="0" w:line="248" w:lineRule="auto"/>
        <w:tabs>
          <w:tab w:leader="none" w:pos="507" w:val="left"/>
        </w:tabs>
        <w:numPr>
          <w:ilvl w:val="2"/>
          <w:numId w:val="13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At Owners’ cost, the Managers shall have power to obtain appropriate legal or technical or other outside expert advice in relation to the handling and settlement of claims in relation to Sub-clauses 18(b) and 18(c) and disputes and any other matters affecting the interests of the Owners in respect of the Vessel, including the appointment of auditors or other outside experts as may be necessary in the ordinary course of business.</w:t>
      </w:r>
    </w:p>
    <w:p>
      <w:pPr>
        <w:spacing w:after="0" w:line="110" w:lineRule="exact"/>
        <w:rPr>
          <w:rFonts w:ascii="Times New Roman" w:cs="Times New Roman" w:eastAsia="Times New Roman" w:hAnsi="Times New Roman"/>
          <w:sz w:val="12"/>
          <w:szCs w:val="12"/>
          <w:b w:val="1"/>
          <w:bCs w:val="1"/>
          <w:color w:val="auto"/>
        </w:rPr>
      </w:pPr>
    </w:p>
    <w:p>
      <w:pPr>
        <w:jc w:val="both"/>
        <w:ind w:left="260" w:right="80" w:hanging="3"/>
        <w:spacing w:after="0" w:line="274" w:lineRule="auto"/>
        <w:tabs>
          <w:tab w:leader="none" w:pos="447" w:val="left"/>
        </w:tabs>
        <w:numPr>
          <w:ilvl w:val="2"/>
          <w:numId w:val="138"/>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color w:val="auto"/>
        </w:rPr>
        <w:t>On giving reasonable notice with respect to proposed dates and the scope of inquiry, the Owners may request, and the Managers shall in a timely manner make available, all documentation, information and records in respect of the matters covered by this Agreement either related to mandatory rules or regulations or other obligations applying to the Owners in respect of the Vessel (including but not limited to STCW 95, the ISM Code and ISPS Code) to the extent permitted by relevant legislation and the Managers shall permit the Owners during regular business hours to inspect the Managers’ premises, audit records and accounts and meet with executive personnel.</w:t>
      </w:r>
    </w:p>
    <w:p>
      <w:pPr>
        <w:spacing w:after="0" w:line="1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52" w:right="299" w:bottom="1440" w:gutter="0" w:footer="0" w:header="0"/>
        </w:sectPr>
      </w:pPr>
    </w:p>
    <w:bookmarkStart w:id="181" w:name="page182"/>
    <w:bookmarkEnd w:id="181"/>
    <w:p>
      <w:pPr>
        <w:jc w:val="both"/>
        <w:ind w:left="260" w:right="60" w:hanging="3"/>
        <w:spacing w:after="0" w:line="231" w:lineRule="auto"/>
        <w:tabs>
          <w:tab w:leader="none" w:pos="415" w:val="left"/>
        </w:tabs>
        <w:numPr>
          <w:ilvl w:val="1"/>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provide the administration and support services set out in Appendix XX (collectively, the “Administrative &amp; Support Services”) at their cost; provided, however, that, at the Owners’ sole cost and expense, the Managers may employ the services of external advisors or other third-party service providers if reasonably necessary for the Managers to provide the Administrative &amp; Support Services (including, without limitation, the services of accounting, tax or legal advisors, but expressly excluding day-to-day accounting services or other Administrative &amp; Support Services that Managers provide to other clients in the ordinary course utilizing in-house expertise).</w:t>
      </w:r>
    </w:p>
    <w:p>
      <w:pPr>
        <w:spacing w:after="0" w:line="125" w:lineRule="exact"/>
        <w:rPr>
          <w:rFonts w:ascii="Times New Roman" w:cs="Times New Roman" w:eastAsia="Times New Roman" w:hAnsi="Times New Roman"/>
          <w:sz w:val="12"/>
          <w:szCs w:val="12"/>
          <w:b w:val="1"/>
          <w:bCs w:val="1"/>
          <w:color w:val="auto"/>
        </w:rPr>
      </w:pPr>
    </w:p>
    <w:p>
      <w:pPr>
        <w:ind w:left="260" w:right="60" w:hanging="3"/>
        <w:spacing w:after="0" w:line="248" w:lineRule="auto"/>
        <w:tabs>
          <w:tab w:leader="none" w:pos="483" w:val="left"/>
        </w:tabs>
        <w:numPr>
          <w:ilvl w:val="1"/>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On giving reasonable notice, the Managers may request, and the Owners shall in a timely manner make available, all documentation, information and records reasonably required by the Managers to enable them to perform the Management Services.</w:t>
      </w:r>
    </w:p>
    <w:p>
      <w:pPr>
        <w:spacing w:after="0" w:line="101" w:lineRule="exact"/>
        <w:rPr>
          <w:rFonts w:ascii="Times New Roman" w:cs="Times New Roman" w:eastAsia="Times New Roman" w:hAnsi="Times New Roman"/>
          <w:sz w:val="12"/>
          <w:szCs w:val="12"/>
          <w:b w:val="1"/>
          <w:bCs w:val="1"/>
          <w:color w:val="auto"/>
        </w:rPr>
      </w:pPr>
    </w:p>
    <w:p>
      <w:pPr>
        <w:ind w:left="420" w:hanging="164"/>
        <w:spacing w:after="0"/>
        <w:tabs>
          <w:tab w:leader="none" w:pos="420" w:val="left"/>
        </w:tabs>
        <w:numPr>
          <w:ilvl w:val="1"/>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arrange for the provision of any necessary guarantee bond or other security.</w:t>
      </w:r>
    </w:p>
    <w:p>
      <w:pPr>
        <w:spacing w:after="0" w:line="150" w:lineRule="exact"/>
        <w:rPr>
          <w:rFonts w:ascii="Times New Roman" w:cs="Times New Roman" w:eastAsia="Times New Roman" w:hAnsi="Times New Roman"/>
          <w:sz w:val="12"/>
          <w:szCs w:val="12"/>
          <w:b w:val="1"/>
          <w:bCs w:val="1"/>
          <w:color w:val="auto"/>
        </w:rPr>
      </w:pPr>
    </w:p>
    <w:p>
      <w:pPr>
        <w:ind w:left="460" w:hanging="203"/>
        <w:spacing w:after="0"/>
        <w:tabs>
          <w:tab w:leader="none" w:pos="460" w:val="left"/>
        </w:tabs>
        <w:numPr>
          <w:ilvl w:val="1"/>
          <w:numId w:val="1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Any costs reasonably incurred by the Managers in carrying out their obligations according to this Clause 18 (General Administration) unless otherwise expressly provided or agreed shall be reimbursed by the Owners.</w:t>
      </w:r>
    </w:p>
    <w:p>
      <w:pPr>
        <w:spacing w:after="0" w:line="12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of Vessel</w:t>
      </w:r>
    </w:p>
    <w:p>
      <w:pPr>
        <w:spacing w:after="0" w:line="145"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at any time after giving reasonable notice to the Managers inspect the Vessel for any reason they consider necessary.</w:t>
      </w:r>
    </w:p>
    <w:p>
      <w:pPr>
        <w:spacing w:after="0" w:line="128"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Compliance with Laws and Regulations</w:t>
      </w:r>
    </w:p>
    <w:p>
      <w:pPr>
        <w:spacing w:after="0" w:line="145" w:lineRule="exact"/>
        <w:rPr>
          <w:rFonts w:ascii="Times New Roman" w:cs="Times New Roman" w:eastAsia="Times New Roman" w:hAnsi="Times New Roman"/>
          <w:sz w:val="12"/>
          <w:szCs w:val="12"/>
          <w:b w:val="1"/>
          <w:bCs w:val="1"/>
          <w:color w:val="auto"/>
        </w:rPr>
      </w:pPr>
    </w:p>
    <w:p>
      <w:pPr>
        <w:ind w:left="260" w:right="60"/>
        <w:spacing w:after="0" w:line="24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Parties will not do or permit to be done anything which might cause any breach or infringement of the laws and regulations the Flag State, or of any place where the Vessel trades, nor shall either of the Parties act in any manner which is prohibited under United States laws or regulations related to foreign trade controls.</w:t>
      </w:r>
    </w:p>
    <w:p>
      <w:pPr>
        <w:spacing w:after="0" w:line="101" w:lineRule="exact"/>
        <w:rPr>
          <w:rFonts w:ascii="Times New Roman" w:cs="Times New Roman" w:eastAsia="Times New Roman" w:hAnsi="Times New Roman"/>
          <w:sz w:val="12"/>
          <w:szCs w:val="12"/>
          <w:b w:val="1"/>
          <w:bCs w:val="1"/>
          <w:color w:val="auto"/>
        </w:rPr>
      </w:pPr>
    </w:p>
    <w:p>
      <w:pPr>
        <w:jc w:val="both"/>
        <w:ind w:left="260" w:right="60"/>
        <w:spacing w:after="0" w:line="23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performing the Management Services, the Managers shall</w:t>
      </w:r>
      <w:r>
        <w:rPr>
          <w:rFonts w:ascii="Times New Roman" w:cs="Times New Roman" w:eastAsia="Times New Roman" w:hAnsi="Times New Roman"/>
          <w:sz w:val="12"/>
          <w:szCs w:val="12"/>
          <w:color w:val="0000FF"/>
        </w:rPr>
        <w:t>,</w:t>
      </w:r>
      <w:r>
        <w:rPr>
          <w:rFonts w:ascii="Times New Roman" w:cs="Times New Roman" w:eastAsia="Times New Roman" w:hAnsi="Times New Roman"/>
          <w:sz w:val="12"/>
          <w:szCs w:val="12"/>
          <w:color w:val="auto"/>
        </w:rPr>
        <w:t xml:space="preserve"> and shall use all reasonable endeavours to procure that its Affiliates and sub-contractors shall</w:t>
      </w:r>
      <w:r>
        <w:rPr>
          <w:rFonts w:ascii="Times New Roman" w:cs="Times New Roman" w:eastAsia="Times New Roman" w:hAnsi="Times New Roman"/>
          <w:sz w:val="12"/>
          <w:szCs w:val="12"/>
          <w:color w:val="0000FF"/>
        </w:rPr>
        <w:t>,</w:t>
      </w:r>
      <w:r>
        <w:rPr>
          <w:rFonts w:ascii="Times New Roman" w:cs="Times New Roman" w:eastAsia="Times New Roman" w:hAnsi="Times New Roman"/>
          <w:sz w:val="12"/>
          <w:szCs w:val="12"/>
          <w:color w:val="auto"/>
        </w:rPr>
        <w:t xml:space="preserve"> comply in all material respects with the written policies of the Owners, Global Ship Lease Services Limited or the Parent that are directly applicable to the Managers’ provision of the Management Services and are made known to the Managers in advance in writing, which shall include, but not be limited to, the Owners’ Anti-slavery and Human Trafficking Policy, Corporate and Social Responsibility Policy, Anti-bribery and Anti-corruption Policy, Business Ethics Policy, Data and Privacy Policy and Business Conduct Policy and any other policies of the Owners that are so applicable from time to time.</w:t>
      </w:r>
    </w:p>
    <w:p>
      <w:pPr>
        <w:spacing w:after="0" w:line="112" w:lineRule="exact"/>
        <w:rPr>
          <w:rFonts w:ascii="Times New Roman" w:cs="Times New Roman" w:eastAsia="Times New Roman" w:hAnsi="Times New Roman"/>
          <w:sz w:val="12"/>
          <w:szCs w:val="12"/>
          <w:b w:val="1"/>
          <w:bCs w:val="1"/>
          <w:color w:val="auto"/>
        </w:rPr>
      </w:pPr>
    </w:p>
    <w:p>
      <w:pPr>
        <w:ind w:left="260" w:hanging="256"/>
        <w:spacing w:after="0"/>
        <w:tabs>
          <w:tab w:leader="none" w:pos="260" w:val="left"/>
        </w:tabs>
        <w:numPr>
          <w:ilvl w:val="0"/>
          <w:numId w:val="1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Duration of the Agreement</w:t>
      </w:r>
    </w:p>
    <w:p>
      <w:pPr>
        <w:spacing w:after="0" w:line="141" w:lineRule="exact"/>
        <w:rPr>
          <w:sz w:val="20"/>
          <w:szCs w:val="20"/>
          <w:color w:val="auto"/>
        </w:rPr>
      </w:pPr>
    </w:p>
    <w:p>
      <w:pPr>
        <w:ind w:left="260" w:right="60" w:hanging="3"/>
        <w:spacing w:after="0" w:line="255" w:lineRule="auto"/>
        <w:tabs>
          <w:tab w:leader="none" w:pos="58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shall come into effect at the date stated in </w:t>
      </w:r>
      <w:r>
        <w:rPr>
          <w:rFonts w:ascii="Times New Roman" w:cs="Times New Roman" w:eastAsia="Times New Roman" w:hAnsi="Times New Roman"/>
          <w:sz w:val="12"/>
          <w:szCs w:val="12"/>
          <w:b w:val="1"/>
          <w:bCs w:val="1"/>
          <w:color w:val="auto"/>
        </w:rPr>
        <w:t>Box 2</w:t>
      </w:r>
      <w:r>
        <w:rPr>
          <w:rFonts w:ascii="Times New Roman" w:cs="Times New Roman" w:eastAsia="Times New Roman" w:hAnsi="Times New Roman"/>
          <w:sz w:val="12"/>
          <w:szCs w:val="12"/>
          <w:color w:val="auto"/>
        </w:rPr>
        <w:t xml:space="preserve"> and shall continue for the minimum contract period set out in Box 18. Either party may give not less than six (6) months written notice to the other during the minimum contract period that this Agreement is to be terminated at the expiry of the minimum contract period set out in Box 18.</w:t>
      </w:r>
    </w:p>
    <w:p>
      <w:pPr>
        <w:spacing w:after="0" w:line="115" w:lineRule="exact"/>
        <w:rPr>
          <w:rFonts w:ascii="Times New Roman" w:cs="Times New Roman" w:eastAsia="Times New Roman" w:hAnsi="Times New Roman"/>
          <w:sz w:val="12"/>
          <w:szCs w:val="12"/>
          <w:color w:val="auto"/>
        </w:rPr>
      </w:pPr>
    </w:p>
    <w:p>
      <w:pPr>
        <w:ind w:left="260" w:right="60" w:hanging="3"/>
        <w:spacing w:after="0" w:line="248" w:lineRule="auto"/>
        <w:tabs>
          <w:tab w:leader="none" w:pos="641"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expiry of the minimum contract period set out in Box 18, and provided that neither party has issued a termination notice pursuant to Clause 21(a) to terminate this Agreement at the end of the minimum contract period, this Agreement may be terminated by either party by giving no less than six (6) months written notice to the other.</w:t>
      </w:r>
    </w:p>
    <w:p>
      <w:pPr>
        <w:spacing w:after="0" w:line="110" w:lineRule="exact"/>
        <w:rPr>
          <w:rFonts w:ascii="Times New Roman" w:cs="Times New Roman" w:eastAsia="Times New Roman" w:hAnsi="Times New Roman"/>
          <w:sz w:val="12"/>
          <w:szCs w:val="12"/>
          <w:color w:val="auto"/>
        </w:rPr>
      </w:pPr>
    </w:p>
    <w:p>
      <w:pPr>
        <w:jc w:val="both"/>
        <w:ind w:left="260" w:right="60" w:hanging="3"/>
        <w:spacing w:after="0" w:line="235" w:lineRule="auto"/>
        <w:tabs>
          <w:tab w:leader="none" w:pos="625"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Should the Owners provide notice under either Clauses 21(a) or (b) above on the basis that they are able to secure more competitive terms from a recognized third party ship manager, they shall provide the Managers in reasonably documented detail, the more competitive terms offered to the Owners by such third party ship manager. The Managers shall have the right to send written notice to the Owners agreeing to match all such terms, in which case this Agreement shall not terminate and shall be deemed to be amended to incorporate such revised terms, as appropriate.</w:t>
      </w:r>
    </w:p>
    <w:p>
      <w:pPr>
        <w:spacing w:after="0" w:line="116" w:lineRule="exact"/>
        <w:rPr>
          <w:rFonts w:ascii="Times New Roman" w:cs="Times New Roman" w:eastAsia="Times New Roman" w:hAnsi="Times New Roman"/>
          <w:sz w:val="12"/>
          <w:szCs w:val="12"/>
          <w:color w:val="auto"/>
        </w:rPr>
      </w:pPr>
    </w:p>
    <w:p>
      <w:pPr>
        <w:ind w:left="580" w:hanging="323"/>
        <w:spacing w:after="0"/>
        <w:tabs>
          <w:tab w:leader="none" w:pos="58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Clauses 21(a) and (b) above, this Agreement may be terminated by either party at any time in accordance with Clause 22 (Termination).)</w:t>
      </w:r>
    </w:p>
    <w:p>
      <w:pPr>
        <w:spacing w:after="0" w:line="132" w:lineRule="exact"/>
        <w:rPr>
          <w:rFonts w:ascii="Times New Roman" w:cs="Times New Roman" w:eastAsia="Times New Roman" w:hAnsi="Times New Roman"/>
          <w:sz w:val="12"/>
          <w:szCs w:val="12"/>
          <w:color w:val="auto"/>
        </w:rPr>
      </w:pPr>
    </w:p>
    <w:p>
      <w:pPr>
        <w:ind w:left="560" w:hanging="303"/>
        <w:spacing w:after="0"/>
        <w:tabs>
          <w:tab w:leader="none" w:pos="560" w:val="left"/>
        </w:tabs>
        <w:numPr>
          <w:ilvl w:val="1"/>
          <w:numId w:val="1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Vessel is not at a mutually convenient port or place on the expiry of such period, this Agreement shall terminate on the subsequent arrival of the Vessel at the next mutually convenient port or place.</w:t>
      </w:r>
    </w:p>
    <w:p>
      <w:pPr>
        <w:spacing w:after="0" w:line="128" w:lineRule="exact"/>
        <w:rPr>
          <w:rFonts w:ascii="Times New Roman" w:cs="Times New Roman" w:eastAsia="Times New Roman" w:hAnsi="Times New Roman"/>
          <w:sz w:val="12"/>
          <w:szCs w:val="12"/>
          <w:color w:val="auto"/>
        </w:rPr>
      </w:pPr>
    </w:p>
    <w:p>
      <w:pPr>
        <w:ind w:left="260" w:hanging="256"/>
        <w:spacing w:after="0"/>
        <w:tabs>
          <w:tab w:leader="none" w:pos="260" w:val="left"/>
        </w:tabs>
        <w:numPr>
          <w:ilvl w:val="0"/>
          <w:numId w:val="1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2"/>
          <w:szCs w:val="12"/>
          <w:color w:val="auto"/>
        </w:rPr>
        <w:t>Owners’ or Managers’ default</w:t>
      </w:r>
    </w:p>
    <w:p>
      <w:pPr>
        <w:spacing w:after="0" w:line="141" w:lineRule="exact"/>
        <w:rPr>
          <w:sz w:val="20"/>
          <w:szCs w:val="20"/>
          <w:color w:val="auto"/>
        </w:rPr>
      </w:pPr>
    </w:p>
    <w:p>
      <w:pPr>
        <w:ind w:left="600" w:hanging="335"/>
        <w:spacing w:after="0" w:line="264" w:lineRule="auto"/>
        <w:tabs>
          <w:tab w:leader="none" w:pos="600" w:val="left"/>
        </w:tabs>
        <w:numPr>
          <w:ilvl w:val="0"/>
          <w:numId w:val="1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either Party fails to meet their obligations under this Agreement, the other Party may give notice to the defaulting Party requiring it to remedy it. In the event that the defaulting Party fails to remedy within a reasonable time to the reasonable satisfaction of the other Party, that other Party shall be entitled to terminate this Agreement with immediate effect by giving notice to the defaulting Party.</w:t>
      </w:r>
    </w:p>
    <w:p>
      <w:pPr>
        <w:spacing w:after="0" w:line="1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20"/>
          </w:cols>
          <w:pgMar w:left="360" w:top="561" w:right="319" w:bottom="1440" w:gutter="0" w:footer="0" w:header="0"/>
        </w:sectPr>
      </w:pPr>
    </w:p>
    <w:bookmarkStart w:id="182" w:name="page183"/>
    <w:bookmarkEnd w:id="182"/>
    <w:p>
      <w:pPr>
        <w:ind w:left="340" w:hanging="335"/>
        <w:spacing w:after="0"/>
        <w:tabs>
          <w:tab w:leader="none" w:pos="34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Clause 22(a):</w:t>
      </w:r>
    </w:p>
    <w:p>
      <w:pPr>
        <w:spacing w:after="0" w:line="141" w:lineRule="exact"/>
        <w:rPr>
          <w:rFonts w:ascii="Times New Roman" w:cs="Times New Roman" w:eastAsia="Times New Roman" w:hAnsi="Times New Roman"/>
          <w:sz w:val="12"/>
          <w:szCs w:val="12"/>
          <w:color w:val="auto"/>
        </w:rPr>
      </w:pPr>
    </w:p>
    <w:p>
      <w:pPr>
        <w:ind w:left="360" w:hanging="8"/>
        <w:spacing w:after="0" w:line="248" w:lineRule="auto"/>
        <w:tabs>
          <w:tab w:leader="none" w:pos="502"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be entitled to terminate this Agreement with immediate effect by giving notice to the Owners if any monies payable by the Owners under the terms of this Agreement shall not have been received in the Managers’ nominated account within thirty (30) days of receipt by the Owners of the Managers’ written request, or if the Vessel is repossessed by a mortgagee.</w:t>
      </w:r>
    </w:p>
    <w:p>
      <w:pPr>
        <w:spacing w:after="0" w:line="110" w:lineRule="exact"/>
        <w:rPr>
          <w:rFonts w:ascii="Times New Roman" w:cs="Times New Roman" w:eastAsia="Times New Roman" w:hAnsi="Times New Roman"/>
          <w:sz w:val="12"/>
          <w:szCs w:val="12"/>
          <w:color w:val="auto"/>
        </w:rPr>
      </w:pPr>
    </w:p>
    <w:p>
      <w:pPr>
        <w:jc w:val="both"/>
        <w:ind w:left="360" w:hanging="8"/>
        <w:spacing w:after="0" w:line="235" w:lineRule="auto"/>
        <w:tabs>
          <w:tab w:leader="none" w:pos="540"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caused by the act or omission of the Exclusive Broker, if the Owners proceed with the employment of or continue to employ the Vessel in the carriage of contraband, blockade running, or in an unlawful trade, or on a voyage which in the reasonable opinion of the Managers is unduly hazardous or improper, the Managers may give notice of the default to the Owners, requiring them to remedy it as soon as practically possible. In the event that the Owners fail to remedy it within a reasonable time to the satisfaction of the Managers, the Managers shall be entitled to terminate the Agreement with immediate effect by notice.</w:t>
      </w:r>
    </w:p>
    <w:p>
      <w:pPr>
        <w:spacing w:after="0" w:line="116" w:lineRule="exact"/>
        <w:rPr>
          <w:rFonts w:ascii="Times New Roman" w:cs="Times New Roman" w:eastAsia="Times New Roman" w:hAnsi="Times New Roman"/>
          <w:sz w:val="12"/>
          <w:szCs w:val="12"/>
          <w:color w:val="auto"/>
        </w:rPr>
      </w:pPr>
    </w:p>
    <w:p>
      <w:pPr>
        <w:ind w:left="360" w:hanging="8"/>
        <w:spacing w:after="0" w:line="248" w:lineRule="auto"/>
        <w:tabs>
          <w:tab w:leader="none" w:pos="573"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either party fails to meet their respective obligations under Sub-</w:t>
      </w:r>
      <w:r>
        <w:rPr>
          <w:rFonts w:ascii="Times New Roman" w:cs="Times New Roman" w:eastAsia="Times New Roman" w:hAnsi="Times New Roman"/>
          <w:sz w:val="12"/>
          <w:szCs w:val="12"/>
          <w:u w:val="single" w:color="auto"/>
          <w:color w:val="auto"/>
        </w:rPr>
        <w:t>clause 5(b)</w:t>
      </w:r>
      <w:r>
        <w:rPr>
          <w:rFonts w:ascii="Times New Roman" w:cs="Times New Roman" w:eastAsia="Times New Roman" w:hAnsi="Times New Roman"/>
          <w:sz w:val="12"/>
          <w:szCs w:val="12"/>
          <w:color w:val="auto"/>
        </w:rPr>
        <w:t xml:space="preserve"> (Crew Insurances) and </w:t>
      </w:r>
      <w:r>
        <w:rPr>
          <w:rFonts w:ascii="Times New Roman" w:cs="Times New Roman" w:eastAsia="Times New Roman" w:hAnsi="Times New Roman"/>
          <w:sz w:val="12"/>
          <w:szCs w:val="12"/>
          <w:u w:val="single" w:color="auto"/>
          <w:color w:val="auto"/>
        </w:rPr>
        <w:t>Clause 10</w:t>
      </w:r>
      <w:r>
        <w:rPr>
          <w:rFonts w:ascii="Times New Roman" w:cs="Times New Roman" w:eastAsia="Times New Roman" w:hAnsi="Times New Roman"/>
          <w:sz w:val="12"/>
          <w:szCs w:val="12"/>
          <w:color w:val="auto"/>
        </w:rPr>
        <w:t xml:space="preserve"> (Insurance Policies), the other party may give notice to the party in default requiring them to remedy it within twenty (20) days, failing which the other party may terminate this Agreement with immediate effective by giving notice to the party in default.</w:t>
      </w:r>
    </w:p>
    <w:p>
      <w:pPr>
        <w:spacing w:after="0" w:line="11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Extraordinary Termination</w:t>
      </w:r>
    </w:p>
    <w:p>
      <w:pPr>
        <w:spacing w:after="0" w:line="141" w:lineRule="exact"/>
        <w:rPr>
          <w:rFonts w:ascii="Times New Roman" w:cs="Times New Roman" w:eastAsia="Times New Roman" w:hAnsi="Times New Roman"/>
          <w:sz w:val="12"/>
          <w:szCs w:val="12"/>
          <w:color w:val="auto"/>
        </w:rPr>
      </w:pPr>
    </w:p>
    <w:p>
      <w:pPr>
        <w:jc w:val="both"/>
        <w:ind w:left="360"/>
        <w:spacing w:after="0" w:line="23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shall be deemed to be terminated in the case of the sale of the Vessel (directly or via a sale of a Controlling interest in the Owners) or, if the Vessel becomes a total loss or is declared as a constructive or compromised or arranged total loss or is requisitioned or has been declared missing, or if bareboat chartered, unless otherwise agreed, when the bareboat charter comes to an end; provided, however, that the foregoing shall not apply to (A) the sale of any Vessel pursuant to a sale/leaseback transaction or (B) any termination or expiration of a bareboat charter of such Vessel by the Owners if such Vessel is purchased (or re-purchased) by the Owners.</w:t>
      </w:r>
    </w:p>
    <w:p>
      <w:pPr>
        <w:spacing w:after="0" w:line="116"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Sub-</w:t>
      </w:r>
      <w:r>
        <w:rPr>
          <w:rFonts w:ascii="Times New Roman" w:cs="Times New Roman" w:eastAsia="Times New Roman" w:hAnsi="Times New Roman"/>
          <w:sz w:val="12"/>
          <w:szCs w:val="12"/>
          <w:u w:val="single" w:color="auto"/>
          <w:color w:val="auto"/>
        </w:rPr>
        <w:t>clause 22(c)</w:t>
      </w:r>
      <w:r>
        <w:rPr>
          <w:rFonts w:ascii="Times New Roman" w:cs="Times New Roman" w:eastAsia="Times New Roman" w:hAnsi="Times New Roman"/>
          <w:sz w:val="12"/>
          <w:szCs w:val="12"/>
          <w:color w:val="auto"/>
        </w:rPr>
        <w:t xml:space="preserve"> hereof:</w:t>
      </w:r>
    </w:p>
    <w:p>
      <w:pPr>
        <w:spacing w:after="0" w:line="141"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upon which the Vessel is to be treated as having been sold or otherwise disposed of shall be the date on which the Vessel’s Owners cease to be the registered owners of the Vessel;</w:t>
      </w:r>
    </w:p>
    <w:p>
      <w:pPr>
        <w:spacing w:after="0" w:line="150" w:lineRule="exact"/>
        <w:rPr>
          <w:rFonts w:ascii="Times New Roman" w:cs="Times New Roman" w:eastAsia="Times New Roman" w:hAnsi="Times New Roman"/>
          <w:sz w:val="12"/>
          <w:szCs w:val="12"/>
          <w:color w:val="auto"/>
        </w:rPr>
      </w:pPr>
    </w:p>
    <w:p>
      <w:pPr>
        <w:ind w:left="680" w:hanging="333"/>
        <w:spacing w:after="0" w:line="248" w:lineRule="auto"/>
        <w:tabs>
          <w:tab w:leader="none" w:pos="680"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deemed to be lost either when it has become an actual total loss or agreement has been reached with the Vessel’s underwriters in respect of its constructive total loss or if such agreement with the Vessel’s underwriters is not reached it is adjudged by a component tribunal that a constructive loss of the Vessel has occurred; and</w:t>
      </w:r>
    </w:p>
    <w:p>
      <w:pPr>
        <w:spacing w:after="0" w:line="110" w:lineRule="exact"/>
        <w:rPr>
          <w:rFonts w:ascii="Times New Roman" w:cs="Times New Roman" w:eastAsia="Times New Roman" w:hAnsi="Times New Roman"/>
          <w:sz w:val="12"/>
          <w:szCs w:val="12"/>
          <w:color w:val="auto"/>
        </w:rPr>
      </w:pPr>
    </w:p>
    <w:p>
      <w:pPr>
        <w:ind w:left="680" w:hanging="333"/>
        <w:spacing w:after="0" w:line="248" w:lineRule="auto"/>
        <w:tabs>
          <w:tab w:leader="none" w:pos="680" w:val="left"/>
        </w:tabs>
        <w:numPr>
          <w:ilvl w:val="1"/>
          <w:numId w:val="1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upon which the Vessel is to be treated as declared missing shall be ten (10) days after the Vessel was last reported or when the Vessel is recorded as missing be the Vessel’s underwriters, whichever occurs first. A missing Vessel shall be deemed lost in accordance with the provisions of Sub-</w:t>
      </w:r>
      <w:r>
        <w:rPr>
          <w:rFonts w:ascii="Times New Roman" w:cs="Times New Roman" w:eastAsia="Times New Roman" w:hAnsi="Times New Roman"/>
          <w:sz w:val="12"/>
          <w:szCs w:val="12"/>
          <w:u w:val="single" w:color="auto"/>
          <w:color w:val="auto"/>
        </w:rPr>
        <w:t>clause 22(d)(ii)</w:t>
      </w:r>
      <w:r>
        <w:rPr>
          <w:rFonts w:ascii="Times New Roman" w:cs="Times New Roman" w:eastAsia="Times New Roman" w:hAnsi="Times New Roman"/>
          <w:sz w:val="12"/>
          <w:szCs w:val="12"/>
          <w:color w:val="auto"/>
        </w:rPr>
        <w:t>.</w:t>
      </w:r>
    </w:p>
    <w:p>
      <w:pPr>
        <w:spacing w:after="0" w:line="2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2"/>
          <w:szCs w:val="12"/>
          <w:color w:val="auto"/>
        </w:rPr>
        <w:t>The Managers’ Default</w:t>
      </w:r>
    </w:p>
    <w:p>
      <w:pPr>
        <w:spacing w:after="0" w:line="141" w:lineRule="exact"/>
        <w:rPr>
          <w:sz w:val="20"/>
          <w:szCs w:val="20"/>
          <w:color w:val="auto"/>
        </w:rPr>
      </w:pPr>
    </w:p>
    <w:p>
      <w:pPr>
        <w:ind w:left="340" w:right="20" w:hanging="335"/>
        <w:spacing w:after="0" w:line="248" w:lineRule="auto"/>
        <w:tabs>
          <w:tab w:leader="none" w:pos="34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 may terminate this Agreement for Cause (as hereinafter defined), but only after the Owners have provided the Managers with notice of such Cause and such Cause has not been cured within twenty (20) days of such notice; provided, however, that if any Cause is incapable of being cured, then no notice and cure period shall be required.</w:t>
      </w:r>
    </w:p>
    <w:p>
      <w:pPr>
        <w:spacing w:after="0" w:line="115"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Cause </w:t>
      </w:r>
      <w:r>
        <w:rPr>
          <w:rFonts w:ascii="Times New Roman" w:cs="Times New Roman" w:eastAsia="Times New Roman" w:hAnsi="Times New Roman"/>
          <w:sz w:val="12"/>
          <w:szCs w:val="12"/>
          <w:color w:val="auto"/>
        </w:rPr>
        <w:t>means any of the following:</w:t>
      </w:r>
    </w:p>
    <w:p>
      <w:pPr>
        <w:spacing w:after="0" w:line="145"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w:t>
      </w:r>
    </w:p>
    <w:p>
      <w:pPr>
        <w:spacing w:after="0" w:line="150" w:lineRule="exact"/>
        <w:rPr>
          <w:rFonts w:ascii="Times New Roman" w:cs="Times New Roman" w:eastAsia="Times New Roman" w:hAnsi="Times New Roman"/>
          <w:sz w:val="12"/>
          <w:szCs w:val="12"/>
          <w:color w:val="auto"/>
        </w:rPr>
      </w:pPr>
    </w:p>
    <w:p>
      <w:pPr>
        <w:jc w:val="both"/>
        <w:ind w:left="1020" w:hanging="331"/>
        <w:spacing w:after="0" w:line="231" w:lineRule="auto"/>
        <w:tabs>
          <w:tab w:leader="none" w:pos="1020"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persist and/or continue to be negligent in their performance of the Management Services which causes material losses and/or material additional expense to the Owners for a period of 3 (three) calendar months or more following a written notice from the Owners that it is dissatisfied with the performance of the Managers due to such negligence and stating the deficiencies to be remedied, provided however, that the Managers shall not be deemed to have acted negligently if the deficiencies arise or are continuing due to circumstances beyond the control of the Managers, the Exclusive Broker and TCMC or if the Managers are taking reasonable steps to remedy such deficiencies; and/or</w:t>
      </w:r>
    </w:p>
    <w:p>
      <w:pPr>
        <w:spacing w:after="0" w:line="125" w:lineRule="exact"/>
        <w:rPr>
          <w:rFonts w:ascii="Times New Roman" w:cs="Times New Roman" w:eastAsia="Times New Roman" w:hAnsi="Times New Roman"/>
          <w:sz w:val="12"/>
          <w:szCs w:val="12"/>
          <w:color w:val="auto"/>
        </w:rPr>
      </w:pPr>
    </w:p>
    <w:p>
      <w:pPr>
        <w:ind w:left="1020" w:hanging="331"/>
        <w:spacing w:after="0"/>
        <w:tabs>
          <w:tab w:leader="none" w:pos="1020"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has been grossly negligent in its performance of the Management Services; and/or</w:t>
      </w:r>
    </w:p>
    <w:p>
      <w:pPr>
        <w:spacing w:after="0" w:line="150" w:lineRule="exact"/>
        <w:rPr>
          <w:rFonts w:ascii="Times New Roman" w:cs="Times New Roman" w:eastAsia="Times New Roman" w:hAnsi="Times New Roman"/>
          <w:sz w:val="12"/>
          <w:szCs w:val="12"/>
          <w:color w:val="auto"/>
        </w:rPr>
      </w:pPr>
    </w:p>
    <w:p>
      <w:pPr>
        <w:ind w:left="1020" w:hanging="331"/>
        <w:spacing w:after="0"/>
        <w:tabs>
          <w:tab w:leader="none" w:pos="1020" w:val="left"/>
        </w:tabs>
        <w:numPr>
          <w:ilvl w:val="2"/>
          <w:numId w:val="1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engaged in wilful misconduct and/or bad faith and/or fraud;</w:t>
      </w:r>
    </w:p>
    <w:p>
      <w:pPr>
        <w:spacing w:after="0" w:line="15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714" w:right="299" w:bottom="1440" w:gutter="0" w:footer="0" w:header="0"/>
        </w:sectPr>
      </w:pPr>
    </w:p>
    <w:bookmarkStart w:id="183" w:name="page184"/>
    <w:bookmarkEnd w:id="183"/>
    <w:p>
      <w:pPr>
        <w:ind w:left="680" w:hanging="333"/>
        <w:spacing w:after="0"/>
        <w:tabs>
          <w:tab w:leader="none" w:pos="68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wilfully fail to cooperate in any government, agency, regulatory or external self-governing body investigation that could have a material adverse effect on the Owners;</w:t>
      </w:r>
    </w:p>
    <w:p>
      <w:pPr>
        <w:spacing w:after="0" w:line="150" w:lineRule="exact"/>
        <w:rPr>
          <w:rFonts w:ascii="Times New Roman" w:cs="Times New Roman" w:eastAsia="Times New Roman" w:hAnsi="Times New Roman"/>
          <w:sz w:val="12"/>
          <w:szCs w:val="12"/>
          <w:color w:val="auto"/>
        </w:rPr>
      </w:pPr>
    </w:p>
    <w:p>
      <w:pPr>
        <w:ind w:left="680" w:hanging="333"/>
        <w:spacing w:after="0" w:line="248" w:lineRule="auto"/>
        <w:tabs>
          <w:tab w:leader="none" w:pos="68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or any of their directors, officers or employees are convicted or plead nolo contendere to a felony or a misdemeanour involving moral turpitude that is reasonably likely to have a material adverse effect on the Owners;</w:t>
      </w:r>
    </w:p>
    <w:p>
      <w:pPr>
        <w:spacing w:after="0" w:line="110" w:lineRule="exact"/>
        <w:rPr>
          <w:rFonts w:ascii="Times New Roman" w:cs="Times New Roman" w:eastAsia="Times New Roman" w:hAnsi="Times New Roman"/>
          <w:sz w:val="12"/>
          <w:szCs w:val="12"/>
          <w:color w:val="auto"/>
        </w:rPr>
      </w:pPr>
    </w:p>
    <w:p>
      <w:pPr>
        <w:jc w:val="both"/>
        <w:ind w:left="680" w:hanging="333"/>
        <w:spacing w:after="0" w:line="235" w:lineRule="auto"/>
        <w:tabs>
          <w:tab w:leader="none" w:pos="68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or any of their directors, officers or employees commit any material violation of any U.S. federal law regulating securities or the business of the Owners or the Parent without having relied on the legal advice of the Owners’ or the Parent’s counsel to perform or omit to perform the act resulting in such violation or the Managers are the subject of any final order, judicial or administrative, obtained or issued by the United States Securities and Exchange Commission, for any securities violation involving fraud that in each case is reasonably likely to have a material adverse effect on the Owners or the Parent; and</w:t>
      </w:r>
    </w:p>
    <w:p>
      <w:pPr>
        <w:spacing w:after="0" w:line="116" w:lineRule="exact"/>
        <w:rPr>
          <w:rFonts w:ascii="Times New Roman" w:cs="Times New Roman" w:eastAsia="Times New Roman" w:hAnsi="Times New Roman"/>
          <w:sz w:val="12"/>
          <w:szCs w:val="12"/>
          <w:color w:val="auto"/>
        </w:rPr>
      </w:pPr>
    </w:p>
    <w:p>
      <w:pPr>
        <w:ind w:left="680" w:hanging="333"/>
        <w:spacing w:after="0"/>
        <w:tabs>
          <w:tab w:leader="none" w:pos="680" w:val="left"/>
        </w:tabs>
        <w:numPr>
          <w:ilvl w:val="1"/>
          <w:numId w:val="1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breach of the obligations of the Managers under this Agreement that is reasonably likely to have a material adverse effect on the Parent.</w:t>
      </w:r>
    </w:p>
    <w:p>
      <w:pPr>
        <w:spacing w:after="0" w:line="15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be entitled to terminate this Agreement with immediate effect by giving notice to the Owners within a six (6) month period following a Change in Majority Interests or Control.</w:t>
      </w:r>
    </w:p>
    <w:p>
      <w:pPr>
        <w:spacing w:after="0" w:line="150" w:lineRule="exact"/>
        <w:rPr>
          <w:rFonts w:ascii="Times New Roman" w:cs="Times New Roman" w:eastAsia="Times New Roman" w:hAnsi="Times New Roman"/>
          <w:sz w:val="12"/>
          <w:szCs w:val="12"/>
          <w:color w:val="auto"/>
        </w:rPr>
      </w:pPr>
    </w:p>
    <w:p>
      <w:pPr>
        <w:ind w:left="340" w:hanging="335"/>
        <w:spacing w:after="0"/>
        <w:tabs>
          <w:tab w:leader="none" w:pos="34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shall be entitled to terminate this Agreement with immediate effect by giving notice to the Managers within a six (6) month period following a Manager Change of Control.</w:t>
      </w:r>
    </w:p>
    <w:p>
      <w:pPr>
        <w:spacing w:after="0" w:line="150" w:lineRule="exact"/>
        <w:rPr>
          <w:rFonts w:ascii="Times New Roman" w:cs="Times New Roman" w:eastAsia="Times New Roman" w:hAnsi="Times New Roman"/>
          <w:sz w:val="12"/>
          <w:szCs w:val="12"/>
          <w:color w:val="auto"/>
        </w:rPr>
      </w:pPr>
    </w:p>
    <w:p>
      <w:pPr>
        <w:jc w:val="both"/>
        <w:ind w:left="340" w:hanging="335"/>
        <w:spacing w:after="0" w:line="235" w:lineRule="auto"/>
        <w:tabs>
          <w:tab w:leader="none" w:pos="34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This Agreement shall terminate automatically in the event of an order being made or resolution passed for the winding up, dissolution, liquidation or bankruptcy of either Party (otherwise than for the purpose of reconstruction or amalgamation) or if a receiver or administrator is appointed, or if it suspends payment, ceases to carry on business or makes any special arrangement or composition with its creditors (any such event, an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w:t>
      </w:r>
    </w:p>
    <w:p>
      <w:pPr>
        <w:spacing w:after="0" w:line="116" w:lineRule="exact"/>
        <w:rPr>
          <w:rFonts w:ascii="Times New Roman" w:cs="Times New Roman" w:eastAsia="Times New Roman" w:hAnsi="Times New Roman"/>
          <w:sz w:val="12"/>
          <w:szCs w:val="12"/>
          <w:color w:val="auto"/>
        </w:rPr>
      </w:pPr>
    </w:p>
    <w:p>
      <w:pPr>
        <w:ind w:left="360" w:right="5140" w:hanging="355"/>
        <w:spacing w:after="0" w:line="529" w:lineRule="auto"/>
        <w:tabs>
          <w:tab w:leader="none" w:pos="346" w:val="left"/>
        </w:tabs>
        <w:numPr>
          <w:ilvl w:val="0"/>
          <w:numId w:val="14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addition, where the Managers provide Crew for the Vessel in accordance with Clause 5(a) (Crew Management): the Owners shall continue to pay Crew Support Costs during the said further period of ninety (90) days; and</w:t>
      </w:r>
    </w:p>
    <w:p>
      <w:pPr>
        <w:ind w:left="360"/>
        <w:spacing w:after="0"/>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the Owners shall pay an equitable proportion of any Severance Costs which may be incurred. The Managers shall use their reasonable endeavours to minimise such Severance Costs.</w:t>
      </w:r>
    </w:p>
    <w:p>
      <w:pPr>
        <w:spacing w:after="0" w:line="123" w:lineRule="exact"/>
        <w:rPr>
          <w:rFonts w:ascii="Times New Roman" w:cs="Times New Roman" w:eastAsia="Times New Roman" w:hAnsi="Times New Roman"/>
          <w:sz w:val="11"/>
          <w:szCs w:val="11"/>
          <w:color w:val="auto"/>
        </w:rPr>
      </w:pPr>
    </w:p>
    <w:p>
      <w:pPr>
        <w:jc w:val="both"/>
        <w:ind w:left="340" w:hanging="335"/>
        <w:spacing w:after="0" w:line="235" w:lineRule="auto"/>
        <w:tabs>
          <w:tab w:leader="none" w:pos="34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termination, for whatever reason, of this Agreement, the Managers shall arrange to deliver to Owners, if so requested, and upon reasonable notice, the originals where possible, or otherwise certified copies, of all contracts, charters and all documents specifically relating the Vessels and the Management Services provided under this Agreement. The Managers will ensure that such documents will be available for a period of two (2) years following the termination of this Agreement.</w:t>
      </w:r>
    </w:p>
    <w:p>
      <w:pPr>
        <w:spacing w:after="0" w:line="116" w:lineRule="exact"/>
        <w:rPr>
          <w:rFonts w:ascii="Times New Roman" w:cs="Times New Roman" w:eastAsia="Times New Roman" w:hAnsi="Times New Roman"/>
          <w:sz w:val="12"/>
          <w:szCs w:val="12"/>
          <w:color w:val="auto"/>
        </w:rPr>
      </w:pPr>
    </w:p>
    <w:p>
      <w:pPr>
        <w:jc w:val="both"/>
        <w:ind w:left="340" w:hanging="335"/>
        <w:spacing w:after="0" w:line="235" w:lineRule="auto"/>
        <w:tabs>
          <w:tab w:leader="none" w:pos="340" w:val="left"/>
        </w:tabs>
        <w:numPr>
          <w:ilvl w:val="0"/>
          <w:numId w:val="1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termination of this Agreement shall be without prejudice to all rights accrued between the Parties prior to the date of termination, including for the avoidance of doubt specifically the right of the Managers to receive the Management Fee (a) prior to the date of such termination and (b) in any event up to the expiry of the minimum contract period as per Box 18 provided that, in the event of termination of this Agreement for Cause by the Owners pursuant to clause 22 (e), no Management Fee shall be due or payable to the Managers hereunder for any period after the date of such termination.</w:t>
      </w:r>
    </w:p>
    <w:p>
      <w:pPr>
        <w:spacing w:after="0" w:line="12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426" w:right="299" w:bottom="1440" w:gutter="0" w:footer="0" w:header="0"/>
        </w:sectPr>
      </w:pPr>
    </w:p>
    <w:bookmarkStart w:id="184" w:name="page185"/>
    <w:bookmarkEnd w:id="184"/>
    <w:p>
      <w:pPr>
        <w:jc w:val="both"/>
        <w:ind w:left="660" w:hanging="335"/>
        <w:spacing w:after="0" w:line="238" w:lineRule="auto"/>
        <w:tabs>
          <w:tab w:leader="none" w:pos="660" w:val="left"/>
        </w:tabs>
        <w:numPr>
          <w:ilvl w:val="0"/>
          <w:numId w:val="1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addition to any other payments contemplated herein, </w:t>
      </w:r>
      <w:r>
        <w:rPr>
          <w:rFonts w:ascii="Times New Roman" w:cs="Times New Roman" w:eastAsia="Times New Roman" w:hAnsi="Times New Roman"/>
          <w:sz w:val="12"/>
          <w:szCs w:val="12"/>
          <w:b w:val="1"/>
          <w:bCs w:val="1"/>
          <w:i w:val="1"/>
          <w:iCs w:val="1"/>
          <w:color w:val="auto"/>
        </w:rPr>
        <w:t>(i)</w:t>
      </w:r>
      <w:r>
        <w:rPr>
          <w:rFonts w:ascii="Times New Roman" w:cs="Times New Roman" w:eastAsia="Times New Roman" w:hAnsi="Times New Roman"/>
          <w:sz w:val="12"/>
          <w:szCs w:val="12"/>
          <w:color w:val="auto"/>
        </w:rPr>
        <w:t xml:space="preserve"> if this Agreement is terminated by the Managers pursuant to any of Clauses 21(a), 21(b), 22(a), 22(b)(i), 22(b)(ii), 22(b)(iii), 22(c) or 22(g) or </w:t>
      </w:r>
      <w:r>
        <w:rPr>
          <w:rFonts w:ascii="Times New Roman" w:cs="Times New Roman" w:eastAsia="Times New Roman" w:hAnsi="Times New Roman"/>
          <w:sz w:val="12"/>
          <w:szCs w:val="12"/>
          <w:b w:val="1"/>
          <w:bCs w:val="1"/>
          <w:i w:val="1"/>
          <w:iCs w:val="1"/>
          <w:color w:val="auto"/>
        </w:rPr>
        <w:t>(ii)</w:t>
      </w:r>
      <w:r>
        <w:rPr>
          <w:rFonts w:ascii="Times New Roman" w:cs="Times New Roman" w:eastAsia="Times New Roman" w:hAnsi="Times New Roman"/>
          <w:sz w:val="12"/>
          <w:szCs w:val="12"/>
          <w:color w:val="auto"/>
        </w:rPr>
        <w:t xml:space="preserve"> if this Agreement terminates automatically pursuant to Clause 22(i) because of the Insolvency of the Owners, upon such termination the Managers shall be entitled to a lump sum payment in the amount set forth opposite such Clause reference in the following table:</w:t>
      </w: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520" w:type="dxa"/>
            <w:vAlign w:val="bottom"/>
            <w:tcBorders>
              <w:top w:val="single" w:sz="8" w:color="auto"/>
              <w:left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2"/>
                <w:szCs w:val="12"/>
                <w:color w:val="auto"/>
              </w:rPr>
              <w:t>Applicable Clause Reference</w:t>
            </w:r>
          </w:p>
        </w:tc>
        <w:tc>
          <w:tcPr>
            <w:tcW w:w="6780" w:type="dxa"/>
            <w:vAlign w:val="bottom"/>
            <w:tcBorders>
              <w:top w:val="single" w:sz="8" w:color="auto"/>
              <w:bottom w:val="single" w:sz="8" w:color="auto"/>
              <w:right w:val="single" w:sz="8" w:color="auto"/>
            </w:tcBorders>
            <w:shd w:val="clear" w:color="auto" w:fill="EEECE1"/>
          </w:tcPr>
          <w:p>
            <w:pPr>
              <w:ind w:left="20"/>
              <w:spacing w:after="0"/>
              <w:rPr>
                <w:sz w:val="20"/>
                <w:szCs w:val="20"/>
                <w:color w:val="auto"/>
              </w:rPr>
            </w:pPr>
            <w:r>
              <w:rPr>
                <w:rFonts w:ascii="Times New Roman" w:cs="Times New Roman" w:eastAsia="Times New Roman" w:hAnsi="Times New Roman"/>
                <w:sz w:val="12"/>
                <w:szCs w:val="12"/>
                <w:color w:val="auto"/>
              </w:rPr>
              <w:t>Termination Payment</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21(b)</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22(a)</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22(c)</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22(g)</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Seven (7) times the annual management fee payable hereunder at the time of such termination</w:t>
            </w:r>
          </w:p>
        </w:tc>
      </w:tr>
      <w:tr>
        <w:trPr>
          <w:trHeight w:val="133"/>
        </w:trPr>
        <w:tc>
          <w:tcPr>
            <w:tcW w:w="45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22(i)</w:t>
            </w:r>
          </w:p>
        </w:tc>
        <w:tc>
          <w:tcPr>
            <w:tcW w:w="6780" w:type="dxa"/>
            <w:vAlign w:val="bottom"/>
            <w:tcBorders>
              <w:bottom w:val="single" w:sz="8" w:color="auto"/>
              <w:right w:val="single" w:sz="8" w:color="auto"/>
            </w:tcBorders>
          </w:tcPr>
          <w:p>
            <w:pPr>
              <w:ind w:left="6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412"/>
        </w:trPr>
        <w:tc>
          <w:tcPr>
            <w:tcW w:w="4520" w:type="dxa"/>
            <w:vAlign w:val="bottom"/>
            <w:tcBorders>
              <w:bottom w:val="single" w:sz="8" w:color="auto"/>
            </w:tcBorders>
          </w:tcPr>
          <w:p>
            <w:pPr>
              <w:spacing w:after="0"/>
              <w:rPr>
                <w:sz w:val="24"/>
                <w:szCs w:val="24"/>
                <w:color w:val="auto"/>
              </w:rPr>
            </w:pPr>
          </w:p>
        </w:tc>
        <w:tc>
          <w:tcPr>
            <w:tcW w:w="6780" w:type="dxa"/>
            <w:vAlign w:val="bottom"/>
            <w:tcBorders>
              <w:bottom w:val="single" w:sz="8" w:color="auto"/>
            </w:tcBorders>
          </w:tcPr>
          <w:p>
            <w:pPr>
              <w:ind w:left="1060"/>
              <w:spacing w:after="0"/>
              <w:rPr>
                <w:sz w:val="20"/>
                <w:szCs w:val="20"/>
                <w:color w:val="auto"/>
              </w:rPr>
            </w:pPr>
            <w:r>
              <w:rPr>
                <w:rFonts w:ascii="Times New Roman" w:cs="Times New Roman" w:eastAsia="Times New Roman" w:hAnsi="Times New Roman"/>
                <w:sz w:val="12"/>
                <w:szCs w:val="12"/>
                <w:color w:val="auto"/>
              </w:rPr>
              <w:t>17</w:t>
            </w:r>
          </w:p>
        </w:tc>
      </w:tr>
    </w:tbl>
    <w:p>
      <w:pPr>
        <w:sectPr>
          <w:pgSz w:w="11900" w:h="16838" w:orient="portrait"/>
          <w:cols w:equalWidth="0" w:num="1">
            <w:col w:w="11300"/>
          </w:cols>
          <w:pgMar w:left="300" w:top="566" w:right="299" w:bottom="1440" w:gutter="0" w:footer="0" w:header="0"/>
        </w:sectPr>
      </w:pPr>
    </w:p>
    <w:bookmarkStart w:id="185" w:name="page186"/>
    <w:bookmarkEnd w:id="185"/>
    <w:p>
      <w:pPr>
        <w:jc w:val="both"/>
        <w:ind w:left="1340" w:right="20" w:hanging="335"/>
        <w:spacing w:after="0" w:line="238" w:lineRule="auto"/>
        <w:tabs>
          <w:tab w:leader="none" w:pos="1340" w:val="left"/>
        </w:tabs>
        <w:numPr>
          <w:ilvl w:val="0"/>
          <w:numId w:val="1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any other payments contemplated herein</w:t>
      </w:r>
      <w:r>
        <w:rPr>
          <w:rFonts w:ascii="Times New Roman" w:cs="Times New Roman" w:eastAsia="Times New Roman" w:hAnsi="Times New Roman"/>
          <w:sz w:val="12"/>
          <w:szCs w:val="12"/>
          <w:b w:val="1"/>
          <w:bCs w:val="1"/>
          <w:i w:val="1"/>
          <w:iCs w:val="1"/>
          <w:color w:val="auto"/>
        </w:rPr>
        <w:t>, (i)</w:t>
      </w:r>
      <w:r>
        <w:rPr>
          <w:rFonts w:ascii="Times New Roman" w:cs="Times New Roman" w:eastAsia="Times New Roman" w:hAnsi="Times New Roman"/>
          <w:sz w:val="12"/>
          <w:szCs w:val="12"/>
          <w:color w:val="auto"/>
        </w:rPr>
        <w:t xml:space="preserve"> if this Agreement is terminated by the Owners pursuant to any of clauses 21(a), 21(b), 22(a), 22(b)(iii), 22(c), 22(e) or 22(h) , or </w:t>
      </w:r>
      <w:r>
        <w:rPr>
          <w:rFonts w:ascii="Times New Roman" w:cs="Times New Roman" w:eastAsia="Times New Roman" w:hAnsi="Times New Roman"/>
          <w:sz w:val="12"/>
          <w:szCs w:val="12"/>
          <w:b w:val="1"/>
          <w:bCs w:val="1"/>
          <w:i w:val="1"/>
          <w:iCs w:val="1"/>
          <w:color w:val="auto"/>
        </w:rPr>
        <w:t>(ii)</w:t>
      </w:r>
      <w:r>
        <w:rPr>
          <w:rFonts w:ascii="Times New Roman" w:cs="Times New Roman" w:eastAsia="Times New Roman" w:hAnsi="Times New Roman"/>
          <w:sz w:val="12"/>
          <w:szCs w:val="12"/>
          <w:color w:val="auto"/>
        </w:rPr>
        <w:t xml:space="preserve"> if this Agreement terminates automatically pursuant to clause 22(i) because of the Insolvency of the Managers, upon such termination the Managers shall be entitled to a lump sum payment in the amount set forth opposite such clause reference in the following table:</w:t>
      </w:r>
    </w:p>
    <w:p>
      <w:pPr>
        <w:spacing w:after="0" w:line="115"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4420" w:type="dxa"/>
            <w:vAlign w:val="bottom"/>
            <w:tcBorders>
              <w:top w:val="single" w:sz="8" w:color="auto"/>
              <w:left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2"/>
                <w:szCs w:val="12"/>
                <w:color w:val="auto"/>
              </w:rPr>
              <w:t>Applicable Clause Reference</w:t>
            </w:r>
          </w:p>
        </w:tc>
        <w:tc>
          <w:tcPr>
            <w:tcW w:w="6880" w:type="dxa"/>
            <w:vAlign w:val="bottom"/>
            <w:tcBorders>
              <w:top w:val="single" w:sz="8" w:color="auto"/>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2"/>
                <w:szCs w:val="12"/>
                <w:color w:val="auto"/>
              </w:rPr>
              <w:t>Termination Payment</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21(a)</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Seven (7) times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21(b)</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Six (6) times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22(a)</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22(b)(iii)</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50% of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22(c)</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One quarter of 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22(e)</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None</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22(h)</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The annual management fee payable hereunder at the time of such termination</w:t>
            </w:r>
          </w:p>
        </w:tc>
      </w:tr>
      <w:tr>
        <w:trPr>
          <w:trHeight w:val="133"/>
        </w:trPr>
        <w:tc>
          <w:tcPr>
            <w:tcW w:w="4420" w:type="dxa"/>
            <w:vAlign w:val="bottom"/>
            <w:tcBorders>
              <w:left w:val="single" w:sz="8" w:color="auto"/>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clause 22(i)</w:t>
            </w:r>
          </w:p>
        </w:tc>
        <w:tc>
          <w:tcPr>
            <w:tcW w:w="6880" w:type="dxa"/>
            <w:vAlign w:val="bottom"/>
            <w:tcBorders>
              <w:bottom w:val="single" w:sz="8" w:color="auto"/>
              <w:right w:val="single" w:sz="8" w:color="auto"/>
            </w:tcBorders>
          </w:tcPr>
          <w:p>
            <w:pPr>
              <w:ind w:left="100"/>
              <w:spacing w:after="0" w:line="133" w:lineRule="exact"/>
              <w:rPr>
                <w:sz w:val="20"/>
                <w:szCs w:val="20"/>
                <w:color w:val="auto"/>
              </w:rPr>
            </w:pPr>
            <w:r>
              <w:rPr>
                <w:rFonts w:ascii="Times New Roman" w:cs="Times New Roman" w:eastAsia="Times New Roman" w:hAnsi="Times New Roman"/>
                <w:sz w:val="12"/>
                <w:szCs w:val="12"/>
                <w:color w:val="auto"/>
              </w:rPr>
              <w:t>25% of the annual management fee payable hereunder at the time of such termination</w:t>
            </w:r>
          </w:p>
        </w:tc>
      </w:tr>
    </w:tbl>
    <w:p>
      <w:pPr>
        <w:spacing w:after="0" w:line="270" w:lineRule="exact"/>
        <w:rPr>
          <w:sz w:val="20"/>
          <w:szCs w:val="20"/>
          <w:color w:val="auto"/>
        </w:rPr>
      </w:pPr>
    </w:p>
    <w:p>
      <w:pPr>
        <w:ind w:left="300" w:hanging="245"/>
        <w:spacing w:after="0" w:line="206" w:lineRule="auto"/>
        <w:tabs>
          <w:tab w:leader="none" w:pos="300" w:val="left"/>
        </w:tabs>
        <w:numPr>
          <w:ilvl w:val="0"/>
          <w:numId w:val="1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Emission Trading Scheme Allowances</w:t>
      </w:r>
      <w:r>
        <w:rPr>
          <w:rFonts w:ascii="Times New Roman" w:cs="Times New Roman" w:eastAsia="Times New Roman" w:hAnsi="Times New Roman"/>
          <w:sz w:val="12"/>
          <w:szCs w:val="12"/>
          <w:color w:val="auto"/>
        </w:rPr>
        <w:t>. Effective 1</w:t>
      </w:r>
      <w:r>
        <w:rPr>
          <w:rFonts w:ascii="Times New Roman" w:cs="Times New Roman" w:eastAsia="Times New Roman" w:hAnsi="Times New Roman"/>
          <w:sz w:val="19"/>
          <w:szCs w:val="19"/>
          <w:color w:val="auto"/>
          <w:vertAlign w:val="superscript"/>
        </w:rPr>
        <w:t>st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January 2024 and notwithstanding any other provision in this Agreement, the Owners and the Managers (together the "Parties" and each individually a “Party”) agree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follows:</w:t>
      </w:r>
    </w:p>
    <w:p>
      <w:pPr>
        <w:spacing w:after="0" w:line="160" w:lineRule="exact"/>
        <w:rPr>
          <w:rFonts w:ascii="Times New Roman" w:cs="Times New Roman" w:eastAsia="Times New Roman" w:hAnsi="Times New Roman"/>
          <w:sz w:val="12"/>
          <w:szCs w:val="12"/>
          <w:b w:val="1"/>
          <w:bCs w:val="1"/>
          <w:color w:val="auto"/>
        </w:rPr>
      </w:pPr>
    </w:p>
    <w:p>
      <w:pPr>
        <w:ind w:left="320" w:right="520"/>
        <w:spacing w:after="0" w:line="46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“Emission Allowances” or “EUAs” means an allowance, credit, quota, permit or equivalent, representing a right of a vessel to emit a specified quantity of greenhouse gas emissions recognized by the Emission Scheme. “Emission Data” means data and records of the Vessel’s emissions in the form and manner necessary to calculate its Emission Allowances.</w:t>
      </w:r>
    </w:p>
    <w:p>
      <w:pPr>
        <w:ind w:left="320" w:right="2260"/>
        <w:spacing w:after="0" w:line="46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“Emission Scheme” means a greenhouse gas emissions trading scheme which for the purposes of this Clause shall mean the European Union Emissions Trading System (“EU ETS”). “Responsible Entity” means the party responsible for compliance under the Emission Scheme applicable to the Vessel by law and/or regulation.</w:t>
      </w:r>
    </w:p>
    <w:p>
      <w:pPr>
        <w:ind w:left="3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“Surrender Date” means 30 September 2025 and every 30 September thereafter (or as such date may be amended from time to time) which is the deadline for the surrender of Emission Allowances pursuant to the EU ETS</w:t>
      </w:r>
    </w:p>
    <w:p>
      <w:pPr>
        <w:spacing w:after="0" w:line="132" w:lineRule="exact"/>
        <w:rPr>
          <w:rFonts w:ascii="Times New Roman" w:cs="Times New Roman" w:eastAsia="Times New Roman" w:hAnsi="Times New Roman"/>
          <w:sz w:val="12"/>
          <w:szCs w:val="12"/>
          <w:b w:val="1"/>
          <w:bCs w:val="1"/>
          <w:color w:val="auto"/>
        </w:rPr>
      </w:pPr>
    </w:p>
    <w:p>
      <w:pPr>
        <w:ind w:left="320" w:right="80"/>
        <w:spacing w:after="0" w:line="26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shall be the Responsible Entity under EU ETS applicable to the Vessel and shall assume that responsibility by way of mandated authority between the Parties in accordance with such Emission Scheme (the “Mandate”). In consideration of the Managers accepting such responsibility, the following shall apply (also see the Appendix for the respective specific services to be provided by the Managers with regard to the EU ETS) :</w:t>
      </w:r>
    </w:p>
    <w:p>
      <w:pPr>
        <w:spacing w:after="0" w:line="101" w:lineRule="exact"/>
        <w:rPr>
          <w:rFonts w:ascii="Times New Roman" w:cs="Times New Roman" w:eastAsia="Times New Roman" w:hAnsi="Times New Roman"/>
          <w:sz w:val="12"/>
          <w:szCs w:val="12"/>
          <w:b w:val="1"/>
          <w:bCs w:val="1"/>
          <w:color w:val="auto"/>
        </w:rPr>
      </w:pPr>
    </w:p>
    <w:p>
      <w:pPr>
        <w:ind w:left="320" w:right="80" w:hanging="3"/>
        <w:spacing w:after="0" w:line="248" w:lineRule="auto"/>
        <w:tabs>
          <w:tab w:leader="none" w:pos="461"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provide the Owners with Emission Data together with the calculation of the Emission Allowances required at regular intervals to be agreed between the Parties. Such Emission Data shall be verified by an independent verifier, where and when applicable, at the Owners’ expense.</w:t>
      </w:r>
    </w:p>
    <w:p>
      <w:pPr>
        <w:spacing w:after="0" w:line="110" w:lineRule="exact"/>
        <w:rPr>
          <w:rFonts w:ascii="Times New Roman" w:cs="Times New Roman" w:eastAsia="Times New Roman" w:hAnsi="Times New Roman"/>
          <w:sz w:val="12"/>
          <w:szCs w:val="12"/>
          <w:color w:val="auto"/>
        </w:rPr>
      </w:pPr>
    </w:p>
    <w:p>
      <w:pPr>
        <w:ind w:left="500" w:hanging="183"/>
        <w:spacing w:after="0"/>
        <w:tabs>
          <w:tab w:leader="none" w:pos="500" w:val="left"/>
        </w:tabs>
        <w:numPr>
          <w:ilvl w:val="1"/>
          <w:numId w:val="1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monitor and report Emission Data to the administering authority (as determined by the EU) in accordance with the EU ETS as applicable to the Vessel.</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94" w:right="299" w:bottom="1440" w:gutter="0" w:footer="0" w:header="0"/>
        </w:sectPr>
      </w:pPr>
    </w:p>
    <w:bookmarkStart w:id="186" w:name="page187"/>
    <w:bookmarkEnd w:id="186"/>
    <w:p>
      <w:pPr>
        <w:jc w:val="both"/>
        <w:ind w:left="3" w:hanging="3"/>
        <w:spacing w:after="0" w:line="231" w:lineRule="auto"/>
        <w:tabs>
          <w:tab w:leader="none" w:pos="212"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Emission Allowances as calculated by the Managers shall be received by the Managers from the Owners or, if the governing charterparty at the material time so provides, from the Vessel’s charterers , in the Managers’ nominated Emission Scheme account as agreed between the Parties having taken into account any applicable respective agreement between the Owners and any charterer of the Vessel at any time but in any event not later than 20 days prior to the Surrender Date </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Notwithstanding that as between Owners and their charterers from time to time the obligation to provide EUAs is the charterers’ obligation, the primary responsibility for provision of EUAs to the Managers shall remain at all times with the Owners.</w:t>
      </w:r>
    </w:p>
    <w:p>
      <w:pPr>
        <w:spacing w:after="0" w:line="125" w:lineRule="exact"/>
        <w:rPr>
          <w:rFonts w:ascii="Times New Roman" w:cs="Times New Roman" w:eastAsia="Times New Roman" w:hAnsi="Times New Roman"/>
          <w:sz w:val="12"/>
          <w:szCs w:val="12"/>
          <w:color w:val="auto"/>
        </w:rPr>
      </w:pPr>
    </w:p>
    <w:p>
      <w:pPr>
        <w:jc w:val="both"/>
        <w:ind w:left="3" w:hanging="3"/>
        <w:spacing w:after="0" w:line="227" w:lineRule="auto"/>
        <w:tabs>
          <w:tab w:leader="none" w:pos="20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fourteen (14) days prior to termination of this Agreement, the Managers shall prepare and present to the Owners, in writing, (i) their estimates of the Emission Allowances due for the Vessel for the final month of validity of this Agreement, or part thereof, and, (ii) in any event, the total Emission Allowances (including estimated ones) applicable to the Vessel until the date on which the Managers shall cease to be the Responsible Entity by reason of such termination, save that where the Agreement is terminated in circumstances which do not allow the Managers fourteen (14) days’ notification, the Managers shall notify the Owners of the total Emission Allowances as soon as possible. Within three (3) days of notification by the Managers of the total Emission Allowances due to the Managers, but in any event not later than the termination of this Agreement, the Emission Allowances notified by the Managers shall be transferred by the Owners or on Owners’ behalf to the Managers. Owners shall fully indemnify the Managers against any liability which the Managers have for Emission Allowances, and such indemnity will survive any termination of this Agreement.</w:t>
      </w:r>
    </w:p>
    <w:p>
      <w:pPr>
        <w:spacing w:after="0" w:line="116" w:lineRule="exact"/>
        <w:rPr>
          <w:rFonts w:ascii="Times New Roman" w:cs="Times New Roman" w:eastAsia="Times New Roman" w:hAnsi="Times New Roman"/>
          <w:sz w:val="12"/>
          <w:szCs w:val="12"/>
          <w:color w:val="auto"/>
        </w:rPr>
      </w:pPr>
    </w:p>
    <w:p>
      <w:pPr>
        <w:ind w:left="3" w:hanging="3"/>
        <w:spacing w:after="0" w:line="248" w:lineRule="auto"/>
        <w:tabs>
          <w:tab w:leader="none" w:pos="181"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difference between (a) the Emission Allowances estimated according to subclause (iv) above and (b) the Emission Allowances actually due in respect of the Vessel as at the time and date of termination of this Agreement, shall be reconciled and settled between the Parties within ten (10) days after the termination of this Agreement.</w:t>
      </w:r>
    </w:p>
    <w:p>
      <w:pPr>
        <w:spacing w:after="0" w:line="110" w:lineRule="exact"/>
        <w:rPr>
          <w:rFonts w:ascii="Times New Roman" w:cs="Times New Roman" w:eastAsia="Times New Roman" w:hAnsi="Times New Roman"/>
          <w:sz w:val="12"/>
          <w:szCs w:val="12"/>
          <w:color w:val="auto"/>
        </w:rPr>
      </w:pPr>
    </w:p>
    <w:p>
      <w:pPr>
        <w:jc w:val="both"/>
        <w:ind w:left="3" w:hanging="3"/>
        <w:spacing w:after="0" w:line="241" w:lineRule="auto"/>
        <w:tabs>
          <w:tab w:leader="none" w:pos="209"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any doubt, the Owners shall always provide the Managers in a timely manner (and in any event as per the time context agreed in paragraph (iii) above), with the Emission Allowances required to fulfil the Managers’ obligations under EU ETS. It is expressly agreed that the Owners will immediately and without delay transfer to the Managers any Emission Allowances not transferred to them by the charterers of the Vessel at any time or otherwise authorize the Managers to purchase any such Emission Allowances on Owners’ behalf and at Owners’ cost after first having sent to the Managers sufficient funds as per Managers’ request.</w:t>
      </w:r>
    </w:p>
    <w:p>
      <w:pPr>
        <w:spacing w:after="0" w:line="115" w:lineRule="exact"/>
        <w:rPr>
          <w:rFonts w:ascii="Times New Roman" w:cs="Times New Roman" w:eastAsia="Times New Roman" w:hAnsi="Times New Roman"/>
          <w:sz w:val="12"/>
          <w:szCs w:val="12"/>
          <w:color w:val="auto"/>
        </w:rPr>
      </w:pPr>
    </w:p>
    <w:p>
      <w:pPr>
        <w:ind w:left="3" w:hanging="3"/>
        <w:spacing w:after="0" w:line="248" w:lineRule="auto"/>
        <w:tabs>
          <w:tab w:leader="none" w:pos="237"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surrender the Emission Allowances in accordance with the EU ETS as applicable to the Vessel, subject always to the Owners being/remaining responsible for providing such Emission Allowances to the Managers.</w:t>
      </w:r>
    </w:p>
    <w:p>
      <w:pPr>
        <w:spacing w:after="0" w:line="110" w:lineRule="exact"/>
        <w:rPr>
          <w:rFonts w:ascii="Times New Roman" w:cs="Times New Roman" w:eastAsia="Times New Roman" w:hAnsi="Times New Roman"/>
          <w:sz w:val="12"/>
          <w:szCs w:val="12"/>
          <w:color w:val="auto"/>
        </w:rPr>
      </w:pPr>
    </w:p>
    <w:p>
      <w:pPr>
        <w:ind w:left="3" w:hanging="3"/>
        <w:spacing w:after="0" w:line="248" w:lineRule="auto"/>
        <w:tabs>
          <w:tab w:leader="none" w:pos="266"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Emission Allowances transferred by the Owners or on Owners’ behalf to the Managers shall be held to the credit of the Owners (but not on trust) until surrendered by the Managers to the administering authority of the EU ETS applicable to the Vessel.</w:t>
      </w:r>
    </w:p>
    <w:p>
      <w:pPr>
        <w:spacing w:after="0" w:line="110" w:lineRule="exact"/>
        <w:rPr>
          <w:rFonts w:ascii="Times New Roman" w:cs="Times New Roman" w:eastAsia="Times New Roman" w:hAnsi="Times New Roman"/>
          <w:sz w:val="12"/>
          <w:szCs w:val="12"/>
          <w:color w:val="auto"/>
        </w:rPr>
      </w:pPr>
    </w:p>
    <w:p>
      <w:pPr>
        <w:ind w:left="3" w:hanging="3"/>
        <w:spacing w:after="0" w:line="248" w:lineRule="auto"/>
        <w:tabs>
          <w:tab w:leader="none" w:pos="209"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daily management fee shall be as per BOX 14. The Parties agree that as the EU ETS market standards evolve or in the event of a material change to them, they will periodically review the position and/or consider the changes and in good faith re-appraise the level of the Additional Fee and/or the provision of an adequate and acceptable security to the Managers.</w:t>
      </w:r>
    </w:p>
    <w:p>
      <w:pPr>
        <w:spacing w:after="0" w:line="110" w:lineRule="exact"/>
        <w:rPr>
          <w:rFonts w:ascii="Times New Roman" w:cs="Times New Roman" w:eastAsia="Times New Roman" w:hAnsi="Times New Roman"/>
          <w:sz w:val="12"/>
          <w:szCs w:val="12"/>
          <w:color w:val="auto"/>
        </w:rPr>
      </w:pPr>
    </w:p>
    <w:p>
      <w:pPr>
        <w:jc w:val="both"/>
        <w:ind w:left="3" w:hanging="3"/>
        <w:spacing w:after="0" w:line="227" w:lineRule="auto"/>
        <w:tabs>
          <w:tab w:leader="none" w:pos="174"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that the Managers shall act as the Responsible Entity with respect to vessels owned or operated by persons or entities other than the Owners, the Parent, or their respective Subsidiaries and to that effect the Managers may be found as non-compliant regarding the performance of EU ETS obligations as a consequence of such other vessels and / or owners regarding the performance of EU ETS obligations (“ Non Compliance Contagion Event”). In the event of a Non-Compliance Contagion Event, Owners will have the right to notify the Managers in writing and request them to remedy the Non-Compliance Contagion Event within (90) days (or such other greater period as the Parties may agree) following the receipt of such notice from the Owners. Provided that the Managers have been unable to remedy the Non- Compliance Contagion Event as required by the Owners, the Owners will have the right to revoke the Mandate and the Managers shall cease to be the Responsible Entity upon completion of all necessary administrative actions giving effect to such revocation, subject always to Owners providing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 For the avoidance of any doubt, any such Non-Compliance Contagion Event will never constitute or be construed as constituting a breach of this Agreement or as Managers’ failure to comply with their obligations under this Agreement in any manner whatsoever.</w:t>
      </w:r>
    </w:p>
    <w:p>
      <w:pPr>
        <w:spacing w:after="0" w:line="116" w:lineRule="exact"/>
        <w:rPr>
          <w:rFonts w:ascii="Times New Roman" w:cs="Times New Roman" w:eastAsia="Times New Roman" w:hAnsi="Times New Roman"/>
          <w:sz w:val="12"/>
          <w:szCs w:val="12"/>
          <w:color w:val="auto"/>
        </w:rPr>
      </w:pPr>
    </w:p>
    <w:p>
      <w:pPr>
        <w:jc w:val="both"/>
        <w:ind w:left="3" w:hanging="3"/>
        <w:spacing w:after="0" w:line="241" w:lineRule="auto"/>
        <w:tabs>
          <w:tab w:leader="none" w:pos="206" w:val="left"/>
        </w:tabs>
        <w:numPr>
          <w:ilvl w:val="0"/>
          <w:numId w:val="1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will have the right to revoke the Mandate at any time subject to notifying the Owners in writing and cooperating with the Owners to ensure a smooth change is effected for the Responsible Entity with regard to EU ETS. Owners will provide the Managers with all EUAs due and applicable to the Vessel as calculated by the Managers until the date such revocation becomes effective and the Managers cease to be the Responsible Entity. Such EUAs will be provided by the Owners to the Managers not later than five (5) days following the Managers provision to the Owners of the relevant EUAs calculations.</w:t>
      </w:r>
    </w:p>
    <w:p>
      <w:pPr>
        <w:spacing w:after="0" w:line="187"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3"/>
          </w:cols>
          <w:pgMar w:left="617" w:top="561" w:right="379" w:bottom="1440" w:gutter="0" w:footer="0" w:header="0"/>
        </w:sectPr>
      </w:pPr>
    </w:p>
    <w:bookmarkStart w:id="187" w:name="page188"/>
    <w:bookmarkEnd w:id="187"/>
    <w:p>
      <w:pPr>
        <w:ind w:left="245" w:hanging="245"/>
        <w:spacing w:after="0"/>
        <w:tabs>
          <w:tab w:leader="none" w:pos="245" w:val="left"/>
        </w:tabs>
        <w:numPr>
          <w:ilvl w:val="0"/>
          <w:numId w:val="1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FuelEU Maritime Clause for SHIPMAN 2024</w:t>
      </w:r>
    </w:p>
    <w:p>
      <w:pPr>
        <w:spacing w:after="0" w:line="150" w:lineRule="exact"/>
        <w:rPr>
          <w:rFonts w:ascii="Times New Roman" w:cs="Times New Roman" w:eastAsia="Times New Roman" w:hAnsi="Times New Roman"/>
          <w:sz w:val="12"/>
          <w:szCs w:val="12"/>
          <w:b w:val="1"/>
          <w:bCs w:val="1"/>
          <w:color w:val="auto"/>
        </w:rPr>
      </w:pPr>
    </w:p>
    <w:p>
      <w:pPr>
        <w:ind w:left="265"/>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Effective 1st January 2025 and notwithstanding any other provision under this Agreement, the Owners and the Managers (the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hereby agree as follows:</w:t>
      </w:r>
    </w:p>
    <w:p>
      <w:pPr>
        <w:spacing w:after="0" w:line="141" w:lineRule="exact"/>
        <w:rPr>
          <w:rFonts w:ascii="Times New Roman" w:cs="Times New Roman" w:eastAsia="Times New Roman" w:hAnsi="Times New Roman"/>
          <w:sz w:val="12"/>
          <w:szCs w:val="12"/>
          <w:b w:val="1"/>
          <w:bCs w:val="1"/>
          <w:color w:val="auto"/>
        </w:rPr>
      </w:pPr>
    </w:p>
    <w:p>
      <w:pPr>
        <w:ind w:left="265"/>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"Compliance Balance" </w:t>
      </w:r>
      <w:r>
        <w:rPr>
          <w:rFonts w:ascii="Times New Roman" w:cs="Times New Roman" w:eastAsia="Times New Roman" w:hAnsi="Times New Roman"/>
          <w:sz w:val="12"/>
          <w:szCs w:val="12"/>
          <w:color w:val="auto"/>
        </w:rPr>
        <w:t>means the measure of the Vessel's over- or under-compliance with regard to the limits of the yearly average GHG Intensity of the energy used on board by the Vessel during Voyages within the scope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FuelEU Maritime, which is calculated in accordance with Part A of Annex IV of FuelEU Maritime.</w:t>
      </w:r>
    </w:p>
    <w:p>
      <w:pPr>
        <w:spacing w:after="0" w:line="111" w:lineRule="exact"/>
        <w:rPr>
          <w:rFonts w:ascii="Times New Roman" w:cs="Times New Roman" w:eastAsia="Times New Roman" w:hAnsi="Times New Roman"/>
          <w:sz w:val="12"/>
          <w:szCs w:val="12"/>
          <w:b w:val="1"/>
          <w:bCs w:val="1"/>
          <w:color w:val="auto"/>
        </w:rPr>
      </w:pPr>
    </w:p>
    <w:p>
      <w:pPr>
        <w:ind w:left="265"/>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"Compliance Balance Statement" </w:t>
      </w:r>
      <w:r>
        <w:rPr>
          <w:rFonts w:ascii="Times New Roman" w:cs="Times New Roman" w:eastAsia="Times New Roman" w:hAnsi="Times New Roman"/>
          <w:sz w:val="12"/>
          <w:szCs w:val="12"/>
          <w:color w:val="auto"/>
        </w:rPr>
        <w:t>means the information and calculations for a Reporting Period, and including (without limitation) the Compliance Balance, as calculated and recorded by the Verifier as set out at Article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16(4) and Article 26 of Implementing Regulation 2024/2027.</w:t>
      </w:r>
    </w:p>
    <w:p>
      <w:pPr>
        <w:spacing w:after="0" w:line="111" w:lineRule="exact"/>
        <w:rPr>
          <w:rFonts w:ascii="Times New Roman" w:cs="Times New Roman" w:eastAsia="Times New Roman" w:hAnsi="Times New Roman"/>
          <w:sz w:val="12"/>
          <w:szCs w:val="12"/>
          <w:b w:val="1"/>
          <w:bCs w:val="1"/>
          <w:color w:val="auto"/>
        </w:rPr>
      </w:pPr>
    </w:p>
    <w:p>
      <w:pPr>
        <w:ind w:left="265"/>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Database” </w:t>
      </w:r>
      <w:r>
        <w:rPr>
          <w:rFonts w:ascii="Times New Roman" w:cs="Times New Roman" w:eastAsia="Times New Roman" w:hAnsi="Times New Roman"/>
          <w:sz w:val="12"/>
          <w:szCs w:val="12"/>
          <w:color w:val="auto"/>
        </w:rPr>
        <w:t>means any electronic database for the monitoring and recording of compliance with FuelEU Maritime established by the European Commission.</w:t>
      </w:r>
    </w:p>
    <w:p>
      <w:pPr>
        <w:spacing w:after="0" w:line="141" w:lineRule="exact"/>
        <w:rPr>
          <w:rFonts w:ascii="Times New Roman" w:cs="Times New Roman" w:eastAsia="Times New Roman" w:hAnsi="Times New Roman"/>
          <w:sz w:val="12"/>
          <w:szCs w:val="12"/>
          <w:b w:val="1"/>
          <w:bCs w:val="1"/>
          <w:color w:val="auto"/>
        </w:rPr>
      </w:pPr>
    </w:p>
    <w:p>
      <w:pPr>
        <w:ind w:left="265"/>
        <w:spacing w:after="0" w:line="27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Document of Compliance" </w:t>
      </w:r>
      <w:r>
        <w:rPr>
          <w:rFonts w:ascii="Times New Roman" w:cs="Times New Roman" w:eastAsia="Times New Roman" w:hAnsi="Times New Roman"/>
          <w:sz w:val="12"/>
          <w:szCs w:val="12"/>
          <w:color w:val="auto"/>
        </w:rPr>
        <w:t>means the document issued by a Verifier or, where applicable, the competent authority of the administering State, confirming that the Vessel has complied with FuelEU Maritime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Reporting Period.</w:t>
      </w:r>
    </w:p>
    <w:p>
      <w:pPr>
        <w:spacing w:after="0" w:line="102" w:lineRule="exact"/>
        <w:rPr>
          <w:rFonts w:ascii="Times New Roman" w:cs="Times New Roman" w:eastAsia="Times New Roman" w:hAnsi="Times New Roman"/>
          <w:sz w:val="12"/>
          <w:szCs w:val="12"/>
          <w:b w:val="1"/>
          <w:bCs w:val="1"/>
          <w:color w:val="auto"/>
        </w:rPr>
      </w:pPr>
    </w:p>
    <w:p>
      <w:pPr>
        <w:ind w:left="265"/>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Maritime" </w:t>
      </w:r>
      <w:r>
        <w:rPr>
          <w:rFonts w:ascii="Times New Roman" w:cs="Times New Roman" w:eastAsia="Times New Roman" w:hAnsi="Times New Roman"/>
          <w:sz w:val="12"/>
          <w:szCs w:val="12"/>
          <w:color w:val="auto"/>
        </w:rPr>
        <w:t>means Regulation (EU) 2023/1805 of the European Parliament and of the Council, governing the use of renewable and low-carbon fuels in maritime transport, and amending Directive 2009/16/EC 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amended from time to time, including all implementing acts and delegated acts and regulations.</w:t>
      </w:r>
    </w:p>
    <w:p>
      <w:pPr>
        <w:spacing w:after="0" w:line="111" w:lineRule="exact"/>
        <w:rPr>
          <w:rFonts w:ascii="Times New Roman" w:cs="Times New Roman" w:eastAsia="Times New Roman" w:hAnsi="Times New Roman"/>
          <w:sz w:val="12"/>
          <w:szCs w:val="12"/>
          <w:b w:val="1"/>
          <w:bCs w:val="1"/>
          <w:color w:val="auto"/>
        </w:rPr>
      </w:pPr>
    </w:p>
    <w:p>
      <w:pPr>
        <w:ind w:left="265"/>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Monitoring Plan" </w:t>
      </w:r>
      <w:r>
        <w:rPr>
          <w:rFonts w:ascii="Times New Roman" w:cs="Times New Roman" w:eastAsia="Times New Roman" w:hAnsi="Times New Roman"/>
          <w:sz w:val="12"/>
          <w:szCs w:val="12"/>
          <w:color w:val="auto"/>
        </w:rPr>
        <w:t>means the Vessel's monitoring plan in accordance with FuelEU Maritime.</w:t>
      </w:r>
    </w:p>
    <w:p>
      <w:pPr>
        <w:spacing w:after="0" w:line="141" w:lineRule="exact"/>
        <w:rPr>
          <w:rFonts w:ascii="Times New Roman" w:cs="Times New Roman" w:eastAsia="Times New Roman" w:hAnsi="Times New Roman"/>
          <w:sz w:val="12"/>
          <w:szCs w:val="12"/>
          <w:b w:val="1"/>
          <w:bCs w:val="1"/>
          <w:color w:val="auto"/>
        </w:rPr>
      </w:pPr>
    </w:p>
    <w:p>
      <w:pPr>
        <w:ind w:left="265" w:right="480"/>
        <w:spacing w:after="0" w:line="477"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Penalty” </w:t>
      </w:r>
      <w:r>
        <w:rPr>
          <w:rFonts w:ascii="Times New Roman" w:cs="Times New Roman" w:eastAsia="Times New Roman" w:hAnsi="Times New Roman"/>
          <w:sz w:val="12"/>
          <w:szCs w:val="12"/>
          <w:color w:val="auto"/>
        </w:rPr>
        <w:t>means the penalty in respect of a Reporting Period calculated in accordance with FuelEU Maritime taking into account, where applicable under this Clause, any multiplier as set out in Article 23(2).</w:t>
      </w:r>
      <w:r>
        <w:rPr>
          <w:rFonts w:ascii="Times New Roman" w:cs="Times New Roman" w:eastAsia="Times New Roman" w:hAnsi="Times New Roman"/>
          <w:sz w:val="12"/>
          <w:szCs w:val="12"/>
          <w:b w:val="1"/>
          <w:bCs w:val="1"/>
          <w:color w:val="auto"/>
        </w:rPr>
        <w:t xml:space="preserve"> "FuelEU Report" </w:t>
      </w:r>
      <w:r>
        <w:rPr>
          <w:rFonts w:ascii="Times New Roman" w:cs="Times New Roman" w:eastAsia="Times New Roman" w:hAnsi="Times New Roman"/>
          <w:sz w:val="12"/>
          <w:szCs w:val="12"/>
          <w:color w:val="auto"/>
        </w:rPr>
        <w:t>means a report as referred to in Article 15(3) submitted in respect of the Vessel and recorded in the FuelEU Database.</w:t>
      </w:r>
    </w:p>
    <w:p>
      <w:pPr>
        <w:ind w:left="265"/>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Services" </w:t>
      </w:r>
      <w:r>
        <w:rPr>
          <w:rFonts w:ascii="Times New Roman" w:cs="Times New Roman" w:eastAsia="Times New Roman" w:hAnsi="Times New Roman"/>
          <w:sz w:val="12"/>
          <w:szCs w:val="12"/>
          <w:color w:val="auto"/>
        </w:rPr>
        <w:t>means the services provided by the Managers to the Owners under this Clause in performance of the Agreement.</w:t>
      </w:r>
    </w:p>
    <w:p>
      <w:pPr>
        <w:spacing w:after="0" w:line="141" w:lineRule="exact"/>
        <w:rPr>
          <w:rFonts w:ascii="Times New Roman" w:cs="Times New Roman" w:eastAsia="Times New Roman" w:hAnsi="Times New Roman"/>
          <w:sz w:val="12"/>
          <w:szCs w:val="12"/>
          <w:b w:val="1"/>
          <w:bCs w:val="1"/>
          <w:color w:val="auto"/>
        </w:rPr>
      </w:pPr>
    </w:p>
    <w:p>
      <w:pPr>
        <w:ind w:left="265"/>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"FuelEU Verification Report" </w:t>
      </w:r>
      <w:r>
        <w:rPr>
          <w:rFonts w:ascii="Times New Roman" w:cs="Times New Roman" w:eastAsia="Times New Roman" w:hAnsi="Times New Roman"/>
          <w:sz w:val="12"/>
          <w:szCs w:val="12"/>
          <w:color w:val="auto"/>
        </w:rPr>
        <w:t>means a verification report as referred to in Article 16 in respect of either a FuelEU Report or Partial FuelEU Report which has been issued by the Verifier and recorded in the FuelEU Database.</w:t>
      </w:r>
    </w:p>
    <w:p>
      <w:pPr>
        <w:spacing w:after="0" w:line="141" w:lineRule="exact"/>
        <w:rPr>
          <w:rFonts w:ascii="Times New Roman" w:cs="Times New Roman" w:eastAsia="Times New Roman" w:hAnsi="Times New Roman"/>
          <w:sz w:val="12"/>
          <w:szCs w:val="12"/>
          <w:b w:val="1"/>
          <w:bCs w:val="1"/>
          <w:color w:val="auto"/>
        </w:rPr>
      </w:pPr>
    </w:p>
    <w:p>
      <w:pPr>
        <w:ind w:left="265"/>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“GHG Intensity” </w:t>
      </w:r>
      <w:r>
        <w:rPr>
          <w:rFonts w:ascii="Times New Roman" w:cs="Times New Roman" w:eastAsia="Times New Roman" w:hAnsi="Times New Roman"/>
          <w:sz w:val="12"/>
          <w:szCs w:val="12"/>
          <w:color w:val="auto"/>
        </w:rPr>
        <w:t>means the amount of GHG emissions per megajoule (MJ) of the fuels and energy, expressed in grams of CO2 equivalent units (gCO2eq/MJ), used on board the Vessel under the scope of FuelEU Maritime,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calculated in accordance with the methodology set out in Annex I of FuelEU Maritime.</w:t>
      </w:r>
    </w:p>
    <w:p>
      <w:pPr>
        <w:spacing w:after="0" w:line="111" w:lineRule="exact"/>
        <w:rPr>
          <w:rFonts w:ascii="Times New Roman" w:cs="Times New Roman" w:eastAsia="Times New Roman" w:hAnsi="Times New Roman"/>
          <w:sz w:val="12"/>
          <w:szCs w:val="12"/>
          <w:b w:val="1"/>
          <w:bCs w:val="1"/>
          <w:color w:val="auto"/>
        </w:rPr>
      </w:pPr>
    </w:p>
    <w:p>
      <w:pPr>
        <w:ind w:left="265" w:right="2500"/>
        <w:spacing w:after="0" w:line="52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1"/>
          <w:szCs w:val="11"/>
          <w:b w:val="1"/>
          <w:bCs w:val="1"/>
          <w:color w:val="auto"/>
        </w:rPr>
        <w:t xml:space="preserve">“Partial FuelEU Report” </w:t>
      </w:r>
      <w:r>
        <w:rPr>
          <w:rFonts w:ascii="Times New Roman" w:cs="Times New Roman" w:eastAsia="Times New Roman" w:hAnsi="Times New Roman"/>
          <w:sz w:val="11"/>
          <w:szCs w:val="11"/>
          <w:color w:val="auto"/>
        </w:rPr>
        <w:t>means a report for a Partial Reporting Period as referred to in Article 15(4) submitted in respect of the Vessel and recorded in the FuelEU Database.</w:t>
      </w:r>
      <w:r>
        <w:rPr>
          <w:rFonts w:ascii="Times New Roman" w:cs="Times New Roman" w:eastAsia="Times New Roman" w:hAnsi="Times New Roman"/>
          <w:sz w:val="11"/>
          <w:szCs w:val="11"/>
          <w:b w:val="1"/>
          <w:bCs w:val="1"/>
          <w:color w:val="auto"/>
        </w:rPr>
        <w:t xml:space="preserve"> “Partial Reporting Period” </w:t>
      </w:r>
      <w:r>
        <w:rPr>
          <w:rFonts w:ascii="Times New Roman" w:cs="Times New Roman" w:eastAsia="Times New Roman" w:hAnsi="Times New Roman"/>
          <w:sz w:val="11"/>
          <w:szCs w:val="11"/>
          <w:color w:val="auto"/>
        </w:rPr>
        <w:t>means a part of a Reporting Period where there is a change in the company (as defined in FuelEU Maritime) during the same calendar year.</w:t>
      </w:r>
    </w:p>
    <w:p>
      <w:pPr>
        <w:ind w:left="265"/>
        <w:spacing w:after="0" w:line="271"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"Pool Verifier" </w:t>
      </w:r>
      <w:r>
        <w:rPr>
          <w:rFonts w:ascii="Times New Roman" w:cs="Times New Roman" w:eastAsia="Times New Roman" w:hAnsi="Times New Roman"/>
          <w:sz w:val="12"/>
          <w:szCs w:val="12"/>
          <w:color w:val="auto"/>
        </w:rPr>
        <w:t>means the legal entity carrying out verification activities and accredited in accordance with FuelEU Maritime which has been selected to verify the allocation of the total pool compliance balances in a pool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including the Vessel, and which might not be the Verifier.</w:t>
      </w:r>
    </w:p>
    <w:p>
      <w:pPr>
        <w:spacing w:after="0" w:line="102" w:lineRule="exact"/>
        <w:rPr>
          <w:rFonts w:ascii="Times New Roman" w:cs="Times New Roman" w:eastAsia="Times New Roman" w:hAnsi="Times New Roman"/>
          <w:sz w:val="12"/>
          <w:szCs w:val="12"/>
          <w:b w:val="1"/>
          <w:bCs w:val="1"/>
          <w:color w:val="auto"/>
        </w:rPr>
      </w:pPr>
    </w:p>
    <w:p>
      <w:pPr>
        <w:ind w:left="265" w:right="2920"/>
        <w:spacing w:after="0" w:line="48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"Reporting Period" </w:t>
      </w:r>
      <w:r>
        <w:rPr>
          <w:rFonts w:ascii="Times New Roman" w:cs="Times New Roman" w:eastAsia="Times New Roman" w:hAnsi="Times New Roman"/>
          <w:sz w:val="12"/>
          <w:szCs w:val="12"/>
          <w:color w:val="auto"/>
        </w:rPr>
        <w:t>means a period from 1 January to 31 December of the year during which information referred to in FuelEU Maritime is monitored and recorded.</w:t>
      </w:r>
      <w:r>
        <w:rPr>
          <w:rFonts w:ascii="Times New Roman" w:cs="Times New Roman" w:eastAsia="Times New Roman" w:hAnsi="Times New Roman"/>
          <w:sz w:val="12"/>
          <w:szCs w:val="12"/>
          <w:b w:val="1"/>
          <w:bCs w:val="1"/>
          <w:color w:val="auto"/>
        </w:rPr>
        <w:t xml:space="preserve"> “Verification Period” </w:t>
      </w:r>
      <w:r>
        <w:rPr>
          <w:rFonts w:ascii="Times New Roman" w:cs="Times New Roman" w:eastAsia="Times New Roman" w:hAnsi="Times New Roman"/>
          <w:sz w:val="12"/>
          <w:szCs w:val="12"/>
          <w:color w:val="auto"/>
        </w:rPr>
        <w:t>means the calendar year following a Reporting Period.</w:t>
      </w:r>
    </w:p>
    <w:p>
      <w:pPr>
        <w:jc w:val="both"/>
        <w:ind w:left="265"/>
        <w:spacing w:after="0" w:line="238"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"Verified Compliance Balance" </w:t>
      </w:r>
      <w:r>
        <w:rPr>
          <w:rFonts w:ascii="Times New Roman" w:cs="Times New Roman" w:eastAsia="Times New Roman" w:hAnsi="Times New Roman"/>
          <w:sz w:val="12"/>
          <w:szCs w:val="12"/>
          <w:color w:val="auto"/>
        </w:rPr>
        <w:t>means the Compliance Balance verified by the Verifier (and the Pool Verifier, as applicable) and recorded in the FuelEU Database in respect of a Reporting Period after accounting for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application (as applicable) of the banking of the Vessel's compliance surplus or borrowing of an advance compliance surplus between Reporting Periods under Article 20 or the pooling of the Compliance Balance under Article 21.</w:t>
      </w:r>
    </w:p>
    <w:p>
      <w:pPr>
        <w:spacing w:after="0" w:line="111" w:lineRule="exact"/>
        <w:rPr>
          <w:rFonts w:ascii="Times New Roman" w:cs="Times New Roman" w:eastAsia="Times New Roman" w:hAnsi="Times New Roman"/>
          <w:sz w:val="12"/>
          <w:szCs w:val="12"/>
          <w:b w:val="1"/>
          <w:bCs w:val="1"/>
          <w:color w:val="auto"/>
        </w:rPr>
      </w:pPr>
    </w:p>
    <w:p>
      <w:pPr>
        <w:ind w:left="265"/>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“Verifier” </w:t>
      </w:r>
      <w:r>
        <w:rPr>
          <w:rFonts w:ascii="Times New Roman" w:cs="Times New Roman" w:eastAsia="Times New Roman" w:hAnsi="Times New Roman"/>
          <w:sz w:val="12"/>
          <w:szCs w:val="12"/>
          <w:color w:val="auto"/>
        </w:rPr>
        <w:t>means the legal entity carrying out verification activities and accredited in accordance with FuelEU Maritime which has been mutually agreed between the Owners and the Managers to verify the relevant information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data of the Vessel relevant to the FuelEU Database and produce the FuelEU Verification Reports, Compliance Balance Statement and the Verified Compliance Balance(other than in respect of pooling).</w:t>
      </w:r>
    </w:p>
    <w:p>
      <w:pPr>
        <w:spacing w:after="0" w:line="111" w:lineRule="exact"/>
        <w:rPr>
          <w:rFonts w:ascii="Times New Roman" w:cs="Times New Roman" w:eastAsia="Times New Roman" w:hAnsi="Times New Roman"/>
          <w:sz w:val="12"/>
          <w:szCs w:val="12"/>
          <w:b w:val="1"/>
          <w:bCs w:val="1"/>
          <w:color w:val="auto"/>
        </w:rPr>
      </w:pPr>
    </w:p>
    <w:p>
      <w:pPr>
        <w:ind w:left="265"/>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“Voyage” </w:t>
      </w:r>
      <w:r>
        <w:rPr>
          <w:rFonts w:ascii="Times New Roman" w:cs="Times New Roman" w:eastAsia="Times New Roman" w:hAnsi="Times New Roman"/>
          <w:sz w:val="12"/>
          <w:szCs w:val="12"/>
          <w:color w:val="auto"/>
        </w:rPr>
        <w:t>means a voyage as defined in Article 3, point (c), of Regulation (EU) 2015/757.</w:t>
      </w:r>
    </w:p>
    <w:p>
      <w:pPr>
        <w:spacing w:after="0" w:line="208" w:lineRule="exact"/>
        <w:rPr>
          <w:sz w:val="20"/>
          <w:szCs w:val="20"/>
          <w:color w:val="auto"/>
        </w:rPr>
      </w:pPr>
    </w:p>
    <w:p>
      <w:pPr>
        <w:jc w:val="center"/>
        <w:ind w:right="-24"/>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10795</wp:posOffset>
            </wp:positionV>
            <wp:extent cx="717804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5"/>
          </w:cols>
          <w:pgMar w:left="355" w:top="557" w:right="379" w:bottom="1440" w:gutter="0" w:footer="0" w:header="0"/>
        </w:sectPr>
      </w:pPr>
    </w:p>
    <w:bookmarkStart w:id="188" w:name="page189"/>
    <w:bookmarkEnd w:id="188"/>
    <w:p>
      <w:pPr>
        <w:ind w:left="3"/>
        <w:spacing w:after="0"/>
        <w:rPr>
          <w:sz w:val="20"/>
          <w:szCs w:val="20"/>
          <w:color w:val="auto"/>
        </w:rPr>
      </w:pPr>
      <w:r>
        <w:rPr>
          <w:rFonts w:ascii="Times New Roman" w:cs="Times New Roman" w:eastAsia="Times New Roman" w:hAnsi="Times New Roman"/>
          <w:sz w:val="12"/>
          <w:szCs w:val="12"/>
          <w:color w:val="auto"/>
        </w:rPr>
        <w:t>Unless specified otherwise, references to Articles and Annexes in this Clause are to those provided for in FuelEU Maritime.</w:t>
      </w:r>
    </w:p>
    <w:p>
      <w:pPr>
        <w:spacing w:after="0" w:line="141" w:lineRule="exact"/>
        <w:rPr>
          <w:sz w:val="20"/>
          <w:szCs w:val="20"/>
          <w:color w:val="auto"/>
        </w:rPr>
      </w:pPr>
    </w:p>
    <w:p>
      <w:pPr>
        <w:ind w:left="163" w:hanging="163"/>
        <w:spacing w:after="0"/>
        <w:tabs>
          <w:tab w:leader="none" w:pos="163"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that the Vessel is required to comply with FuelEU Maritime and that the Managers shall be the responsible compliance entity for the Vessel in accordance with FuelEU Maritime.</w:t>
      </w:r>
    </w:p>
    <w:p>
      <w:pPr>
        <w:spacing w:after="0" w:line="141" w:lineRule="exact"/>
        <w:rPr>
          <w:rFonts w:ascii="Times New Roman" w:cs="Times New Roman" w:eastAsia="Times New Roman" w:hAnsi="Times New Roman"/>
          <w:sz w:val="12"/>
          <w:szCs w:val="12"/>
          <w:color w:val="auto"/>
        </w:rPr>
      </w:pPr>
    </w:p>
    <w:p>
      <w:pPr>
        <w:jc w:val="both"/>
        <w:ind w:left="3" w:hanging="3"/>
        <w:spacing w:after="0" w:line="235" w:lineRule="auto"/>
        <w:tabs>
          <w:tab w:leader="none" w:pos="174"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Delivery occurs after 1 January 2025, the Owners shall, by no later than 10 days (or as otherwise the Parties may agree) prior to Delivery, provide the Managers with estimates of all relevant underlying information and data to be contained in a Partial FuelEU Report (where applicable) which shall be complete to the best of the Owners' knowledge together with any relevant information recorded in the FuelEU Database including the previous two Reporting Periods (where applicable). Thereafter, the Owners shall provide to the Managers a copy of the Partial FuelEU Report no later than one month after Delivery and the corresponding FuelEU Verification Report together with any supporting information, verification assessment(s), data and documentation latest seven (7) days after receipt from the Verifier.</w:t>
      </w:r>
    </w:p>
    <w:p>
      <w:pPr>
        <w:spacing w:after="0" w:line="125" w:lineRule="exact"/>
        <w:rPr>
          <w:rFonts w:ascii="Times New Roman" w:cs="Times New Roman" w:eastAsia="Times New Roman" w:hAnsi="Times New Roman"/>
          <w:sz w:val="12"/>
          <w:szCs w:val="12"/>
          <w:color w:val="auto"/>
        </w:rPr>
      </w:pPr>
    </w:p>
    <w:p>
      <w:pPr>
        <w:jc w:val="both"/>
        <w:ind w:left="3" w:hanging="3"/>
        <w:spacing w:after="0" w:line="235" w:lineRule="auto"/>
        <w:tabs>
          <w:tab w:leader="none" w:pos="175"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consultation with the Owners, the Managers shall prepare and submit a FuelEU Monitoring Plan for the Verifier’s approval. The Managers shall review the FuelEU Monitoring Plan regularly and if necessary, update and/or modify it. The Owners shall promptly notify the Managers if any fuels or energy to be supplied to the Vessel are not reflected in the FuelEU Monitoring Plan following which the Managers shall promptly seek to update and/or modify and re-submit the FuelEU Monitoring Plan to the Verifier for approval.</w:t>
      </w:r>
    </w:p>
    <w:p>
      <w:pPr>
        <w:spacing w:after="0" w:line="125" w:lineRule="exact"/>
        <w:rPr>
          <w:rFonts w:ascii="Times New Roman" w:cs="Times New Roman" w:eastAsia="Times New Roman" w:hAnsi="Times New Roman"/>
          <w:sz w:val="12"/>
          <w:szCs w:val="12"/>
          <w:color w:val="auto"/>
        </w:rPr>
      </w:pPr>
    </w:p>
    <w:p>
      <w:pPr>
        <w:jc w:val="both"/>
        <w:ind w:left="3" w:hanging="3"/>
        <w:spacing w:after="0" w:line="231" w:lineRule="auto"/>
        <w:tabs>
          <w:tab w:leader="none" w:pos="179"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provide to the Managers: (i) bunker delivery notes (BDNs) and electricity delivery notes (EDNs) for fuels and energy supplied to the Vessel; and if applicable, (ii) any associated documentation and/or certification recognised under FuelEU Maritime to the satisfaction of the Verifier in order to meet the sustainability and GHG emissions saving criteria set out under FuelEU Maritime and to obtain any benefit when applying the emission factors set out in Annex II and calculating the GHG Intensity. The Managers shall be entitled to rely on and accept no responsibility for the accuracy of the data and information recorded in any of the BDNs, EDNs and in any associated documentation and/or certification which are to be submitted to the Verifier as well as for the Owners' failure to supply the same.</w:t>
      </w:r>
    </w:p>
    <w:p>
      <w:pPr>
        <w:spacing w:after="0" w:line="125"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on a monthly basis provide to the Owners, together with all supporting calculations, the estimates of:</w:t>
      </w:r>
    </w:p>
    <w:p>
      <w:pPr>
        <w:spacing w:after="0" w:line="132" w:lineRule="exact"/>
        <w:rPr>
          <w:rFonts w:ascii="Times New Roman" w:cs="Times New Roman" w:eastAsia="Times New Roman" w:hAnsi="Times New Roman"/>
          <w:sz w:val="12"/>
          <w:szCs w:val="12"/>
          <w:color w:val="auto"/>
        </w:rPr>
      </w:pPr>
    </w:p>
    <w:p>
      <w:pPr>
        <w:ind w:left="663" w:hanging="137"/>
        <w:spacing w:after="0"/>
        <w:tabs>
          <w:tab w:leader="none" w:pos="663"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aggregated Compliance Balance of the Vessel incurred in the then current Reporting Period; and</w:t>
      </w:r>
    </w:p>
    <w:p>
      <w:pPr>
        <w:spacing w:after="0" w:line="141" w:lineRule="exact"/>
        <w:rPr>
          <w:rFonts w:ascii="Times New Roman" w:cs="Times New Roman" w:eastAsia="Times New Roman" w:hAnsi="Times New Roman"/>
          <w:sz w:val="12"/>
          <w:szCs w:val="12"/>
          <w:color w:val="auto"/>
        </w:rPr>
      </w:pPr>
    </w:p>
    <w:p>
      <w:pPr>
        <w:jc w:val="both"/>
        <w:ind w:left="523" w:right="460" w:firstLine="3"/>
        <w:spacing w:after="0" w:line="235" w:lineRule="auto"/>
        <w:tabs>
          <w:tab w:leader="none" w:pos="710"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the projected aggregated Compliance Balance taking into account any banked compliance surplus or advance compliance surplus borrowed from a previous Reporting Period based on information and documentation available at that point in time. Any estimates of the aggregated Compliance Balance as set out in subclause (e)(i) shall be validated by a third party if required by the Owners at their expense.</w:t>
      </w:r>
    </w:p>
    <w:p>
      <w:pPr>
        <w:spacing w:after="0" w:line="125" w:lineRule="exact"/>
        <w:rPr>
          <w:rFonts w:ascii="Times New Roman" w:cs="Times New Roman" w:eastAsia="Times New Roman" w:hAnsi="Times New Roman"/>
          <w:sz w:val="12"/>
          <w:szCs w:val="12"/>
          <w:color w:val="auto"/>
        </w:rPr>
      </w:pPr>
    </w:p>
    <w:p>
      <w:pPr>
        <w:ind w:left="3" w:hanging="3"/>
        <w:spacing w:after="0" w:line="248" w:lineRule="auto"/>
        <w:tabs>
          <w:tab w:leader="none" w:pos="151"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continuously monitor and record the Vessel's GHG Intensity and all other relevant information and data required under FuelEU Maritime during a Reporting Period and shall promptly provide the Verifier with a FuelEU Report (or, where applicable, a Partial FuelEU Report) in accordance with FuelEU Maritime together with all supporting documents and information as requested by the Verifier.</w:t>
      </w:r>
    </w:p>
    <w:p>
      <w:pPr>
        <w:spacing w:after="0" w:line="119" w:lineRule="exact"/>
        <w:rPr>
          <w:rFonts w:ascii="Times New Roman" w:cs="Times New Roman" w:eastAsia="Times New Roman" w:hAnsi="Times New Roman"/>
          <w:sz w:val="12"/>
          <w:szCs w:val="12"/>
          <w:color w:val="auto"/>
        </w:rPr>
      </w:pPr>
    </w:p>
    <w:p>
      <w:pPr>
        <w:ind w:left="3" w:hanging="3"/>
        <w:spacing w:after="0" w:line="248" w:lineRule="auto"/>
        <w:tabs>
          <w:tab w:leader="none" w:pos="176"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promptly notify the Owners of the outcome of the verification of the FuelEU Report (or, where applicable, a Partial FuelEU Report) by the Verifier and provide the Owners with a copy of the FuelEU Verification Report together with the Compliance Balance Statement when available.</w:t>
      </w:r>
    </w:p>
    <w:p>
      <w:pPr>
        <w:spacing w:after="0" w:line="119" w:lineRule="exact"/>
        <w:rPr>
          <w:rFonts w:ascii="Times New Roman" w:cs="Times New Roman" w:eastAsia="Times New Roman" w:hAnsi="Times New Roman"/>
          <w:sz w:val="12"/>
          <w:szCs w:val="12"/>
          <w:color w:val="auto"/>
        </w:rPr>
      </w:pPr>
    </w:p>
    <w:p>
      <w:pPr>
        <w:jc w:val="both"/>
        <w:ind w:left="3" w:hanging="3"/>
        <w:spacing w:after="0" w:line="235" w:lineRule="auto"/>
        <w:tabs>
          <w:tab w:leader="none" w:pos="182"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this Agreement is terminated, the Managers shall, by no later than 10 days (or as otherwise the Parties may agree) prior to the Vessel's date of redelivery, provide the Owners upon request with estimates of the underlying information and data to be contained in a Partial FuelEU Report together with any relevant information recorded on the FuelEU Database. Thereafter, the Managers shall provide to the Owners a copy of the Partial FuelEU Report no later than one month after redelivery and the corresponding FuelEU Verification Report together with any supporting information, verification assessment(s), data and documentation latest seven (7) days after receipt from the Verifier.</w:t>
      </w:r>
    </w:p>
    <w:p>
      <w:pPr>
        <w:spacing w:after="0" w:line="116" w:lineRule="exact"/>
        <w:rPr>
          <w:rFonts w:ascii="Times New Roman" w:cs="Times New Roman" w:eastAsia="Times New Roman" w:hAnsi="Times New Roman"/>
          <w:sz w:val="12"/>
          <w:szCs w:val="12"/>
          <w:color w:val="auto"/>
        </w:rPr>
      </w:pPr>
    </w:p>
    <w:p>
      <w:pPr>
        <w:ind w:left="143" w:hanging="143"/>
        <w:spacing w:after="0"/>
        <w:tabs>
          <w:tab w:leader="none" w:pos="143"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periodically monitor the Managers' potential exposure to a FuelEU Penalty for the Vessel.</w:t>
      </w:r>
    </w:p>
    <w:p>
      <w:pPr>
        <w:spacing w:after="0" w:line="285" w:lineRule="exact"/>
        <w:rPr>
          <w:rFonts w:ascii="Times New Roman" w:cs="Times New Roman" w:eastAsia="Times New Roman" w:hAnsi="Times New Roman"/>
          <w:sz w:val="12"/>
          <w:szCs w:val="12"/>
          <w:color w:val="auto"/>
        </w:rPr>
      </w:pPr>
    </w:p>
    <w:p>
      <w:pPr>
        <w:ind w:left="143" w:hanging="143"/>
        <w:spacing w:after="0"/>
        <w:tabs>
          <w:tab w:leader="none" w:pos="143" w:val="left"/>
        </w:tabs>
        <w:numPr>
          <w:ilvl w:val="0"/>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each Compliance Balance Statement:</w:t>
      </w:r>
    </w:p>
    <w:p>
      <w:pPr>
        <w:spacing w:after="0" w:line="132" w:lineRule="exact"/>
        <w:rPr>
          <w:rFonts w:ascii="Times New Roman" w:cs="Times New Roman" w:eastAsia="Times New Roman" w:hAnsi="Times New Roman"/>
          <w:sz w:val="12"/>
          <w:szCs w:val="12"/>
          <w:color w:val="auto"/>
        </w:rPr>
      </w:pPr>
    </w:p>
    <w:p>
      <w:pPr>
        <w:jc w:val="both"/>
        <w:ind w:left="523" w:right="460" w:firstLine="3"/>
        <w:spacing w:after="0" w:line="235" w:lineRule="auto"/>
        <w:tabs>
          <w:tab w:leader="none" w:pos="671" w:val="left"/>
        </w:tabs>
        <w:numPr>
          <w:ilvl w:val="1"/>
          <w:numId w:val="1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in writing by the Parties, it is expressly understood that any rights, ownership, entitlements and decisions in respect of the banking, borrowing and pooling (if applicable) of the Compliance Balance, as well as to the identity and appointment of the Pool Verifier (as applicable) shall vest exclusively in the Owners (or the Owners' nominee) who shall be at liberty to direct, control and allocate the Compliance Balance as they see fit in accordance with FuelEU Maritime.</w:t>
      </w:r>
    </w:p>
    <w:p>
      <w:pPr>
        <w:spacing w:after="0" w:line="198"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3"/>
          </w:cols>
          <w:pgMar w:left="617" w:top="561" w:right="379" w:bottom="1440" w:gutter="0" w:footer="0" w:header="0"/>
        </w:sectPr>
      </w:pPr>
    </w:p>
    <w:bookmarkStart w:id="189" w:name="page190"/>
    <w:bookmarkEnd w:id="189"/>
    <w:p>
      <w:pPr>
        <w:ind w:left="780" w:right="540" w:firstLine="3"/>
        <w:spacing w:after="0" w:line="248" w:lineRule="auto"/>
        <w:tabs>
          <w:tab w:leader="none" w:pos="959"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later than 10 days (or as otherwise the Parties may agree) prior to 30 April of the Verification Period, the Owners shall provide instructions and directions to the Managers as to the application and/or allocation of the Compliance Balance in respect of borrowing, banking and/or pooling (if applicable) as well as to the identity and appointment of the Pool Verifier.</w:t>
      </w:r>
    </w:p>
    <w:p>
      <w:pPr>
        <w:spacing w:after="0" w:line="110" w:lineRule="exact"/>
        <w:rPr>
          <w:rFonts w:ascii="Times New Roman" w:cs="Times New Roman" w:eastAsia="Times New Roman" w:hAnsi="Times New Roman"/>
          <w:sz w:val="12"/>
          <w:szCs w:val="12"/>
          <w:color w:val="auto"/>
        </w:rPr>
      </w:pPr>
    </w:p>
    <w:p>
      <w:pPr>
        <w:ind w:left="1000" w:hanging="217"/>
        <w:spacing w:after="0"/>
        <w:tabs>
          <w:tab w:leader="none" w:pos="100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promptly follow the Owners' instructions and directions in respect of borrowing, banking and/or pooling of the Compliance Balance in accordance with subclause (j)(ii).</w:t>
      </w:r>
    </w:p>
    <w:p>
      <w:pPr>
        <w:spacing w:after="0" w:line="132" w:lineRule="exact"/>
        <w:rPr>
          <w:rFonts w:ascii="Times New Roman" w:cs="Times New Roman" w:eastAsia="Times New Roman" w:hAnsi="Times New Roman"/>
          <w:sz w:val="12"/>
          <w:szCs w:val="12"/>
          <w:color w:val="auto"/>
        </w:rPr>
      </w:pPr>
    </w:p>
    <w:p>
      <w:pPr>
        <w:ind w:left="780" w:right="540" w:firstLine="3"/>
        <w:spacing w:after="0" w:line="264" w:lineRule="auto"/>
        <w:tabs>
          <w:tab w:leader="none" w:pos="993"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bear the risk, liability, benefit and costs arising out of or in connection with the afore-mentioned instructions and directions including any failure to provide such instructions and directions under this subclause (j).</w:t>
      </w:r>
    </w:p>
    <w:p>
      <w:pPr>
        <w:spacing w:after="0" w:line="101"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1"/>
          <w:numId w:val="1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Once the Verified Compliance Balance is available, it shall be communicated by the Managers to the Owners as soon as reasonably practicable.</w:t>
      </w:r>
    </w:p>
    <w:p>
      <w:pPr>
        <w:spacing w:after="0" w:line="141" w:lineRule="exact"/>
        <w:rPr>
          <w:rFonts w:ascii="Times New Roman" w:cs="Times New Roman" w:eastAsia="Times New Roman" w:hAnsi="Times New Roman"/>
          <w:sz w:val="12"/>
          <w:szCs w:val="12"/>
          <w:color w:val="auto"/>
        </w:rPr>
      </w:pPr>
    </w:p>
    <w:p>
      <w:pPr>
        <w:ind w:left="420" w:hanging="163"/>
        <w:spacing w:after="0"/>
        <w:tabs>
          <w:tab w:leader="none" w:pos="42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in respect of the Verified Compliance Balance, it is determined under FuelEU Maritime that:</w:t>
      </w:r>
    </w:p>
    <w:p>
      <w:pPr>
        <w:spacing w:after="0" w:line="132" w:lineRule="exact"/>
        <w:rPr>
          <w:rFonts w:ascii="Times New Roman" w:cs="Times New Roman" w:eastAsia="Times New Roman" w:hAnsi="Times New Roman"/>
          <w:sz w:val="12"/>
          <w:szCs w:val="12"/>
          <w:color w:val="auto"/>
        </w:rPr>
      </w:pPr>
    </w:p>
    <w:p>
      <w:pPr>
        <w:jc w:val="both"/>
        <w:ind w:left="780" w:right="540" w:firstLine="3"/>
        <w:spacing w:after="0" w:line="235" w:lineRule="auto"/>
        <w:tabs>
          <w:tab w:leader="none" w:pos="929"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FuelEU Penalty is payable, the Managers shall promptly notify the Owners of such FuelEU Penalty and the Owners shall transfer a sum equivalent to the FuelEU Penalty to the Managers by no later than 15 days before the FuelEU Penalty falls due. Subject to the timely receipt of such funds, the Managers shall pay the FuelEU Penalty promptly thereafter and provide the Owners with a copy of the FuelEU Document of Compliance as soon as reasonably practicable; or</w:t>
      </w:r>
    </w:p>
    <w:p>
      <w:pPr>
        <w:spacing w:after="0" w:line="116"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1"/>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FuelEU Penalty is payable, the Managers shall provide the Owners with a copy of the FuelEU Document of Compliance as soon as reasonably practicable.</w:t>
      </w:r>
    </w:p>
    <w:p>
      <w:pPr>
        <w:spacing w:after="0" w:line="141" w:lineRule="exact"/>
        <w:rPr>
          <w:rFonts w:ascii="Times New Roman" w:cs="Times New Roman" w:eastAsia="Times New Roman" w:hAnsi="Times New Roman"/>
          <w:sz w:val="12"/>
          <w:szCs w:val="12"/>
          <w:color w:val="auto"/>
        </w:rPr>
      </w:pPr>
    </w:p>
    <w:p>
      <w:pPr>
        <w:jc w:val="both"/>
        <w:ind w:left="260" w:right="80" w:hanging="3"/>
        <w:spacing w:after="0" w:line="235" w:lineRule="auto"/>
        <w:tabs>
          <w:tab w:leader="none" w:pos="403"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this Agreement is terminated between 1 January and 30 June of a Verification Period, and the Managers (or the Managers’ nominee) were the responsible compliance entity on 31 December of the previous Reporting Period, the Managers shall remain responsible for complying with its obligations under this Clause and the Owners shall advance the funds required for payment of the estimated FuelEU Penalty and these funds shall be received by the Managers on or before termination of this Agreement. Where funds in excess of a FuelEU Penalty have been paid by the Owners or if no FuelEU Penalty is ultimately payable pursuant to the Verified Compliance Balance, the Managers shall promptly return any balance of funds to the Owners.</w:t>
      </w:r>
    </w:p>
    <w:p>
      <w:pPr>
        <w:spacing w:after="0" w:line="125" w:lineRule="exact"/>
        <w:rPr>
          <w:rFonts w:ascii="Times New Roman" w:cs="Times New Roman" w:eastAsia="Times New Roman" w:hAnsi="Times New Roman"/>
          <w:sz w:val="12"/>
          <w:szCs w:val="12"/>
          <w:color w:val="auto"/>
        </w:rPr>
      </w:pPr>
    </w:p>
    <w:p>
      <w:pPr>
        <w:ind w:left="260" w:right="80" w:hanging="3"/>
        <w:spacing w:after="0" w:line="248" w:lineRule="auto"/>
        <w:tabs>
          <w:tab w:leader="none" w:pos="469"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have agreed that there will be no additional fee payable to the Managers for the FuelEU Services, pending further review, as per subclause (p) and the Additional Fee (Box 14) will also cover the fee for the Managers FuelEU Services.</w:t>
      </w:r>
    </w:p>
    <w:p>
      <w:pPr>
        <w:spacing w:after="0" w:line="119" w:lineRule="exact"/>
        <w:rPr>
          <w:rFonts w:ascii="Times New Roman" w:cs="Times New Roman" w:eastAsia="Times New Roman" w:hAnsi="Times New Roman"/>
          <w:sz w:val="12"/>
          <w:szCs w:val="12"/>
          <w:color w:val="auto"/>
        </w:rPr>
      </w:pPr>
    </w:p>
    <w:p>
      <w:pPr>
        <w:jc w:val="both"/>
        <w:ind w:left="260" w:right="80" w:hanging="3"/>
        <w:spacing w:after="0" w:line="229" w:lineRule="auto"/>
        <w:tabs>
          <w:tab w:leader="none" w:pos="431"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are under an absolute obligation at all times to provide the Managers in a timely manner with sufficient funds required to fulfil the Managers' obligations for the Vessel under FuelEU Maritime. In the event the Owners fail to provide sufficient funds required to fulfill the Managers’ obligations for the Vessel under FuelEU Maritime and as a consequence either the Managers are unable to obtain a FuelEU Document of Compliance and/or any sanctions are imposed on the Vessel under Article 25 of the FuelEU Maritime , such inability to obtain a FuelEU Document of Compliance for the Vessel or the imposition of such sanctions on the Vessel will never constitute or be construed as constituting a breach of this Agreement or as Managers’ failure to comply with their obligations under this Agreement in any manner whatsoever. In addition, Owners do hereby and at all times will indemnify and hold the Managers harmless from any damage and/or loss of whatsoever nature suffered or to be suffered by the Managers due to any breach of the Owners under this clause.</w:t>
      </w:r>
    </w:p>
    <w:p>
      <w:pPr>
        <w:spacing w:after="0" w:line="124" w:lineRule="exact"/>
        <w:rPr>
          <w:rFonts w:ascii="Times New Roman" w:cs="Times New Roman" w:eastAsia="Times New Roman" w:hAnsi="Times New Roman"/>
          <w:sz w:val="12"/>
          <w:szCs w:val="12"/>
          <w:color w:val="auto"/>
        </w:rPr>
      </w:pPr>
    </w:p>
    <w:p>
      <w:pPr>
        <w:ind w:left="260" w:right="80" w:hanging="3"/>
        <w:spacing w:after="0" w:line="248" w:lineRule="auto"/>
        <w:tabs>
          <w:tab w:leader="none" w:pos="441"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expressly agreed that the rights and obligations of the Parties set out in this Clause shall survive the expiration or termination of the Agreement unless or until the Parties have fulfilled or satisfied their respective obligations under FuelEU Maritime.</w:t>
      </w:r>
    </w:p>
    <w:p>
      <w:pPr>
        <w:spacing w:after="0" w:line="128" w:lineRule="exact"/>
        <w:rPr>
          <w:rFonts w:ascii="Times New Roman" w:cs="Times New Roman" w:eastAsia="Times New Roman" w:hAnsi="Times New Roman"/>
          <w:sz w:val="12"/>
          <w:szCs w:val="12"/>
          <w:color w:val="auto"/>
        </w:rPr>
      </w:pPr>
    </w:p>
    <w:p>
      <w:pPr>
        <w:ind w:left="260" w:right="80" w:hanging="3"/>
        <w:spacing w:after="0" w:line="248" w:lineRule="auto"/>
        <w:tabs>
          <w:tab w:leader="none" w:pos="430" w:val="left"/>
        </w:tabs>
        <w:numPr>
          <w:ilvl w:val="0"/>
          <w:numId w:val="1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agree that as the FuelEU Market standards evolve or in the event of material change of them, they will review periodically the position and/or consider the changes and in good faith re-appraise the necessity and level of any additional fee and / or the provision of an adequate and acceptable security to the Managers.</w:t>
      </w:r>
    </w:p>
    <w:p>
      <w:pPr>
        <w:spacing w:after="0" w:line="12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*If number of days is not inserted in subclauses (b), (h), (i)(i), (i)(iii), (j)(ii) and/or (k)(i) the default shall be ten (10) days.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**If no selection is made under subclause (e), the default shall be “per Voyage”.</w:t>
      </w:r>
    </w:p>
    <w:p>
      <w:pPr>
        <w:spacing w:after="0" w:line="129" w:lineRule="exact"/>
        <w:rPr>
          <w:sz w:val="20"/>
          <w:szCs w:val="20"/>
          <w:color w:val="auto"/>
        </w:rPr>
      </w:pPr>
    </w:p>
    <w:p>
      <w:pPr>
        <w:ind w:left="460" w:hanging="203"/>
        <w:spacing w:after="0"/>
        <w:tabs>
          <w:tab w:leader="none" w:pos="460" w:val="left"/>
        </w:tabs>
        <w:numPr>
          <w:ilvl w:val="1"/>
          <w:numId w:val="1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amount is stated in subclause (m), such fee shall be assumed to be included in the annual management fee.</w:t>
      </w:r>
    </w:p>
    <w:p>
      <w:pPr>
        <w:spacing w:after="0" w:line="281" w:lineRule="exact"/>
        <w:rPr>
          <w:rFonts w:ascii="Times New Roman" w:cs="Times New Roman" w:eastAsia="Times New Roman" w:hAnsi="Times New Roman"/>
          <w:sz w:val="12"/>
          <w:szCs w:val="12"/>
          <w:color w:val="auto"/>
        </w:rPr>
      </w:pPr>
    </w:p>
    <w:p>
      <w:pPr>
        <w:ind w:left="340" w:hanging="336"/>
        <w:spacing w:after="0"/>
        <w:tabs>
          <w:tab w:leader="none" w:pos="340" w:val="left"/>
        </w:tabs>
        <w:numPr>
          <w:ilvl w:val="0"/>
          <w:numId w:val="1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BIMCO Dispute Resolution Clause</w:t>
      </w:r>
    </w:p>
    <w:p>
      <w:pPr>
        <w:spacing w:after="0" w:line="154" w:lineRule="exact"/>
        <w:rPr>
          <w:sz w:val="20"/>
          <w:szCs w:val="20"/>
          <w:color w:val="auto"/>
        </w:rPr>
      </w:pPr>
    </w:p>
    <w:p>
      <w:pPr>
        <w:ind w:left="420" w:hanging="155"/>
        <w:spacing w:after="0" w:line="248" w:lineRule="auto"/>
        <w:tabs>
          <w:tab w:leader="none" w:pos="420" w:val="left"/>
        </w:tabs>
        <w:numPr>
          <w:ilvl w:val="0"/>
          <w:numId w:val="1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shall be governed by and construed in accordance with English law and any dispute arising out of or in connection with this Agreement shall be referred to arbitration in London in accordance with the Arbitration Act 1996 or any statutory modification or re-enactment thereof save to the extent necessary to give effect to the provisions of this Clause.</w:t>
      </w:r>
    </w:p>
    <w:p>
      <w:pPr>
        <w:spacing w:after="0" w:line="19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70" w:right="299" w:bottom="1440" w:gutter="0" w:footer="0" w:header="0"/>
        </w:sectPr>
      </w:pPr>
    </w:p>
    <w:bookmarkStart w:id="190" w:name="page191"/>
    <w:bookmarkEnd w:id="190"/>
    <w:p>
      <w:pPr>
        <w:ind w:left="183"/>
        <w:spacing w:after="0"/>
        <w:rPr>
          <w:sz w:val="20"/>
          <w:szCs w:val="20"/>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41" w:lineRule="exact"/>
        <w:rPr>
          <w:sz w:val="20"/>
          <w:szCs w:val="20"/>
          <w:color w:val="auto"/>
        </w:rPr>
      </w:pPr>
    </w:p>
    <w:p>
      <w:pPr>
        <w:jc w:val="both"/>
        <w:ind w:left="183"/>
        <w:spacing w:after="0" w:line="231" w:lineRule="auto"/>
        <w:rPr>
          <w:sz w:val="20"/>
          <w:szCs w:val="20"/>
          <w:color w:val="auto"/>
        </w:rPr>
      </w:pPr>
      <w:r>
        <w:rPr>
          <w:rFonts w:ascii="Times New Roman" w:cs="Times New Roman" w:eastAsia="Times New Roman" w:hAnsi="Times New Roman"/>
          <w:sz w:val="12"/>
          <w:szCs w:val="12"/>
          <w:color w:val="auto"/>
        </w:rPr>
        <w:t>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gives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w:t>
      </w:r>
    </w:p>
    <w:p>
      <w:pPr>
        <w:spacing w:after="0" w:line="126" w:lineRule="exact"/>
        <w:rPr>
          <w:sz w:val="20"/>
          <w:szCs w:val="20"/>
          <w:color w:val="auto"/>
        </w:rPr>
      </w:pPr>
    </w:p>
    <w:p>
      <w:pPr>
        <w:ind w:left="183"/>
        <w:spacing w:after="0"/>
        <w:rPr>
          <w:sz w:val="20"/>
          <w:szCs w:val="20"/>
          <w:color w:val="auto"/>
        </w:rPr>
      </w:pPr>
      <w:r>
        <w:rPr>
          <w:rFonts w:ascii="Times New Roman" w:cs="Times New Roman" w:eastAsia="Times New Roman" w:hAnsi="Times New Roman"/>
          <w:sz w:val="12"/>
          <w:szCs w:val="12"/>
          <w:color w:val="auto"/>
        </w:rPr>
        <w:t>Nothing herein shall prevent the parties agreeing in writing to vary these provisions to provide for the appointment of a sole arbitrator.</w:t>
      </w:r>
    </w:p>
    <w:p>
      <w:pPr>
        <w:spacing w:after="0" w:line="150" w:lineRule="exact"/>
        <w:rPr>
          <w:sz w:val="20"/>
          <w:szCs w:val="20"/>
          <w:color w:val="auto"/>
        </w:rPr>
      </w:pPr>
    </w:p>
    <w:p>
      <w:pPr>
        <w:jc w:val="both"/>
        <w:ind w:left="183"/>
        <w:spacing w:after="0" w:line="248" w:lineRule="auto"/>
        <w:rPr>
          <w:sz w:val="20"/>
          <w:szCs w:val="20"/>
          <w:color w:val="auto"/>
        </w:rPr>
      </w:pPr>
      <w:r>
        <w:rPr>
          <w:rFonts w:ascii="Times New Roman" w:cs="Times New Roman" w:eastAsia="Times New Roman" w:hAnsi="Times New Roman"/>
          <w:sz w:val="12"/>
          <w:szCs w:val="12"/>
          <w:color w:val="auto"/>
        </w:rPr>
        <w:t>In cases where neither the claim nor any counterclaim exceeds the sum of USD50,000 (or such other sum as the parties may agree) the arbitration shall be conducted in accordance with the LMAA Small Claims Procedure current at the time when the arbitration proceedings are commenced.</w:t>
      </w:r>
    </w:p>
    <w:p>
      <w:pPr>
        <w:spacing w:after="0" w:line="120" w:lineRule="exact"/>
        <w:rPr>
          <w:sz w:val="20"/>
          <w:szCs w:val="20"/>
          <w:color w:val="auto"/>
        </w:rPr>
      </w:pPr>
    </w:p>
    <w:p>
      <w:pPr>
        <w:ind w:left="263" w:hanging="263"/>
        <w:spacing w:after="0"/>
        <w:tabs>
          <w:tab w:leader="none" w:pos="263" w:val="left"/>
        </w:tabs>
        <w:numPr>
          <w:ilvl w:val="0"/>
          <w:numId w:val="1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Sub-clauses 25(a) above, the parties may agree at any time to refer to mediation any difference and/or dispute arising out of or in connection with this Agreement.</w:t>
      </w:r>
    </w:p>
    <w:p>
      <w:pPr>
        <w:spacing w:after="0" w:line="141" w:lineRule="exact"/>
        <w:rPr>
          <w:rFonts w:ascii="Times New Roman" w:cs="Times New Roman" w:eastAsia="Times New Roman" w:hAnsi="Times New Roman"/>
          <w:sz w:val="12"/>
          <w:szCs w:val="12"/>
          <w:b w:val="1"/>
          <w:bCs w:val="1"/>
          <w:color w:val="auto"/>
        </w:rPr>
      </w:pPr>
    </w:p>
    <w:p>
      <w:pPr>
        <w:ind w:left="523" w:hanging="338"/>
        <w:spacing w:after="0"/>
        <w:tabs>
          <w:tab w:leader="none" w:pos="523"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dispute in respect of which arbitration has been commenced under Sub-clauses 25(a) above, the following shall apply:</w:t>
      </w:r>
    </w:p>
    <w:p>
      <w:pPr>
        <w:spacing w:after="0" w:line="141" w:lineRule="exact"/>
        <w:rPr>
          <w:rFonts w:ascii="Times New Roman" w:cs="Times New Roman" w:eastAsia="Times New Roman" w:hAnsi="Times New Roman"/>
          <w:sz w:val="12"/>
          <w:szCs w:val="12"/>
          <w:color w:val="auto"/>
        </w:rPr>
      </w:pPr>
    </w:p>
    <w:p>
      <w:pPr>
        <w:ind w:left="183" w:firstLine="2"/>
        <w:spacing w:after="0" w:line="264" w:lineRule="auto"/>
        <w:tabs>
          <w:tab w:leader="none" w:pos="544"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party may at any time and from time to time elect to refer the dispute or part of the dispute to mediation by service on the other party of a written notice (the “Mediation Notice”) calling on the other party to agree to mediation.</w:t>
      </w:r>
    </w:p>
    <w:p>
      <w:pPr>
        <w:spacing w:after="0" w:line="101" w:lineRule="exact"/>
        <w:rPr>
          <w:rFonts w:ascii="Times New Roman" w:cs="Times New Roman" w:eastAsia="Times New Roman" w:hAnsi="Times New Roman"/>
          <w:sz w:val="12"/>
          <w:szCs w:val="12"/>
          <w:color w:val="auto"/>
        </w:rPr>
      </w:pPr>
    </w:p>
    <w:p>
      <w:pPr>
        <w:jc w:val="both"/>
        <w:ind w:left="183" w:firstLine="2"/>
        <w:spacing w:after="0" w:line="241" w:lineRule="auto"/>
        <w:tabs>
          <w:tab w:leader="none" w:pos="538"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spacing w:after="0" w:line="124" w:lineRule="exact"/>
        <w:rPr>
          <w:rFonts w:ascii="Times New Roman" w:cs="Times New Roman" w:eastAsia="Times New Roman" w:hAnsi="Times New Roman"/>
          <w:sz w:val="12"/>
          <w:szCs w:val="12"/>
          <w:color w:val="auto"/>
        </w:rPr>
      </w:pPr>
    </w:p>
    <w:p>
      <w:pPr>
        <w:ind w:left="523" w:hanging="338"/>
        <w:spacing w:after="0"/>
        <w:tabs>
          <w:tab w:leader="none" w:pos="523"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other party does not agree to mediate, that fact may be brought to the attention of the Tribunal and may be taken into account by the Tribunal when allocating the costs of the arbitration as between the parties.</w:t>
      </w:r>
    </w:p>
    <w:p>
      <w:pPr>
        <w:spacing w:after="0" w:line="141" w:lineRule="exact"/>
        <w:rPr>
          <w:rFonts w:ascii="Times New Roman" w:cs="Times New Roman" w:eastAsia="Times New Roman" w:hAnsi="Times New Roman"/>
          <w:sz w:val="12"/>
          <w:szCs w:val="12"/>
          <w:color w:val="auto"/>
        </w:rPr>
      </w:pPr>
    </w:p>
    <w:p>
      <w:pPr>
        <w:ind w:left="523" w:hanging="338"/>
        <w:spacing w:after="0"/>
        <w:tabs>
          <w:tab w:leader="none" w:pos="523"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mediation shall not affect the right of either party to seek such relief or take such steps as it considers necessary to protect its interest.</w:t>
      </w:r>
    </w:p>
    <w:p>
      <w:pPr>
        <w:spacing w:after="0" w:line="150" w:lineRule="exact"/>
        <w:rPr>
          <w:rFonts w:ascii="Times New Roman" w:cs="Times New Roman" w:eastAsia="Times New Roman" w:hAnsi="Times New Roman"/>
          <w:sz w:val="12"/>
          <w:szCs w:val="12"/>
          <w:color w:val="auto"/>
        </w:rPr>
      </w:pPr>
    </w:p>
    <w:p>
      <w:pPr>
        <w:ind w:left="183" w:firstLine="2"/>
        <w:spacing w:after="0" w:line="248" w:lineRule="auto"/>
        <w:tabs>
          <w:tab w:leader="none" w:pos="542"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spacing w:after="0" w:line="119" w:lineRule="exact"/>
        <w:rPr>
          <w:rFonts w:ascii="Times New Roman" w:cs="Times New Roman" w:eastAsia="Times New Roman" w:hAnsi="Times New Roman"/>
          <w:sz w:val="12"/>
          <w:szCs w:val="12"/>
          <w:color w:val="auto"/>
        </w:rPr>
      </w:pPr>
    </w:p>
    <w:p>
      <w:pPr>
        <w:ind w:left="523" w:hanging="338"/>
        <w:spacing w:after="0"/>
        <w:tabs>
          <w:tab w:leader="none" w:pos="523"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agreed or specified in the mediation terms, each party shall bear its own costs incurred in the mediation and the parties shall share equally the mediator’s costs and expenses.</w:t>
      </w:r>
    </w:p>
    <w:p>
      <w:pPr>
        <w:spacing w:after="0" w:line="141" w:lineRule="exact"/>
        <w:rPr>
          <w:rFonts w:ascii="Times New Roman" w:cs="Times New Roman" w:eastAsia="Times New Roman" w:hAnsi="Times New Roman"/>
          <w:sz w:val="12"/>
          <w:szCs w:val="12"/>
          <w:color w:val="auto"/>
        </w:rPr>
      </w:pPr>
    </w:p>
    <w:p>
      <w:pPr>
        <w:ind w:left="183" w:firstLine="2"/>
        <w:spacing w:after="0" w:line="248" w:lineRule="auto"/>
        <w:tabs>
          <w:tab w:leader="none" w:pos="531" w:val="left"/>
        </w:tabs>
        <w:numPr>
          <w:ilvl w:val="2"/>
          <w:numId w:val="1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mediation process shall be without prejudice and confidential and no information or documents disclosed during it shall be revealed to the Tribunal except to the extent that they are disclosable under the law and procedure governing the arbitration.</w:t>
      </w:r>
    </w:p>
    <w:p>
      <w:pPr>
        <w:spacing w:after="0" w:line="115" w:lineRule="exact"/>
        <w:rPr>
          <w:rFonts w:ascii="Times New Roman" w:cs="Times New Roman" w:eastAsia="Times New Roman" w:hAnsi="Times New Roman"/>
          <w:sz w:val="12"/>
          <w:szCs w:val="12"/>
          <w:color w:val="auto"/>
        </w:rPr>
      </w:pPr>
    </w:p>
    <w:p>
      <w:pPr>
        <w:ind w:left="263" w:hanging="255"/>
        <w:spacing w:after="0"/>
        <w:tabs>
          <w:tab w:leader="none" w:pos="263" w:val="left"/>
        </w:tabs>
        <w:numPr>
          <w:ilvl w:val="0"/>
          <w:numId w:val="1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If </w:t>
      </w:r>
      <w:r>
        <w:rPr>
          <w:rFonts w:ascii="Times New Roman" w:cs="Times New Roman" w:eastAsia="Times New Roman" w:hAnsi="Times New Roman"/>
          <w:sz w:val="12"/>
          <w:szCs w:val="12"/>
          <w:b w:val="1"/>
          <w:bCs w:val="1"/>
          <w:color w:val="auto"/>
        </w:rPr>
        <w:t>Box 21</w:t>
      </w:r>
      <w:r>
        <w:rPr>
          <w:rFonts w:ascii="Times New Roman" w:cs="Times New Roman" w:eastAsia="Times New Roman" w:hAnsi="Times New Roman"/>
          <w:sz w:val="12"/>
          <w:szCs w:val="12"/>
          <w:color w:val="auto"/>
        </w:rPr>
        <w:t xml:space="preserve"> in Part I is not appropriately filled in, Sub-clause 25(a) of this Clause shall apply.</w:t>
      </w:r>
    </w:p>
    <w:p>
      <w:pPr>
        <w:spacing w:after="0" w:line="159" w:lineRule="exact"/>
        <w:rPr>
          <w:rFonts w:ascii="Times New Roman" w:cs="Times New Roman" w:eastAsia="Times New Roman" w:hAnsi="Times New Roman"/>
          <w:sz w:val="12"/>
          <w:szCs w:val="12"/>
          <w:b w:val="1"/>
          <w:bCs w:val="1"/>
          <w:color w:val="auto"/>
        </w:rPr>
      </w:pPr>
    </w:p>
    <w:p>
      <w:pPr>
        <w:ind w:left="623" w:hanging="608"/>
        <w:spacing w:after="0"/>
        <w:tabs>
          <w:tab w:leader="none" w:pos="623" w:val="left"/>
        </w:tabs>
        <w:numPr>
          <w:ilvl w:val="1"/>
          <w:numId w:val="1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13" w:lineRule="exact"/>
        <w:rPr>
          <w:sz w:val="20"/>
          <w:szCs w:val="20"/>
          <w:color w:val="auto"/>
        </w:rPr>
      </w:pPr>
    </w:p>
    <w:p>
      <w:pPr>
        <w:ind w:left="163" w:hanging="163"/>
        <w:spacing w:after="0"/>
        <w:tabs>
          <w:tab w:leader="none" w:pos="163" w:val="left"/>
        </w:tabs>
        <w:numPr>
          <w:ilvl w:val="0"/>
          <w:numId w:val="1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 notice or other communication given under this Agreement (a Notice) shall be:</w:t>
      </w:r>
    </w:p>
    <w:p>
      <w:pPr>
        <w:spacing w:after="0" w:line="129" w:lineRule="exact"/>
        <w:rPr>
          <w:rFonts w:ascii="Times New Roman" w:cs="Times New Roman" w:eastAsia="Times New Roman" w:hAnsi="Times New Roman"/>
          <w:sz w:val="12"/>
          <w:szCs w:val="12"/>
          <w:b w:val="1"/>
          <w:bCs w:val="1"/>
          <w:color w:val="auto"/>
        </w:rPr>
      </w:pPr>
    </w:p>
    <w:p>
      <w:pPr>
        <w:ind w:left="523" w:hanging="338"/>
        <w:spacing w:after="0"/>
        <w:tabs>
          <w:tab w:leader="none" w:pos="523"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writing;</w:t>
      </w:r>
    </w:p>
    <w:p>
      <w:pPr>
        <w:spacing w:after="0" w:line="114" w:lineRule="exact"/>
        <w:rPr>
          <w:rFonts w:ascii="Times New Roman" w:cs="Times New Roman" w:eastAsia="Times New Roman" w:hAnsi="Times New Roman"/>
          <w:sz w:val="12"/>
          <w:szCs w:val="12"/>
          <w:color w:val="auto"/>
        </w:rPr>
      </w:pPr>
    </w:p>
    <w:p>
      <w:pPr>
        <w:ind w:left="523" w:hanging="338"/>
        <w:spacing w:after="0"/>
        <w:tabs>
          <w:tab w:leader="none" w:pos="523"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English language; and</w:t>
      </w:r>
    </w:p>
    <w:p>
      <w:pPr>
        <w:spacing w:after="0" w:line="105" w:lineRule="exact"/>
        <w:rPr>
          <w:rFonts w:ascii="Times New Roman" w:cs="Times New Roman" w:eastAsia="Times New Roman" w:hAnsi="Times New Roman"/>
          <w:sz w:val="12"/>
          <w:szCs w:val="12"/>
          <w:color w:val="auto"/>
        </w:rPr>
      </w:pPr>
    </w:p>
    <w:p>
      <w:pPr>
        <w:ind w:left="523" w:hanging="338"/>
        <w:spacing w:after="0"/>
        <w:tabs>
          <w:tab w:leader="none" w:pos="523" w:val="left"/>
        </w:tabs>
        <w:numPr>
          <w:ilvl w:val="1"/>
          <w:numId w:val="1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sent by the Permitted Method to the Notified Address.</w:t>
      </w:r>
    </w:p>
    <w:p>
      <w:pPr>
        <w:spacing w:after="0" w:line="204"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3"/>
          </w:cols>
          <w:pgMar w:left="617" w:top="579" w:right="379" w:bottom="1440" w:gutter="0" w:footer="0" w:header="0"/>
        </w:sectPr>
      </w:pPr>
    </w:p>
    <w:bookmarkStart w:id="191" w:name="page192"/>
    <w:bookmarkEnd w:id="191"/>
    <w:p>
      <w:pPr>
        <w:ind w:left="320" w:right="80" w:hanging="3"/>
        <w:spacing w:after="0" w:line="248" w:lineRule="auto"/>
        <w:tabs>
          <w:tab w:leader="none" w:pos="520" w:val="left"/>
        </w:tabs>
        <w:numPr>
          <w:ilvl w:val="0"/>
          <w:numId w:val="1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Permitted Method means any of the methods set out in the first column below, the second column setting out the date on which a Notice given by such Permitted Method shall be deemed to be given provided the Notice is properly addressed and sent in full to the Notified Address:</w:t>
      </w:r>
    </w:p>
    <w:p>
      <w:pPr>
        <w:spacing w:after="0" w:line="102"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5220" w:type="dxa"/>
            <w:vAlign w:val="bottom"/>
            <w:tcBorders>
              <w:top w:val="single" w:sz="8" w:color="auto"/>
              <w:left w:val="single" w:sz="8" w:color="auto"/>
              <w:right w:val="single" w:sz="8" w:color="auto"/>
            </w:tcBorders>
            <w:shd w:val="clear" w:color="auto" w:fill="F2F2F2"/>
          </w:tcPr>
          <w:p>
            <w:pPr>
              <w:jc w:val="right"/>
              <w:ind w:right="2500"/>
              <w:spacing w:after="0"/>
              <w:rPr>
                <w:sz w:val="20"/>
                <w:szCs w:val="20"/>
                <w:color w:val="auto"/>
              </w:rPr>
            </w:pPr>
            <w:r>
              <w:rPr>
                <w:rFonts w:ascii="Times New Roman" w:cs="Times New Roman" w:eastAsia="Times New Roman" w:hAnsi="Times New Roman"/>
                <w:sz w:val="12"/>
                <w:szCs w:val="12"/>
                <w:b w:val="1"/>
                <w:bCs w:val="1"/>
                <w:color w:val="auto"/>
              </w:rPr>
              <w:t>(1)</w:t>
            </w:r>
          </w:p>
        </w:tc>
        <w:tc>
          <w:tcPr>
            <w:tcW w:w="6080" w:type="dxa"/>
            <w:vAlign w:val="bottom"/>
            <w:tcBorders>
              <w:top w:val="single" w:sz="8" w:color="auto"/>
              <w:right w:val="single" w:sz="8" w:color="auto"/>
            </w:tcBorders>
            <w:shd w:val="clear" w:color="auto" w:fill="F2F2F2"/>
          </w:tcPr>
          <w:p>
            <w:pPr>
              <w:jc w:val="right"/>
              <w:ind w:right="2900"/>
              <w:spacing w:after="0"/>
              <w:rPr>
                <w:sz w:val="20"/>
                <w:szCs w:val="20"/>
                <w:color w:val="auto"/>
              </w:rPr>
            </w:pPr>
            <w:r>
              <w:rPr>
                <w:rFonts w:ascii="Times New Roman" w:cs="Times New Roman" w:eastAsia="Times New Roman" w:hAnsi="Times New Roman"/>
                <w:sz w:val="12"/>
                <w:szCs w:val="12"/>
                <w:b w:val="1"/>
                <w:bCs w:val="1"/>
                <w:color w:val="auto"/>
              </w:rPr>
              <w:t>(2)</w:t>
            </w:r>
          </w:p>
        </w:tc>
      </w:tr>
      <w:tr>
        <w:trPr>
          <w:trHeight w:val="180"/>
        </w:trPr>
        <w:tc>
          <w:tcPr>
            <w:tcW w:w="5220" w:type="dxa"/>
            <w:vAlign w:val="bottom"/>
            <w:tcBorders>
              <w:left w:val="single" w:sz="8" w:color="auto"/>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Permitted Method</w:t>
            </w:r>
          </w:p>
        </w:tc>
        <w:tc>
          <w:tcPr>
            <w:tcW w:w="6080" w:type="dxa"/>
            <w:vAlign w:val="bottom"/>
            <w:tcBorders>
              <w:right w:val="single" w:sz="8" w:color="auto"/>
            </w:tcBorders>
            <w:shd w:val="clear" w:color="auto" w:fill="F2F2F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Date on which Notice deemed given</w:t>
            </w:r>
          </w:p>
        </w:tc>
      </w:tr>
      <w:tr>
        <w:trPr>
          <w:trHeight w:val="99"/>
        </w:trPr>
        <w:tc>
          <w:tcPr>
            <w:tcW w:w="5220" w:type="dxa"/>
            <w:vAlign w:val="bottom"/>
            <w:tcBorders>
              <w:left w:val="single" w:sz="8" w:color="auto"/>
              <w:bottom w:val="single" w:sz="8" w:color="auto"/>
              <w:right w:val="single" w:sz="8" w:color="auto"/>
            </w:tcBorders>
            <w:shd w:val="clear" w:color="auto" w:fill="F2F2F2"/>
          </w:tcPr>
          <w:p>
            <w:pPr>
              <w:spacing w:after="0"/>
              <w:rPr>
                <w:sz w:val="8"/>
                <w:szCs w:val="8"/>
                <w:color w:val="auto"/>
              </w:rPr>
            </w:pPr>
          </w:p>
        </w:tc>
        <w:tc>
          <w:tcPr>
            <w:tcW w:w="6080" w:type="dxa"/>
            <w:vAlign w:val="bottom"/>
            <w:tcBorders>
              <w:bottom w:val="single" w:sz="8" w:color="auto"/>
              <w:right w:val="single" w:sz="8" w:color="auto"/>
            </w:tcBorders>
            <w:shd w:val="clear" w:color="auto" w:fill="F2F2F2"/>
          </w:tcPr>
          <w:p>
            <w:pPr>
              <w:spacing w:after="0"/>
              <w:rPr>
                <w:sz w:val="8"/>
                <w:szCs w:val="8"/>
                <w:color w:val="auto"/>
              </w:rPr>
            </w:pPr>
          </w:p>
        </w:tc>
      </w:tr>
      <w:tr>
        <w:trPr>
          <w:trHeight w:val="205"/>
        </w:trPr>
        <w:tc>
          <w:tcPr>
            <w:tcW w:w="5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Personal delivery</w:t>
            </w:r>
          </w:p>
        </w:tc>
        <w:tc>
          <w:tcPr>
            <w:tcW w:w="60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When left at the Notified Address</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205"/>
        </w:trPr>
        <w:tc>
          <w:tcPr>
            <w:tcW w:w="5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Courier delivery</w:t>
            </w:r>
          </w:p>
        </w:tc>
        <w:tc>
          <w:tcPr>
            <w:tcW w:w="608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2"/>
                <w:szCs w:val="12"/>
                <w:color w:val="auto"/>
              </w:rPr>
              <w:t>When left at the Notified Address</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r>
        <w:trPr>
          <w:trHeight w:val="205"/>
        </w:trPr>
        <w:tc>
          <w:tcPr>
            <w:tcW w:w="522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2"/>
                <w:szCs w:val="12"/>
                <w:color w:val="auto"/>
              </w:rPr>
              <w:t>E-mail</w:t>
            </w:r>
          </w:p>
        </w:tc>
        <w:tc>
          <w:tcPr>
            <w:tcW w:w="6080" w:type="dxa"/>
            <w:vAlign w:val="bottom"/>
            <w:tcBorders>
              <w:right w:val="single" w:sz="8" w:color="auto"/>
            </w:tcBorders>
          </w:tcPr>
          <w:p>
            <w:pPr>
              <w:ind w:left="360"/>
              <w:spacing w:after="0"/>
              <w:rPr>
                <w:sz w:val="20"/>
                <w:szCs w:val="20"/>
                <w:color w:val="auto"/>
              </w:rPr>
            </w:pPr>
            <w:r>
              <w:rPr>
                <w:rFonts w:ascii="Times New Roman" w:cs="Times New Roman" w:eastAsia="Times New Roman" w:hAnsi="Times New Roman"/>
                <w:sz w:val="12"/>
                <w:szCs w:val="12"/>
                <w:color w:val="auto"/>
              </w:rPr>
              <w:t>When actually received by the recipient (or made available to the recipient) in readable form</w:t>
            </w:r>
          </w:p>
        </w:tc>
      </w:tr>
      <w:tr>
        <w:trPr>
          <w:trHeight w:val="144"/>
        </w:trPr>
        <w:tc>
          <w:tcPr>
            <w:tcW w:w="5220" w:type="dxa"/>
            <w:vAlign w:val="bottom"/>
            <w:tcBorders>
              <w:left w:val="single" w:sz="8" w:color="auto"/>
              <w:bottom w:val="single" w:sz="8" w:color="auto"/>
              <w:right w:val="single" w:sz="8" w:color="auto"/>
            </w:tcBorders>
          </w:tcPr>
          <w:p>
            <w:pPr>
              <w:spacing w:after="0"/>
              <w:rPr>
                <w:sz w:val="12"/>
                <w:szCs w:val="12"/>
                <w:color w:val="auto"/>
              </w:rPr>
            </w:pPr>
          </w:p>
        </w:tc>
        <w:tc>
          <w:tcPr>
            <w:tcW w:w="6080" w:type="dxa"/>
            <w:vAlign w:val="bottom"/>
            <w:tcBorders>
              <w:bottom w:val="single" w:sz="8" w:color="auto"/>
              <w:right w:val="single" w:sz="8" w:color="auto"/>
            </w:tcBorders>
          </w:tcPr>
          <w:p>
            <w:pPr>
              <w:spacing w:after="0"/>
              <w:rPr>
                <w:sz w:val="12"/>
                <w:szCs w:val="12"/>
                <w:color w:val="auto"/>
              </w:rPr>
            </w:pPr>
          </w:p>
        </w:tc>
      </w:tr>
    </w:tbl>
    <w:p>
      <w:pPr>
        <w:spacing w:after="0" w:line="115" w:lineRule="exact"/>
        <w:rPr>
          <w:sz w:val="20"/>
          <w:szCs w:val="20"/>
          <w:color w:val="auto"/>
        </w:rPr>
      </w:pPr>
    </w:p>
    <w:p>
      <w:pPr>
        <w:ind w:left="480" w:hanging="155"/>
        <w:spacing w:after="0"/>
        <w:tabs>
          <w:tab w:leader="none" w:pos="480" w:val="left"/>
        </w:tabs>
        <w:numPr>
          <w:ilvl w:val="0"/>
          <w:numId w:val="1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“Notified Address” (including fax number) of each of the Parties is the address set out below, or as subsequently notified to all Parties in writing:</w:t>
      </w:r>
    </w:p>
    <w:p>
      <w:pPr>
        <w:spacing w:after="0" w:line="159" w:lineRule="exact"/>
        <w:rPr>
          <w:sz w:val="20"/>
          <w:szCs w:val="20"/>
          <w:color w:val="auto"/>
        </w:rPr>
      </w:pPr>
    </w:p>
    <w:p>
      <w:pPr>
        <w:ind w:left="780" w:right="8540" w:hanging="278"/>
        <w:spacing w:after="0" w:line="264" w:lineRule="auto"/>
        <w:tabs>
          <w:tab w:leader="none" w:pos="833"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Owners and the Guarantors at: [•] Attention: [•]</w:t>
      </w:r>
    </w:p>
    <w:p>
      <w:pPr>
        <w:spacing w:after="0" w:line="101" w:lineRule="exact"/>
        <w:rPr>
          <w:rFonts w:ascii="Times New Roman" w:cs="Times New Roman" w:eastAsia="Times New Roman" w:hAnsi="Times New Roman"/>
          <w:sz w:val="12"/>
          <w:szCs w:val="12"/>
          <w:color w:val="auto"/>
        </w:rPr>
      </w:pPr>
    </w:p>
    <w:p>
      <w:pPr>
        <w:ind w:left="840" w:hanging="338"/>
        <w:spacing w:after="0"/>
        <w:tabs>
          <w:tab w:leader="none" w:pos="840" w:val="left"/>
        </w:tabs>
        <w:numPr>
          <w:ilvl w:val="0"/>
          <w:numId w:val="1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Managers at: [•]</w:t>
      </w:r>
    </w:p>
    <w:p>
      <w:pPr>
        <w:spacing w:after="0" w:line="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2"/>
          <w:szCs w:val="12"/>
          <w:color w:val="auto"/>
        </w:rPr>
        <w:t>Attention: [•]</w:t>
      </w:r>
    </w:p>
    <w:p>
      <w:pPr>
        <w:ind w:left="500"/>
        <w:spacing w:after="0"/>
        <w:rPr>
          <w:sz w:val="20"/>
          <w:szCs w:val="20"/>
          <w:color w:val="auto"/>
        </w:rPr>
      </w:pPr>
      <w:r>
        <w:rPr>
          <w:rFonts w:ascii="Times New Roman" w:cs="Times New Roman" w:eastAsia="Times New Roman" w:hAnsi="Times New Roman"/>
          <w:sz w:val="12"/>
          <w:szCs w:val="12"/>
          <w:color w:val="auto"/>
        </w:rPr>
        <w:t>or to such other address as is notified by one Party to the other Party under this Agreement.</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2"/>
          <w:szCs w:val="12"/>
          <w:color w:val="auto"/>
        </w:rPr>
        <w:t>And in each case proof of posting, handing in or transmission shall be proof that notice has been given, unless proven to the contrary.</w:t>
      </w:r>
    </w:p>
    <w:p>
      <w:pPr>
        <w:spacing w:after="0" w:line="128" w:lineRule="exact"/>
        <w:rPr>
          <w:sz w:val="20"/>
          <w:szCs w:val="20"/>
          <w:color w:val="auto"/>
        </w:rPr>
      </w:pPr>
    </w:p>
    <w:p>
      <w:pPr>
        <w:ind w:left="320" w:hanging="256"/>
        <w:spacing w:after="0"/>
        <w:tabs>
          <w:tab w:leader="none" w:pos="320" w:val="left"/>
        </w:tabs>
        <w:numPr>
          <w:ilvl w:val="0"/>
          <w:numId w:val="1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20" w:lineRule="exact"/>
        <w:rPr>
          <w:rFonts w:ascii="Times New Roman" w:cs="Times New Roman" w:eastAsia="Times New Roman" w:hAnsi="Times New Roman"/>
          <w:sz w:val="12"/>
          <w:szCs w:val="12"/>
          <w:b w:val="1"/>
          <w:bCs w:val="1"/>
          <w:color w:val="auto"/>
        </w:rPr>
      </w:pPr>
    </w:p>
    <w:p>
      <w:pPr>
        <w:ind w:left="320" w:right="80"/>
        <w:spacing w:after="0" w:line="23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This Agreement constitutes the entire agreement between the parties and no promise, undertaking, representation, warranty or statement by either party prior to the date stated in </w:t>
      </w:r>
      <w:r>
        <w:rPr>
          <w:rFonts w:ascii="Times New Roman" w:cs="Times New Roman" w:eastAsia="Times New Roman" w:hAnsi="Times New Roman"/>
          <w:sz w:val="12"/>
          <w:szCs w:val="12"/>
          <w:b w:val="1"/>
          <w:bCs w:val="1"/>
          <w:color w:val="auto"/>
        </w:rPr>
        <w:t>Box 2</w:t>
      </w:r>
      <w:r>
        <w:rPr>
          <w:rFonts w:ascii="Times New Roman" w:cs="Times New Roman" w:eastAsia="Times New Roman" w:hAnsi="Times New Roman"/>
          <w:sz w:val="12"/>
          <w:szCs w:val="12"/>
          <w:color w:val="auto"/>
        </w:rPr>
        <w:t xml:space="preserve"> shall affect this Agreement. Any modification of this Agreement shall not be of any effect unless in writing signed by or on behalf of the parties.</w:t>
      </w:r>
    </w:p>
    <w:p>
      <w:pPr>
        <w:spacing w:after="0" w:line="130"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Party Rights</w:t>
      </w:r>
    </w:p>
    <w:p>
      <w:pPr>
        <w:spacing w:after="0" w:line="20" w:lineRule="exact"/>
        <w:rPr>
          <w:rFonts w:ascii="Times New Roman" w:cs="Times New Roman" w:eastAsia="Times New Roman" w:hAnsi="Times New Roman"/>
          <w:sz w:val="12"/>
          <w:szCs w:val="12"/>
          <w:b w:val="1"/>
          <w:bCs w:val="1"/>
          <w:color w:val="auto"/>
        </w:rPr>
      </w:pPr>
    </w:p>
    <w:p>
      <w:pPr>
        <w:ind w:left="32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Except to the extent provided in Sub-clauses 17(c) (Indemnity) and 17(d) (Himalaya), no third parties may enforce any term of this Agreement.</w:t>
      </w:r>
    </w:p>
    <w:p>
      <w:pPr>
        <w:spacing w:after="0" w:line="126"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Partial Validity</w:t>
      </w:r>
    </w:p>
    <w:p>
      <w:pPr>
        <w:spacing w:after="0" w:line="20" w:lineRule="exact"/>
        <w:rPr>
          <w:rFonts w:ascii="Times New Roman" w:cs="Times New Roman" w:eastAsia="Times New Roman" w:hAnsi="Times New Roman"/>
          <w:sz w:val="12"/>
          <w:szCs w:val="12"/>
          <w:b w:val="1"/>
          <w:bCs w:val="1"/>
          <w:color w:val="auto"/>
        </w:rPr>
      </w:pPr>
    </w:p>
    <w:p>
      <w:pPr>
        <w:jc w:val="both"/>
        <w:ind w:left="320" w:right="80"/>
        <w:spacing w:after="0" w:line="22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any provision of this Agreement is or becomes or is held by any arbitrator or other competent body to be illegal, invalid or unenforceable in any respect under any law or jurisdiction, the provision shall be deemed to be amended to the extent necessary to avoid such illegality, invalidity or unenforceability, or, if such amendment is not possible, the provision shall be deemed to be deleted from this Agreement to the extent of such illegality, invalidity or unenforceability, and the remaining provisions shall continue in full force and effect and shall not in any way be affected or impaired thereby.</w:t>
      </w:r>
    </w:p>
    <w:p>
      <w:pPr>
        <w:spacing w:after="0" w:line="130" w:lineRule="exact"/>
        <w:rPr>
          <w:rFonts w:ascii="Times New Roman" w:cs="Times New Roman" w:eastAsia="Times New Roman" w:hAnsi="Times New Roman"/>
          <w:sz w:val="12"/>
          <w:szCs w:val="12"/>
          <w:b w:val="1"/>
          <w:bCs w:val="1"/>
          <w:color w:val="auto"/>
        </w:rPr>
      </w:pPr>
    </w:p>
    <w:p>
      <w:pPr>
        <w:ind w:left="320" w:hanging="256"/>
        <w:spacing w:after="0"/>
        <w:tabs>
          <w:tab w:leader="none" w:pos="320" w:val="left"/>
        </w:tabs>
        <w:numPr>
          <w:ilvl w:val="0"/>
          <w:numId w:val="1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45" w:lineRule="exact"/>
        <w:rPr>
          <w:rFonts w:ascii="Times New Roman" w:cs="Times New Roman" w:eastAsia="Times New Roman" w:hAnsi="Times New Roman"/>
          <w:sz w:val="12"/>
          <w:szCs w:val="12"/>
          <w:b w:val="1"/>
          <w:bCs w:val="1"/>
          <w:color w:val="auto"/>
        </w:rPr>
      </w:pPr>
    </w:p>
    <w:p>
      <w:pPr>
        <w:ind w:left="480" w:hanging="155"/>
        <w:spacing w:after="0"/>
        <w:tabs>
          <w:tab w:leader="none" w:pos="480" w:val="left"/>
        </w:tabs>
        <w:numPr>
          <w:ilvl w:val="1"/>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 keep confidential the Confidential Information disclosed to it by or on behalf of the Owners or howsoever otherwise obtained, developed or created by the Managers.</w:t>
      </w:r>
    </w:p>
    <w:p>
      <w:pPr>
        <w:spacing w:after="0" w:line="34" w:lineRule="exact"/>
        <w:rPr>
          <w:rFonts w:ascii="Times New Roman" w:cs="Times New Roman" w:eastAsia="Times New Roman" w:hAnsi="Times New Roman"/>
          <w:sz w:val="12"/>
          <w:szCs w:val="12"/>
          <w:color w:val="auto"/>
        </w:rPr>
      </w:pPr>
    </w:p>
    <w:p>
      <w:pPr>
        <w:ind w:left="480" w:hanging="163"/>
        <w:spacing w:after="0" w:line="236" w:lineRule="auto"/>
        <w:tabs>
          <w:tab w:leader="none" w:pos="480" w:val="left"/>
        </w:tabs>
        <w:numPr>
          <w:ilvl w:val="1"/>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w:t>
      </w:r>
    </w:p>
    <w:p>
      <w:pPr>
        <w:ind w:left="980" w:hanging="137"/>
        <w:spacing w:after="0"/>
        <w:tabs>
          <w:tab w:leader="none" w:pos="980"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the Confidential Information solely in connection with the performance of its obligations under this Agreement; and</w:t>
      </w:r>
    </w:p>
    <w:p>
      <w:pPr>
        <w:spacing w:after="0" w:line="4" w:lineRule="exact"/>
        <w:rPr>
          <w:rFonts w:ascii="Times New Roman" w:cs="Times New Roman" w:eastAsia="Times New Roman" w:hAnsi="Times New Roman"/>
          <w:sz w:val="12"/>
          <w:szCs w:val="12"/>
          <w:color w:val="auto"/>
        </w:rPr>
      </w:pPr>
    </w:p>
    <w:p>
      <w:pPr>
        <w:ind w:left="1020" w:hanging="177"/>
        <w:spacing w:after="0"/>
        <w:tabs>
          <w:tab w:leader="none" w:pos="1020" w:val="left"/>
        </w:tabs>
        <w:numPr>
          <w:ilvl w:val="2"/>
          <w:numId w:val="1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all action reasonably necessary to secure the Confidential Information against theft, loss or unauthorised disclosure.</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61" w:right="299" w:bottom="1440" w:gutter="0" w:footer="0" w:header="0"/>
        </w:sectPr>
      </w:pPr>
    </w:p>
    <w:bookmarkStart w:id="192" w:name="page193"/>
    <w:bookmarkEnd w:id="192"/>
    <w:p>
      <w:pPr>
        <w:ind w:left="600" w:hanging="343"/>
        <w:spacing w:after="0"/>
        <w:tabs>
          <w:tab w:leader="none" w:pos="60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restrictions on use or disclosure of Confidential Information in this clause 30 do not apply to information which is:</w:t>
      </w:r>
    </w:p>
    <w:p>
      <w:pPr>
        <w:ind w:left="920" w:hanging="137"/>
        <w:spacing w:after="0"/>
        <w:tabs>
          <w:tab w:leader="none" w:pos="92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available in the public domain, other than as a result of the Managers’ breach of any obligation under this clause 30; or</w:t>
      </w:r>
    </w:p>
    <w:p>
      <w:pPr>
        <w:spacing w:after="0" w:line="4" w:lineRule="exact"/>
        <w:rPr>
          <w:rFonts w:ascii="Times New Roman" w:cs="Times New Roman" w:eastAsia="Times New Roman" w:hAnsi="Times New Roman"/>
          <w:sz w:val="12"/>
          <w:szCs w:val="12"/>
          <w:color w:val="auto"/>
        </w:rPr>
      </w:pPr>
    </w:p>
    <w:p>
      <w:pPr>
        <w:ind w:left="960" w:hanging="177"/>
        <w:spacing w:after="0" w:line="236" w:lineRule="auto"/>
        <w:tabs>
          <w:tab w:leader="none" w:pos="96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lawfully acquired from a third party who owes no obligation of confidentiality in respect of the information; or</w:t>
      </w:r>
    </w:p>
    <w:p>
      <w:pPr>
        <w:ind w:left="1000" w:hanging="217"/>
        <w:spacing w:after="0"/>
        <w:tabs>
          <w:tab w:leader="none" w:pos="100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independently developed by the Managers, or was in the Managers’ lawful possession prior to receipt from the Owners.</w:t>
      </w:r>
    </w:p>
    <w:p>
      <w:pPr>
        <w:spacing w:after="0" w:line="4" w:lineRule="exact"/>
        <w:rPr>
          <w:rFonts w:ascii="Times New Roman" w:cs="Times New Roman" w:eastAsia="Times New Roman" w:hAnsi="Times New Roman"/>
          <w:sz w:val="12"/>
          <w:szCs w:val="12"/>
          <w:color w:val="auto"/>
        </w:rPr>
      </w:pPr>
    </w:p>
    <w:p>
      <w:pPr>
        <w:ind w:left="600" w:hanging="343"/>
        <w:spacing w:after="0"/>
        <w:tabs>
          <w:tab w:leader="none" w:pos="60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may disclose the Confidential Information without the prior written consent of the Owners:</w:t>
      </w:r>
    </w:p>
    <w:p>
      <w:pPr>
        <w:spacing w:after="0" w:line="117" w:lineRule="exact"/>
        <w:rPr>
          <w:rFonts w:ascii="Times New Roman" w:cs="Times New Roman" w:eastAsia="Times New Roman" w:hAnsi="Times New Roman"/>
          <w:sz w:val="12"/>
          <w:szCs w:val="12"/>
          <w:color w:val="auto"/>
        </w:rPr>
      </w:pPr>
    </w:p>
    <w:p>
      <w:pPr>
        <w:ind w:left="780" w:right="20" w:firstLine="3"/>
        <w:spacing w:after="0" w:line="255" w:lineRule="auto"/>
        <w:tabs>
          <w:tab w:leader="none" w:pos="923"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to their Affiliates and subcontractors, to whom disclosure is required for the performance of its obligations under this Agreement, but only to the extent necessary to perform such obligations (together the </w:t>
      </w:r>
      <w:r>
        <w:rPr>
          <w:rFonts w:ascii="Times New Roman" w:cs="Times New Roman" w:eastAsia="Times New Roman" w:hAnsi="Times New Roman"/>
          <w:sz w:val="12"/>
          <w:szCs w:val="12"/>
          <w:b w:val="1"/>
          <w:bCs w:val="1"/>
          <w:color w:val="auto"/>
        </w:rPr>
        <w:t>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Disclosees</w:t>
      </w:r>
      <w:r>
        <w:rPr>
          <w:rFonts w:ascii="Times New Roman" w:cs="Times New Roman" w:eastAsia="Times New Roman" w:hAnsi="Times New Roman"/>
          <w:sz w:val="12"/>
          <w:szCs w:val="12"/>
          <w:color w:val="auto"/>
        </w:rPr>
        <w:t>); or</w:t>
      </w:r>
    </w:p>
    <w:p>
      <w:pPr>
        <w:spacing w:after="0" w:line="115" w:lineRule="exact"/>
        <w:rPr>
          <w:rFonts w:ascii="Times New Roman" w:cs="Times New Roman" w:eastAsia="Times New Roman" w:hAnsi="Times New Roman"/>
          <w:sz w:val="12"/>
          <w:szCs w:val="12"/>
          <w:color w:val="auto"/>
        </w:rPr>
      </w:pPr>
    </w:p>
    <w:p>
      <w:pPr>
        <w:jc w:val="both"/>
        <w:ind w:left="780" w:right="20" w:firstLine="3"/>
        <w:spacing w:after="0" w:line="241" w:lineRule="auto"/>
        <w:tabs>
          <w:tab w:leader="none" w:pos="958"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to the extent that, such information is required to be disclosed (including by way of an Announcement) by the rules of any stock exchange or by any governmental, regulatory or supervisory body (including, without limitation, any taxation authority) or court of competent jurisdiction (</w:t>
      </w:r>
      <w:r>
        <w:rPr>
          <w:rFonts w:ascii="Times New Roman" w:cs="Times New Roman" w:eastAsia="Times New Roman" w:hAnsi="Times New Roman"/>
          <w:sz w:val="12"/>
          <w:szCs w:val="12"/>
          <w:b w:val="1"/>
          <w:bCs w:val="1"/>
          <w:color w:val="auto"/>
        </w:rPr>
        <w:t>Relevant Authority</w:t>
      </w:r>
      <w:r>
        <w:rPr>
          <w:rFonts w:ascii="Times New Roman" w:cs="Times New Roman" w:eastAsia="Times New Roman" w:hAnsi="Times New Roman"/>
          <w:sz w:val="12"/>
          <w:szCs w:val="12"/>
          <w:color w:val="auto"/>
        </w:rPr>
        <w:t>) to which the Managers are subject, provided that the Managers shall, if it is not so prohibited by law, provide the Owners with prompt notice of any such requirement or request.</w:t>
      </w:r>
    </w:p>
    <w:p>
      <w:pPr>
        <w:spacing w:after="0" w:line="124" w:lineRule="exact"/>
        <w:rPr>
          <w:rFonts w:ascii="Times New Roman" w:cs="Times New Roman" w:eastAsia="Times New Roman" w:hAnsi="Times New Roman"/>
          <w:sz w:val="12"/>
          <w:szCs w:val="12"/>
          <w:color w:val="auto"/>
        </w:rPr>
      </w:pPr>
    </w:p>
    <w:p>
      <w:pPr>
        <w:ind w:left="600" w:hanging="343"/>
        <w:spacing w:after="0"/>
        <w:tabs>
          <w:tab w:leader="none" w:pos="600" w:val="left"/>
        </w:tabs>
        <w:numPr>
          <w:ilvl w:val="0"/>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Managers shall:</w:t>
      </w:r>
    </w:p>
    <w:p>
      <w:pPr>
        <w:spacing w:after="0" w:line="132" w:lineRule="exact"/>
        <w:rPr>
          <w:rFonts w:ascii="Times New Roman" w:cs="Times New Roman" w:eastAsia="Times New Roman" w:hAnsi="Times New Roman"/>
          <w:sz w:val="12"/>
          <w:szCs w:val="12"/>
          <w:color w:val="auto"/>
        </w:rPr>
      </w:pPr>
    </w:p>
    <w:p>
      <w:pPr>
        <w:ind w:left="920" w:hanging="137"/>
        <w:spacing w:after="0"/>
        <w:tabs>
          <w:tab w:leader="none" w:pos="92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disclosing Confidential Information to a Permitted Disclosee, to the extent reasonably practicable, notify the Owners in writing of the intended disclosure and the identity of the intended Permitted Disclosee;</w:t>
      </w:r>
    </w:p>
    <w:p>
      <w:pPr>
        <w:spacing w:after="0" w:line="141" w:lineRule="exact"/>
        <w:rPr>
          <w:rFonts w:ascii="Times New Roman" w:cs="Times New Roman" w:eastAsia="Times New Roman" w:hAnsi="Times New Roman"/>
          <w:sz w:val="12"/>
          <w:szCs w:val="12"/>
          <w:color w:val="auto"/>
        </w:rPr>
      </w:pPr>
    </w:p>
    <w:p>
      <w:pPr>
        <w:ind w:left="960" w:hanging="177"/>
        <w:spacing w:after="0"/>
        <w:tabs>
          <w:tab w:leader="none" w:pos="96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such Permitted Disclosee is aware of and complies with the Managers’ obligations under this clause 30 as if it were the Managers; and</w:t>
      </w:r>
    </w:p>
    <w:p>
      <w:pPr>
        <w:spacing w:after="0" w:line="132" w:lineRule="exact"/>
        <w:rPr>
          <w:rFonts w:ascii="Times New Roman" w:cs="Times New Roman" w:eastAsia="Times New Roman" w:hAnsi="Times New Roman"/>
          <w:sz w:val="12"/>
          <w:szCs w:val="12"/>
          <w:color w:val="auto"/>
        </w:rPr>
      </w:pPr>
    </w:p>
    <w:p>
      <w:pPr>
        <w:ind w:left="1000" w:hanging="217"/>
        <w:spacing w:after="0"/>
        <w:tabs>
          <w:tab w:leader="none" w:pos="1000" w:val="left"/>
        </w:tabs>
        <w:numPr>
          <w:ilvl w:val="1"/>
          <w:numId w:val="1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responsible for the acts and omissions of any Permitted Disclosee in relation to the Confidential Information as if they were the acts or omissions of the Managers.</w:t>
      </w:r>
    </w:p>
    <w:p>
      <w:pPr>
        <w:spacing w:after="0" w:line="132" w:lineRule="exact"/>
        <w:rPr>
          <w:sz w:val="20"/>
          <w:szCs w:val="20"/>
          <w:color w:val="auto"/>
        </w:rPr>
      </w:pPr>
    </w:p>
    <w:p>
      <w:pPr>
        <w:ind w:left="480" w:hanging="125"/>
        <w:spacing w:after="0" w:line="248" w:lineRule="auto"/>
        <w:rPr>
          <w:sz w:val="20"/>
          <w:szCs w:val="20"/>
          <w:color w:val="auto"/>
        </w:rPr>
      </w:pPr>
      <w:r>
        <w:rPr>
          <w:rFonts w:ascii="Times New Roman" w:cs="Times New Roman" w:eastAsia="Times New Roman" w:hAnsi="Times New Roman"/>
          <w:sz w:val="12"/>
          <w:szCs w:val="12"/>
          <w:color w:val="auto"/>
        </w:rPr>
        <w:t>(f)The parties agree that damages may not be an adequate remedy for the Managers’ breach of this clause 30 and (to the extent permitted by the court) the Owners shall be entitled to seek an injunction or specific performance in respect of such breach.</w:t>
      </w:r>
    </w:p>
    <w:p>
      <w:pPr>
        <w:spacing w:after="0" w:line="116" w:lineRule="exact"/>
        <w:rPr>
          <w:sz w:val="20"/>
          <w:szCs w:val="20"/>
          <w:color w:val="auto"/>
        </w:rPr>
      </w:pPr>
    </w:p>
    <w:p>
      <w:pPr>
        <w:ind w:left="260" w:hanging="256"/>
        <w:spacing w:after="0"/>
        <w:tabs>
          <w:tab w:leader="none" w:pos="260" w:val="left"/>
        </w:tabs>
        <w:numPr>
          <w:ilvl w:val="0"/>
          <w:numId w:val="1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Interpretation</w:t>
      </w:r>
    </w:p>
    <w:p>
      <w:pPr>
        <w:spacing w:after="0" w:line="20" w:lineRule="exact"/>
        <w:rPr>
          <w:rFonts w:ascii="Times New Roman" w:cs="Times New Roman" w:eastAsia="Times New Roman" w:hAnsi="Times New Roman"/>
          <w:sz w:val="12"/>
          <w:szCs w:val="12"/>
          <w:b w:val="1"/>
          <w:bCs w:val="1"/>
          <w:color w:val="auto"/>
        </w:rPr>
      </w:pPr>
    </w:p>
    <w:p>
      <w:pPr>
        <w:ind w:left="260"/>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Agreement:</w:t>
      </w:r>
    </w:p>
    <w:p>
      <w:pPr>
        <w:spacing w:after="0" w:line="128" w:lineRule="exact"/>
        <w:rPr>
          <w:sz w:val="20"/>
          <w:szCs w:val="20"/>
          <w:color w:val="auto"/>
        </w:rPr>
      </w:pPr>
    </w:p>
    <w:p>
      <w:pPr>
        <w:ind w:left="460" w:hanging="203"/>
        <w:spacing w:after="0"/>
        <w:tabs>
          <w:tab w:leader="none" w:pos="460" w:val="left"/>
        </w:tabs>
        <w:numPr>
          <w:ilvl w:val="0"/>
          <w:numId w:val="166"/>
        </w:numPr>
        <w:rPr>
          <w:rFonts w:ascii="Times New Roman" w:cs="Times New Roman" w:eastAsia="Times New Roman" w:hAnsi="Times New Roman"/>
          <w:sz w:val="12"/>
          <w:szCs w:val="12"/>
          <w:b w:val="1"/>
          <w:bCs w:val="1"/>
          <w:i w:val="1"/>
          <w:iCs w:val="1"/>
          <w:color w:val="auto"/>
        </w:rPr>
      </w:pPr>
      <w:r>
        <w:rPr>
          <w:rFonts w:ascii="Times New Roman" w:cs="Times New Roman" w:eastAsia="Times New Roman" w:hAnsi="Times New Roman"/>
          <w:sz w:val="12"/>
          <w:szCs w:val="12"/>
          <w:i w:val="1"/>
          <w:iCs w:val="1"/>
          <w:color w:val="auto"/>
        </w:rPr>
        <w:t>Singular/Plural</w:t>
      </w:r>
    </w:p>
    <w:p>
      <w:pPr>
        <w:spacing w:after="0" w:line="1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singular includes the plural and vice versa as the context admits or requires.</w:t>
      </w:r>
    </w:p>
    <w:p>
      <w:pPr>
        <w:spacing w:after="0" w:line="138" w:lineRule="exact"/>
        <w:rPr>
          <w:sz w:val="20"/>
          <w:szCs w:val="20"/>
          <w:color w:val="auto"/>
        </w:rPr>
      </w:pPr>
    </w:p>
    <w:p>
      <w:pPr>
        <w:ind w:left="460" w:hanging="203"/>
        <w:spacing w:after="0"/>
        <w:tabs>
          <w:tab w:leader="none" w:pos="460" w:val="left"/>
        </w:tabs>
        <w:numPr>
          <w:ilvl w:val="0"/>
          <w:numId w:val="1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Headings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The index and heading to the clauses and appendices to this Agreement are for convenience only and shall not affect its construction or interpretation.</w:t>
      </w:r>
    </w:p>
    <w:p>
      <w:pPr>
        <w:spacing w:after="0" w:line="138" w:lineRule="exact"/>
        <w:rPr>
          <w:sz w:val="20"/>
          <w:szCs w:val="20"/>
          <w:color w:val="auto"/>
        </w:rPr>
      </w:pPr>
    </w:p>
    <w:p>
      <w:pPr>
        <w:ind w:left="440" w:hanging="183"/>
        <w:spacing w:after="0"/>
        <w:tabs>
          <w:tab w:leader="none" w:pos="440" w:val="left"/>
        </w:tabs>
        <w:numPr>
          <w:ilvl w:val="0"/>
          <w:numId w:val="16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Day</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color w:val="auto"/>
        </w:rPr>
        <w:t>“Day” means a calendar day unless expressly stated to the contrary</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2"/>
          <w:szCs w:val="12"/>
          <w:b w:val="1"/>
          <w:bCs w:val="1"/>
          <w:color w:val="auto"/>
        </w:rPr>
        <w:t>32.Acts of the Commercial Managers and Exclusive Broker (as applicable)</w:t>
      </w:r>
    </w:p>
    <w:p>
      <w:pPr>
        <w:spacing w:after="0" w:line="13" w:lineRule="exact"/>
        <w:rPr>
          <w:sz w:val="20"/>
          <w:szCs w:val="20"/>
          <w:color w:val="auto"/>
        </w:rPr>
      </w:pPr>
    </w:p>
    <w:p>
      <w:pPr>
        <w:jc w:val="both"/>
        <w:ind w:left="260" w:right="80"/>
        <w:spacing w:after="0" w:line="228" w:lineRule="auto"/>
        <w:rPr>
          <w:sz w:val="20"/>
          <w:szCs w:val="20"/>
          <w:color w:val="auto"/>
        </w:rPr>
      </w:pPr>
      <w:r>
        <w:rPr>
          <w:rFonts w:ascii="Times New Roman" w:cs="Times New Roman" w:eastAsia="Times New Roman" w:hAnsi="Times New Roman"/>
          <w:sz w:val="12"/>
          <w:szCs w:val="12"/>
          <w:color w:val="auto"/>
        </w:rPr>
        <w:t>Notwithstanding anything contained in this Agreement to the contrary, the Owners shall have no liability, through indemnification or otherwise, for any damages, losses, or claims of any kind whatsoever of the Managers arising from or in any way related to the acts or omissions of the Commercial Managers and/or the Exclusive Broker, nor shall the Managers have any right to terminate this Agreement for any circumstance or event arising out of or in any way related to any acts or omissions of the Commercial Managers and/or the Exclusive Broker.</w:t>
      </w:r>
    </w:p>
    <w:p>
      <w:pPr>
        <w:spacing w:after="0" w:line="5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-42545</wp:posOffset>
            </wp:positionH>
            <wp:positionV relativeFrom="paragraph">
              <wp:posOffset>10795</wp:posOffset>
            </wp:positionV>
            <wp:extent cx="717804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240"/>
          </w:cols>
          <w:pgMar w:left="360" w:top="570" w:right="2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2"/>
          <w:szCs w:val="12"/>
          <w:b w:val="1"/>
          <w:bCs w:val="1"/>
          <w:color w:val="auto"/>
        </w:rPr>
        <w:t>33.Owners’ Right to Assign</w:t>
      </w:r>
    </w:p>
    <w:p>
      <w:pPr>
        <w:spacing w:after="0" w:line="109" w:lineRule="exact"/>
        <w:rPr>
          <w:sz w:val="20"/>
          <w:szCs w:val="20"/>
          <w:color w:val="auto"/>
        </w:rPr>
      </w:pPr>
    </w:p>
    <w:p>
      <w:pPr>
        <w:jc w:val="both"/>
        <w:ind w:left="160" w:hanging="156"/>
        <w:spacing w:after="0" w:line="235" w:lineRule="auto"/>
        <w:tabs>
          <w:tab w:leader="none" w:pos="160" w:val="left"/>
        </w:tabs>
        <w:numPr>
          <w:ilvl w:val="0"/>
          <w:numId w:val="1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may assign all of their rights under this Agreement to any mortgagee of the Vessel provided that such assignment shall not otherwise prejudice the rights of the Managers to terminate this Agreement pursuant to the terms hereof. Upon satisfaction of the condition set forth in the first sentence of this Clause 33(a), the Managers hereby agree to enter into an acknowledgment of such assignment in such form as the mortgagee may reasonably request.</w:t>
      </w:r>
    </w:p>
    <w:p>
      <w:pPr>
        <w:spacing w:after="0" w:line="116" w:lineRule="exact"/>
        <w:rPr>
          <w:rFonts w:ascii="Times New Roman" w:cs="Times New Roman" w:eastAsia="Times New Roman" w:hAnsi="Times New Roman"/>
          <w:sz w:val="12"/>
          <w:szCs w:val="12"/>
          <w:b w:val="1"/>
          <w:bCs w:val="1"/>
          <w:color w:val="auto"/>
        </w:rPr>
      </w:pPr>
    </w:p>
    <w:p>
      <w:pPr>
        <w:ind w:left="160" w:hanging="156"/>
        <w:spacing w:after="0"/>
        <w:tabs>
          <w:tab w:leader="none" w:pos="160" w:val="left"/>
        </w:tabs>
        <w:numPr>
          <w:ilvl w:val="0"/>
          <w:numId w:val="1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Managers may not assign all or any of their rights under this Agreement without the prior written consent of the Owners;</w:t>
      </w:r>
    </w:p>
    <w:p>
      <w:pPr>
        <w:spacing w:after="0" w:line="150" w:lineRule="exact"/>
        <w:rPr>
          <w:rFonts w:ascii="Times New Roman" w:cs="Times New Roman" w:eastAsia="Times New Roman" w:hAnsi="Times New Roman"/>
          <w:sz w:val="12"/>
          <w:szCs w:val="12"/>
          <w:b w:val="1"/>
          <w:bCs w:val="1"/>
          <w:color w:val="auto"/>
        </w:rPr>
      </w:pPr>
    </w:p>
    <w:p>
      <w:pPr>
        <w:ind w:left="160" w:hanging="156"/>
        <w:spacing w:after="0"/>
        <w:tabs>
          <w:tab w:leader="none" w:pos="160" w:val="left"/>
        </w:tabs>
        <w:numPr>
          <w:ilvl w:val="0"/>
          <w:numId w:val="1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Neither party shall be entitled to transfer all or any of its obligations, duties or liabilities under this Agreement unless:</w:t>
      </w:r>
    </w:p>
    <w:p>
      <w:pPr>
        <w:spacing w:after="0" w:line="18" w:lineRule="exact"/>
        <w:rPr>
          <w:rFonts w:ascii="Times New Roman" w:cs="Times New Roman" w:eastAsia="Times New Roman" w:hAnsi="Times New Roman"/>
          <w:sz w:val="12"/>
          <w:szCs w:val="12"/>
          <w:b w:val="1"/>
          <w:bCs w:val="1"/>
          <w:color w:val="auto"/>
        </w:rPr>
      </w:pPr>
    </w:p>
    <w:p>
      <w:pPr>
        <w:ind w:left="340" w:hanging="165"/>
        <w:spacing w:after="0"/>
        <w:tabs>
          <w:tab w:leader="none" w:pos="340" w:val="left"/>
        </w:tabs>
        <w:numPr>
          <w:ilvl w:val="2"/>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same is expressly permitted under the terms of this Agreement; or</w:t>
      </w:r>
    </w:p>
    <w:p>
      <w:pPr>
        <w:spacing w:after="0" w:line="6" w:lineRule="exact"/>
        <w:rPr>
          <w:rFonts w:ascii="Times New Roman" w:cs="Times New Roman" w:eastAsia="Times New Roman" w:hAnsi="Times New Roman"/>
          <w:sz w:val="12"/>
          <w:szCs w:val="12"/>
          <w:color w:val="auto"/>
        </w:rPr>
      </w:pPr>
    </w:p>
    <w:p>
      <w:pPr>
        <w:ind w:left="340" w:hanging="165"/>
        <w:spacing w:after="0"/>
        <w:tabs>
          <w:tab w:leader="none" w:pos="340" w:val="left"/>
        </w:tabs>
        <w:numPr>
          <w:ilvl w:val="2"/>
          <w:numId w:val="1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received the prior written consent of the other party.</w:t>
      </w:r>
    </w:p>
    <w:p>
      <w:pPr>
        <w:spacing w:after="0" w:line="143" w:lineRule="exact"/>
        <w:rPr>
          <w:rFonts w:ascii="Times New Roman" w:cs="Times New Roman" w:eastAsia="Times New Roman" w:hAnsi="Times New Roman"/>
          <w:sz w:val="12"/>
          <w:szCs w:val="12"/>
          <w:color w:val="auto"/>
        </w:rPr>
      </w:pPr>
    </w:p>
    <w:p>
      <w:pPr>
        <w:ind w:left="360" w:hanging="352"/>
        <w:spacing w:after="0"/>
        <w:tabs>
          <w:tab w:leader="none" w:pos="360" w:val="left"/>
        </w:tabs>
        <w:numPr>
          <w:ilvl w:val="1"/>
          <w:numId w:val="1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Guarantee</w:t>
      </w:r>
    </w:p>
    <w:p>
      <w:pPr>
        <w:spacing w:after="0" w:line="154" w:lineRule="exact"/>
        <w:rPr>
          <w:sz w:val="20"/>
          <w:szCs w:val="20"/>
          <w:color w:val="auto"/>
        </w:rPr>
      </w:pPr>
    </w:p>
    <w:p>
      <w:pPr>
        <w:jc w:val="both"/>
        <w:ind w:left="80" w:right="80"/>
        <w:spacing w:after="0" w:line="231" w:lineRule="auto"/>
        <w:rPr>
          <w:sz w:val="20"/>
          <w:szCs w:val="20"/>
          <w:color w:val="auto"/>
        </w:rPr>
      </w:pPr>
      <w:r>
        <w:rPr>
          <w:rFonts w:ascii="Times New Roman" w:cs="Times New Roman" w:eastAsia="Times New Roman" w:hAnsi="Times New Roman"/>
          <w:sz w:val="12"/>
          <w:szCs w:val="12"/>
          <w:color w:val="auto"/>
        </w:rPr>
        <w:t xml:space="preserve">The Parent (as primary obligor, and not merely as surety) hereby irrevocably, absolutely and unconditionally guarantees to the Manager the full and prompt performance by Owners of all of Owners’ liabilities and obligations under this Agreement, whether as to payment or otherwise (“the </w:t>
      </w:r>
      <w:r>
        <w:rPr>
          <w:rFonts w:ascii="Times New Roman" w:cs="Times New Roman" w:eastAsia="Times New Roman" w:hAnsi="Times New Roman"/>
          <w:sz w:val="12"/>
          <w:szCs w:val="12"/>
          <w:b w:val="1"/>
          <w:bCs w:val="1"/>
          <w:color w:val="auto"/>
        </w:rPr>
        <w:t>Owners’ Obligations”</w:t>
      </w:r>
      <w:r>
        <w:rPr>
          <w:rFonts w:ascii="Times New Roman" w:cs="Times New Roman" w:eastAsia="Times New Roman" w:hAnsi="Times New Roman"/>
          <w:sz w:val="12"/>
          <w:szCs w:val="12"/>
          <w:color w:val="auto"/>
        </w:rPr>
        <w:t>) when the same are to be paid or performed, as the case may be. Owners’ obligations hereunder shall not be affected by any facts or circumstances that might constitute a discharge of or defence to any Owners’ Obligation available to the Parent but not available to Owners, and the Parent hereby expressly waives and renounces any and all such discharges and defences. This guarantee shall be unaffected by any amendment of or supplement to this Agreement, or by the grant of any time or indulgence to Owners by the Managers.</w:t>
      </w:r>
    </w:p>
    <w:p>
      <w:pPr>
        <w:spacing w:after="0" w:line="19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7178040" cy="57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557" w:right="299" w:bottom="1440" w:gutter="0" w:footer="0" w:header="0"/>
        </w:sectPr>
      </w:pPr>
    </w:p>
    <w:bookmarkStart w:id="194" w:name="page195"/>
    <w:bookmarkEnd w:id="194"/>
    <w:p>
      <w:pPr>
        <w:jc w:val="center"/>
        <w:ind w:right="237"/>
        <w:spacing w:after="0"/>
        <w:rPr>
          <w:sz w:val="20"/>
          <w:szCs w:val="20"/>
          <w:color w:val="auto"/>
        </w:rPr>
      </w:pPr>
      <w:r>
        <w:rPr>
          <w:rFonts w:ascii="Times New Roman" w:cs="Times New Roman" w:eastAsia="Times New Roman" w:hAnsi="Times New Roman"/>
          <w:sz w:val="12"/>
          <w:szCs w:val="12"/>
          <w:b w:val="1"/>
          <w:bCs w:val="1"/>
          <w:color w:val="auto"/>
        </w:rPr>
        <w:t>APPENDIX</w:t>
      </w:r>
    </w:p>
    <w:p>
      <w:pPr>
        <w:spacing w:after="0" w:line="150" w:lineRule="exact"/>
        <w:rPr>
          <w:sz w:val="20"/>
          <w:szCs w:val="20"/>
          <w:color w:val="auto"/>
        </w:rPr>
      </w:pPr>
    </w:p>
    <w:p>
      <w:pPr>
        <w:jc w:val="both"/>
        <w:ind w:left="3"/>
        <w:spacing w:after="0" w:line="231" w:lineRule="auto"/>
        <w:rPr>
          <w:sz w:val="20"/>
          <w:szCs w:val="20"/>
          <w:color w:val="auto"/>
        </w:rPr>
      </w:pPr>
      <w:r>
        <w:rPr>
          <w:rFonts w:ascii="Times New Roman" w:cs="Times New Roman" w:eastAsia="Times New Roman" w:hAnsi="Times New Roman"/>
          <w:sz w:val="12"/>
          <w:szCs w:val="12"/>
          <w:b w:val="1"/>
          <w:bCs w:val="1"/>
          <w:color w:val="auto"/>
        </w:rPr>
        <w:t xml:space="preserve">Accounting and Records. </w:t>
      </w:r>
      <w:r>
        <w:rPr>
          <w:rFonts w:ascii="Times New Roman" w:cs="Times New Roman" w:eastAsia="Times New Roman" w:hAnsi="Times New Roman"/>
          <w:sz w:val="12"/>
          <w:szCs w:val="12"/>
          <w:color w:val="auto"/>
        </w:rPr>
        <w:t>The Managers shall, on behalf of the Group, establish an accounting system, including the development, implementation and maintenance over financial reporting and disclosure controls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procedures, and maintain Books and Records, with such modifications as may be necessary to comply with Applicable Laws. The Books and Records shall contain particulars of receipts and disbursements relating to the Group’s assets and liabilities and shall be kept pursuant to normal commercial practices that will permit consolidated financial statements to be prepared for the Parent in accordance with US GAAP and stand-alone and, if required, consolidated financial statements for its Subsidiaries under appropriate GAAP. The Books and Records shall be the property of the Group but shall be kept at the Managers’ primary office or such other place as the Group and the Managers may mutually agree. Upon expiration or termination of this Agreement, all of the Books and Records shall be provided to the Parent or as the Parent shall direct. The internal control over financial reporting and disclosure controls and procedures shall be designed to be effective in the context of the Parent’s management’s obligation to report annually on such controls.</w:t>
      </w:r>
    </w:p>
    <w:p>
      <w:pPr>
        <w:spacing w:after="0" w:line="112"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Reporting Requirements. </w:t>
      </w:r>
      <w:r>
        <w:rPr>
          <w:rFonts w:ascii="Times New Roman" w:cs="Times New Roman" w:eastAsia="Times New Roman" w:hAnsi="Times New Roman"/>
          <w:sz w:val="12"/>
          <w:szCs w:val="12"/>
          <w:color w:val="auto"/>
        </w:rPr>
        <w:t>The Managers shall prepare and deliver to the Chief Executive Officer and the Chief Financial Officer of the Parent the following reports, which the Managers shall use its reasonable best efforts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prepare and deliver within the time periods specified below or, if not so specified, within the time period requested by the relevant party:</w:t>
      </w:r>
    </w:p>
    <w:p>
      <w:pPr>
        <w:spacing w:after="0" w:line="107" w:lineRule="exact"/>
        <w:rPr>
          <w:sz w:val="20"/>
          <w:szCs w:val="20"/>
          <w:color w:val="auto"/>
        </w:rPr>
      </w:pPr>
    </w:p>
    <w:p>
      <w:pPr>
        <w:ind w:left="3" w:hanging="3"/>
        <w:spacing w:after="0" w:line="248" w:lineRule="auto"/>
        <w:tabs>
          <w:tab w:leader="none" w:pos="169"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quarterly report, including draft Earnings Release, to be delivered within 30 days of the end of each Fiscal Quarter (45 days for the Fiscal Quarter ending December 31 in each year) setting out the interim financial results of the Company for such quarter and for the applicable Fiscal Year through the end of such Fiscal Quarter;</w:t>
      </w:r>
    </w:p>
    <w:p>
      <w:pPr>
        <w:spacing w:after="0" w:line="110" w:lineRule="exact"/>
        <w:rPr>
          <w:rFonts w:ascii="Times New Roman" w:cs="Times New Roman" w:eastAsia="Times New Roman" w:hAnsi="Times New Roman"/>
          <w:sz w:val="12"/>
          <w:szCs w:val="12"/>
          <w:color w:val="auto"/>
        </w:rPr>
      </w:pPr>
    </w:p>
    <w:p>
      <w:pPr>
        <w:ind w:left="3" w:hanging="3"/>
        <w:spacing w:after="0" w:line="248" w:lineRule="auto"/>
        <w:tabs>
          <w:tab w:leader="none" w:pos="178"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and when requested by the Board of Directors, the Chief Executive Officer or the Chief Financial Officer, draft reports regarding financial and other information required in connection with Applicable Laws (including annual and other reports that may be required to be filed under the Exchange Act and all other Applicable Laws); and</w:t>
      </w:r>
    </w:p>
    <w:p>
      <w:pPr>
        <w:spacing w:after="0" w:line="110"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and when reasonably requested by the Parent from time to time, such other reports with respect to financial and other information of the Group.</w:t>
      </w:r>
    </w:p>
    <w:p>
      <w:pPr>
        <w:spacing w:after="0" w:line="128" w:lineRule="exact"/>
        <w:rPr>
          <w:sz w:val="20"/>
          <w:szCs w:val="20"/>
          <w:color w:val="auto"/>
        </w:rPr>
      </w:pPr>
    </w:p>
    <w:p>
      <w:pPr>
        <w:ind w:left="3"/>
        <w:spacing w:after="0" w:line="271" w:lineRule="auto"/>
        <w:rPr>
          <w:sz w:val="20"/>
          <w:szCs w:val="20"/>
          <w:color w:val="auto"/>
        </w:rPr>
      </w:pPr>
      <w:r>
        <w:rPr>
          <w:rFonts w:ascii="Times New Roman" w:cs="Times New Roman" w:eastAsia="Times New Roman" w:hAnsi="Times New Roman"/>
          <w:sz w:val="12"/>
          <w:szCs w:val="12"/>
          <w:b w:val="1"/>
          <w:bCs w:val="1"/>
          <w:color w:val="auto"/>
        </w:rPr>
        <w:t xml:space="preserve">Financial Statements and Tax Returns. </w:t>
      </w:r>
      <w:r>
        <w:rPr>
          <w:rFonts w:ascii="Times New Roman" w:cs="Times New Roman" w:eastAsia="Times New Roman" w:hAnsi="Times New Roman"/>
          <w:sz w:val="12"/>
          <w:szCs w:val="12"/>
          <w:color w:val="auto"/>
        </w:rPr>
        <w:t>At the instruction of the Chief Financial Officer, the Managers shall prepare and deliver for review by the Chief Financial Officer and the Audit Committee of the Board of Directors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following, which the Managers shall use its reasonable best efforts to prepare and deliver within the time periods specified below or, if not so specified, within the time period requested by the relevant party:</w:t>
      </w:r>
    </w:p>
    <w:p>
      <w:pPr>
        <w:spacing w:after="0" w:line="97" w:lineRule="exact"/>
        <w:rPr>
          <w:sz w:val="20"/>
          <w:szCs w:val="20"/>
          <w:color w:val="auto"/>
        </w:rPr>
      </w:pPr>
    </w:p>
    <w:p>
      <w:pPr>
        <w:ind w:left="3" w:hanging="3"/>
        <w:spacing w:after="0" w:line="248" w:lineRule="auto"/>
        <w:tabs>
          <w:tab w:leader="none" w:pos="167"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30 days of the end of each Fiscal Quarter, unaudited financial statements of the Parent for such Fiscal Quarter, reviewed by the external auditors of the Parent, prepared in accordance with US GAAP and the rules and regulations of the SEC, on a consolidated basis with all Subsidiaries of the Parent;</w:t>
      </w:r>
    </w:p>
    <w:p>
      <w:pPr>
        <w:spacing w:after="0" w:line="110" w:lineRule="exact"/>
        <w:rPr>
          <w:rFonts w:ascii="Times New Roman" w:cs="Times New Roman" w:eastAsia="Times New Roman" w:hAnsi="Times New Roman"/>
          <w:sz w:val="12"/>
          <w:szCs w:val="12"/>
          <w:color w:val="auto"/>
        </w:rPr>
      </w:pPr>
    </w:p>
    <w:p>
      <w:pPr>
        <w:ind w:left="3" w:hanging="3"/>
        <w:spacing w:after="0" w:line="248" w:lineRule="auto"/>
        <w:tabs>
          <w:tab w:leader="none" w:pos="174"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45 days of the end of each Fiscal Year, financial statements of the Parent for such Fiscal Year, audited by the external auditors of the Parent, prepared in accordance with US GAAP and the rules and regulations of the SEC, on a consolidated basis with all Subsidiaries of the Parent;</w:t>
      </w:r>
    </w:p>
    <w:p>
      <w:pPr>
        <w:spacing w:after="0" w:line="110" w:lineRule="exact"/>
        <w:rPr>
          <w:rFonts w:ascii="Times New Roman" w:cs="Times New Roman" w:eastAsia="Times New Roman" w:hAnsi="Times New Roman"/>
          <w:sz w:val="12"/>
          <w:szCs w:val="12"/>
          <w:color w:val="auto"/>
        </w:rPr>
      </w:pPr>
    </w:p>
    <w:p>
      <w:pPr>
        <w:ind w:left="3" w:hanging="3"/>
        <w:spacing w:after="0" w:line="248" w:lineRule="auto"/>
        <w:tabs>
          <w:tab w:leader="none" w:pos="170"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any deadlines imposed by any regulatory authorities or in order to comply with covenants in borrowing facilities, financial statements of the Parent and Subsidiaries (included on a sub-consolidated basis if required) for such Fiscal Year, audited by the external auditors, prepared in accordance with US GAAP or other GAAP as appropriate; and</w:t>
      </w:r>
    </w:p>
    <w:p>
      <w:pPr>
        <w:spacing w:after="0" w:line="110"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returns for the Parent and all of its Subsidiaries required to be filed by Applicable Laws.</w:t>
      </w:r>
    </w:p>
    <w:p>
      <w:pPr>
        <w:spacing w:after="0" w:line="132" w:lineRule="exact"/>
        <w:rPr>
          <w:sz w:val="20"/>
          <w:szCs w:val="20"/>
          <w:color w:val="auto"/>
        </w:rPr>
      </w:pPr>
    </w:p>
    <w:p>
      <w:pPr>
        <w:jc w:val="both"/>
        <w:ind w:left="3"/>
        <w:spacing w:after="0" w:line="241" w:lineRule="auto"/>
        <w:rPr>
          <w:sz w:val="20"/>
          <w:szCs w:val="20"/>
          <w:color w:val="auto"/>
        </w:rPr>
      </w:pPr>
      <w:r>
        <w:rPr>
          <w:rFonts w:ascii="Times New Roman" w:cs="Times New Roman" w:eastAsia="Times New Roman" w:hAnsi="Times New Roman"/>
          <w:sz w:val="12"/>
          <w:szCs w:val="12"/>
          <w:color w:val="auto"/>
        </w:rPr>
        <w:t>Notwithstanding the foregoing, in the event that the Parent’s reporting obligations are accelerated under the Exchange Act beyond what such obligations are at the time of the commencement of this Agreement, the Managers shall use its reasonable best efforts to provide to the Parent the financial statements referred to in clauses (a) and (b) above within such periods as shall be required for the Parent to comply with any reporting requirements under the Exchange Act or other similar applicable laws and regulations.</w:t>
      </w:r>
    </w:p>
    <w:p>
      <w:pPr>
        <w:spacing w:after="0" w:line="115"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12"/>
          <w:szCs w:val="12"/>
          <w:color w:val="auto"/>
        </w:rPr>
        <w:t>In addition, the Managers shall attend to the timely calculation and payment of all taxes payable by the Group. At the instruction of the Chief Financial Officer, the Managers shall cause the Parent’s external accountants to review the Parent’s unaudited financial statements, audit the Parent’s and the Subsidiaries’ annual financial statements, review internal controls and finalize tax returns. The Managers shall make available to the Parent’s accountants the relevant Books and Records for the Company and the Subsidiaries and shall assist the accountants in their duties.</w:t>
      </w:r>
    </w:p>
    <w:p>
      <w:pPr>
        <w:spacing w:after="0" w:line="198"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3"/>
          </w:cols>
          <w:pgMar w:left="617" w:top="719" w:right="379" w:bottom="1440" w:gutter="0" w:footer="0" w:header="0"/>
        </w:sectPr>
      </w:pPr>
    </w:p>
    <w:bookmarkStart w:id="195" w:name="page196"/>
    <w:bookmarkEnd w:id="195"/>
    <w:p>
      <w:pPr>
        <w:ind w:left="23"/>
        <w:spacing w:after="0"/>
        <w:rPr>
          <w:sz w:val="20"/>
          <w:szCs w:val="20"/>
          <w:color w:val="auto"/>
        </w:rPr>
      </w:pPr>
      <w:r>
        <w:rPr>
          <w:rFonts w:ascii="Times New Roman" w:cs="Times New Roman" w:eastAsia="Times New Roman" w:hAnsi="Times New Roman"/>
          <w:sz w:val="12"/>
          <w:szCs w:val="12"/>
          <w:b w:val="1"/>
          <w:bCs w:val="1"/>
          <w:color w:val="auto"/>
        </w:rPr>
        <w:t>Legal and Securities Compliance Services.</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(a) Responsibilities of the Managers.</w:t>
      </w:r>
    </w:p>
    <w:p>
      <w:pPr>
        <w:spacing w:after="0" w:line="1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The Managers shall assist the Group with the following items, whether or not related to any of the Vessels:</w:t>
      </w:r>
    </w:p>
    <w:p>
      <w:pPr>
        <w:spacing w:after="0" w:line="9" w:lineRule="exact"/>
        <w:rPr>
          <w:sz w:val="20"/>
          <w:szCs w:val="20"/>
          <w:color w:val="auto"/>
        </w:rPr>
      </w:pPr>
    </w:p>
    <w:p>
      <w:pPr>
        <w:ind w:left="3" w:hanging="3"/>
        <w:spacing w:after="0" w:line="233" w:lineRule="auto"/>
        <w:tabs>
          <w:tab w:leader="none" w:pos="15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all Applicable Laws, including all relevant securities laws and the rules and regulations of the SEC, the New York Stock Exchange or any other securities exchange upon which the Parent’s securities are listed;</w:t>
      </w:r>
    </w:p>
    <w:p>
      <w:pPr>
        <w:spacing w:after="0" w:line="116" w:lineRule="exact"/>
        <w:rPr>
          <w:rFonts w:ascii="Times New Roman" w:cs="Times New Roman" w:eastAsia="Times New Roman" w:hAnsi="Times New Roman"/>
          <w:sz w:val="12"/>
          <w:szCs w:val="12"/>
          <w:color w:val="auto"/>
        </w:rPr>
      </w:pPr>
    </w:p>
    <w:p>
      <w:pPr>
        <w:ind w:left="3" w:hanging="3"/>
        <w:spacing w:after="0" w:line="248" w:lineRule="auto"/>
        <w:tabs>
          <w:tab w:leader="none" w:pos="18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arranging for the provision of advisory services to the Parent with respect to the Parent’s obligations under applicable securities laws in the United States and disclosure and reporting obligations under applicable securities laws, including the preparation for review, approval and filing by the Parent of reports and other documents with the SEC and all other applicable regulatory authorities;</w:t>
      </w:r>
    </w:p>
    <w:p>
      <w:pPr>
        <w:spacing w:after="0" w:line="119" w:lineRule="exact"/>
        <w:rPr>
          <w:rFonts w:ascii="Times New Roman" w:cs="Times New Roman" w:eastAsia="Times New Roman" w:hAnsi="Times New Roman"/>
          <w:sz w:val="12"/>
          <w:szCs w:val="12"/>
          <w:color w:val="auto"/>
        </w:rPr>
      </w:pPr>
    </w:p>
    <w:p>
      <w:pPr>
        <w:ind w:left="203" w:hanging="203"/>
        <w:spacing w:after="0"/>
        <w:tabs>
          <w:tab w:leader="none" w:pos="20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maintaining the Group’s corporate existence and good standing in all necessary jurisdictions and assisting in all other corporate and regulatory compliance matters;</w:t>
      </w:r>
    </w:p>
    <w:p>
      <w:pPr>
        <w:spacing w:after="0" w:line="132" w:lineRule="exact"/>
        <w:rPr>
          <w:rFonts w:ascii="Times New Roman" w:cs="Times New Roman" w:eastAsia="Times New Roman" w:hAnsi="Times New Roman"/>
          <w:sz w:val="12"/>
          <w:szCs w:val="12"/>
          <w:color w:val="auto"/>
        </w:rPr>
      </w:pPr>
    </w:p>
    <w:p>
      <w:pPr>
        <w:ind w:left="203" w:hanging="203"/>
        <w:spacing w:after="0"/>
        <w:tabs>
          <w:tab w:leader="none" w:pos="20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information required by any credit rating agencies;</w:t>
      </w:r>
    </w:p>
    <w:p>
      <w:pPr>
        <w:spacing w:after="0" w:line="132"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support to the Parent with respect to investor relations including maintenance and monitoring of its website;</w:t>
      </w:r>
    </w:p>
    <w:p>
      <w:pPr>
        <w:spacing w:after="0" w:line="141" w:lineRule="exact"/>
        <w:rPr>
          <w:rFonts w:ascii="Times New Roman" w:cs="Times New Roman" w:eastAsia="Times New Roman" w:hAnsi="Times New Roman"/>
          <w:sz w:val="12"/>
          <w:szCs w:val="12"/>
          <w:color w:val="auto"/>
        </w:rPr>
      </w:pPr>
    </w:p>
    <w:p>
      <w:pPr>
        <w:ind w:left="3" w:hanging="3"/>
        <w:spacing w:after="0" w:line="248" w:lineRule="auto"/>
        <w:tabs>
          <w:tab w:leader="none" w:pos="215"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legal support for transactions, including but not limited to negotiation and documentation of Memoranda of Agreement for the sale and purchase of vessels, new building contracts for vessels, charter parties, vessel financings; and</w:t>
      </w:r>
    </w:p>
    <w:p>
      <w:pPr>
        <w:spacing w:after="0" w:line="110" w:lineRule="exact"/>
        <w:rPr>
          <w:rFonts w:ascii="Times New Roman" w:cs="Times New Roman" w:eastAsia="Times New Roman" w:hAnsi="Times New Roman"/>
          <w:sz w:val="12"/>
          <w:szCs w:val="12"/>
          <w:color w:val="auto"/>
        </w:rPr>
      </w:pPr>
    </w:p>
    <w:p>
      <w:pPr>
        <w:ind w:left="243" w:hanging="243"/>
        <w:spacing w:after="0"/>
        <w:tabs>
          <w:tab w:leader="none" w:pos="243" w:val="left"/>
        </w:tabs>
        <w:numPr>
          <w:ilvl w:val="0"/>
          <w:numId w:val="1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adjusting and negotiating settlements, with or on behalf of claimants or underwriters, of any claim, damages for which are recoverable under insurance policies (subject to any applicable deductible).</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(b) Administration and Settlement of Legal Actions.</w:t>
      </w:r>
    </w:p>
    <w:p>
      <w:pPr>
        <w:spacing w:after="0" w:line="132"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12"/>
          <w:szCs w:val="12"/>
          <w:color w:val="auto"/>
        </w:rPr>
        <w:t>If any Legal Action is commenced against or is required to be commenced in favor of the Group or any of the Vessels, the Managers shall arrange for the commencement or defense of such Legal Action, as the case may be, in the name of, on behalf of and at the expense of the Group, including retaining and instructing legal counsel, investigating the substance of the Legal Action and entering pleadings with respect to the Legal Action. The Managers shall assist the Group in administering and supervising any such Legal Actions and shall keep the Group advised of the status thereof. The Managers may settle any Legal Action on behalf of a Group where the amount of settlement is less than $500,000 with the approval of the Chief Executive Officer or the Chief Financial Officer and, in excess of such amount, with the approval of the Board of Directors.</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(c) Interaction with Regulatory Authorities.</w:t>
      </w:r>
    </w:p>
    <w:p>
      <w:pPr>
        <w:spacing w:after="0" w:line="132" w:lineRule="exact"/>
        <w:rPr>
          <w:sz w:val="20"/>
          <w:szCs w:val="20"/>
          <w:color w:val="auto"/>
        </w:rPr>
      </w:pPr>
    </w:p>
    <w:p>
      <w:pPr>
        <w:jc w:val="both"/>
        <w:ind w:left="3"/>
        <w:spacing w:after="0" w:line="248" w:lineRule="auto"/>
        <w:rPr>
          <w:sz w:val="20"/>
          <w:szCs w:val="20"/>
          <w:color w:val="auto"/>
        </w:rPr>
      </w:pPr>
      <w:r>
        <w:rPr>
          <w:rFonts w:ascii="Times New Roman" w:cs="Times New Roman" w:eastAsia="Times New Roman" w:hAnsi="Times New Roman"/>
          <w:sz w:val="12"/>
          <w:szCs w:val="12"/>
          <w:color w:val="auto"/>
        </w:rPr>
        <w:t>Notwithstanding anything in this Appendix or otherwise, the Managers shall not act for or on behalf of the Group in its relationships with any regulatory authorities except to the extent specifically authorized by the Parent from time to time.</w:t>
      </w:r>
    </w:p>
    <w:p>
      <w:pPr>
        <w:spacing w:after="0" w:line="188"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2"/>
          <w:szCs w:val="12"/>
          <w:b w:val="1"/>
          <w:bCs w:val="1"/>
          <w:color w:val="auto"/>
        </w:rPr>
        <w:t>Bank Accounts.</w:t>
      </w:r>
    </w:p>
    <w:p>
      <w:pPr>
        <w:spacing w:after="0" w:line="21" w:lineRule="exact"/>
        <w:rPr>
          <w:sz w:val="20"/>
          <w:szCs w:val="20"/>
          <w:color w:val="auto"/>
        </w:rPr>
      </w:pPr>
    </w:p>
    <w:p>
      <w:pPr>
        <w:jc w:val="both"/>
        <w:ind w:left="3"/>
        <w:spacing w:after="0" w:line="226" w:lineRule="auto"/>
        <w:rPr>
          <w:sz w:val="20"/>
          <w:szCs w:val="20"/>
          <w:color w:val="auto"/>
        </w:rPr>
      </w:pPr>
      <w:r>
        <w:rPr>
          <w:rFonts w:ascii="Times New Roman" w:cs="Times New Roman" w:eastAsia="Times New Roman" w:hAnsi="Times New Roman"/>
          <w:sz w:val="12"/>
          <w:szCs w:val="12"/>
          <w:color w:val="auto"/>
        </w:rPr>
        <w:t>The Managers shall oversee banking services for the Group and shall, where necessary, establish in the name of the Parent and its Subsidiaries such bank accounts with such financial institutions as the Parent and its Subsidiaries may request. The Managers shall administer and manage all of the Group’s cash and accounts, including making any deposits and withdrawals reasonably necessary for the management of its business and day-to-day operations. The Managers shall promptly deposit all moneys payable to the Group and received by the Managers into a bank account held in the name of the Parent or its Subsidiaries. This provision, and any and all other provisions required to give effect to this provision, shall become effective on the Effective Date.</w:t>
      </w:r>
    </w:p>
    <w:p>
      <w:pPr>
        <w:spacing w:after="0" w:line="194"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2"/>
          <w:szCs w:val="12"/>
          <w:b w:val="1"/>
          <w:bCs w:val="1"/>
          <w:color w:val="auto"/>
        </w:rPr>
        <w:t>Corporate Planning.</w:t>
      </w:r>
    </w:p>
    <w:p>
      <w:pPr>
        <w:spacing w:after="0" w:line="14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The Managers shall:</w:t>
      </w:r>
    </w:p>
    <w:p>
      <w:pPr>
        <w:spacing w:after="0" w:line="132" w:lineRule="exact"/>
        <w:rPr>
          <w:sz w:val="20"/>
          <w:szCs w:val="20"/>
          <w:color w:val="auto"/>
        </w:rPr>
      </w:pPr>
    </w:p>
    <w:p>
      <w:pPr>
        <w:ind w:left="163" w:hanging="163"/>
        <w:spacing w:after="0"/>
        <w:tabs>
          <w:tab w:leader="none" w:pos="163"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oversee preparation of annual budget, including working capital requirements;</w:t>
      </w:r>
    </w:p>
    <w:p>
      <w:pPr>
        <w:spacing w:after="0" w:line="141"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develop forecasts and projections, including profitability analysis; and</w:t>
      </w:r>
    </w:p>
    <w:p>
      <w:pPr>
        <w:spacing w:after="0" w:line="132"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investment appraisals;</w:t>
      </w:r>
    </w:p>
    <w:p>
      <w:pPr>
        <w:spacing w:after="0" w:line="204"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3"/>
          </w:cols>
          <w:pgMar w:left="617" w:top="575" w:right="379" w:bottom="1440" w:gutter="0" w:footer="0" w:header="0"/>
        </w:sectPr>
      </w:pPr>
    </w:p>
    <w:bookmarkStart w:id="196" w:name="page197"/>
    <w:bookmarkEnd w:id="196"/>
    <w:p>
      <w:pPr>
        <w:ind w:left="23"/>
        <w:spacing w:after="0"/>
        <w:rPr>
          <w:sz w:val="20"/>
          <w:szCs w:val="20"/>
          <w:color w:val="auto"/>
        </w:rPr>
      </w:pPr>
      <w:r>
        <w:rPr>
          <w:rFonts w:ascii="Times New Roman" w:cs="Times New Roman" w:eastAsia="Times New Roman" w:hAnsi="Times New Roman"/>
          <w:sz w:val="12"/>
          <w:szCs w:val="12"/>
          <w:b w:val="1"/>
          <w:bCs w:val="1"/>
          <w:color w:val="auto"/>
        </w:rPr>
        <w:t>Emissions Trading System Process Services.</w:t>
      </w:r>
    </w:p>
    <w:p>
      <w:pPr>
        <w:spacing w:after="0" w:line="141" w:lineRule="exact"/>
        <w:rPr>
          <w:sz w:val="20"/>
          <w:szCs w:val="20"/>
          <w:color w:val="auto"/>
        </w:rPr>
      </w:pPr>
    </w:p>
    <w:p>
      <w:pPr>
        <w:jc w:val="both"/>
        <w:ind w:left="683" w:right="20" w:hanging="333"/>
        <w:spacing w:after="0" w:line="238" w:lineRule="auto"/>
        <w:tabs>
          <w:tab w:leader="none" w:pos="683"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Data Monitoring</w:t>
      </w:r>
      <w:r>
        <w:rPr>
          <w:rFonts w:ascii="Times New Roman" w:cs="Times New Roman" w:eastAsia="Times New Roman" w:hAnsi="Times New Roman"/>
          <w:sz w:val="12"/>
          <w:szCs w:val="12"/>
          <w:color w:val="auto"/>
        </w:rPr>
        <w:t>. The Managers shall capture and review emissions with the assistance of a consulting company on a per month basis. Emissions data validation to be performed by an independent verifier on 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EU ETS as required by the Owners).</w:t>
      </w:r>
    </w:p>
    <w:p>
      <w:pPr>
        <w:spacing w:after="0" w:line="111" w:lineRule="exact"/>
        <w:rPr>
          <w:rFonts w:ascii="Times New Roman" w:cs="Times New Roman" w:eastAsia="Times New Roman" w:hAnsi="Times New Roman"/>
          <w:sz w:val="12"/>
          <w:szCs w:val="12"/>
          <w:color w:val="auto"/>
        </w:rPr>
      </w:pPr>
    </w:p>
    <w:p>
      <w:pPr>
        <w:ind w:left="683" w:right="20" w:hanging="333"/>
        <w:spacing w:after="0" w:line="255" w:lineRule="auto"/>
        <w:tabs>
          <w:tab w:leader="none" w:pos="683"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Reporting</w:t>
      </w:r>
      <w:r>
        <w:rPr>
          <w:rFonts w:ascii="Times New Roman" w:cs="Times New Roman" w:eastAsia="Times New Roman" w:hAnsi="Times New Roman"/>
          <w:sz w:val="12"/>
          <w:szCs w:val="12"/>
          <w:color w:val="auto"/>
        </w:rPr>
        <w:t>. The Managers shall report the verified emissions data to the EU (MRV – emissions metrics with the EU) and IMO (global emissions). The Managers shall obtain relevant certification and distribute to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all parties as necessary.</w:t>
      </w:r>
    </w:p>
    <w:p>
      <w:pPr>
        <w:spacing w:after="0" w:line="102" w:lineRule="exact"/>
        <w:rPr>
          <w:rFonts w:ascii="Times New Roman" w:cs="Times New Roman" w:eastAsia="Times New Roman" w:hAnsi="Times New Roman"/>
          <w:sz w:val="12"/>
          <w:szCs w:val="12"/>
          <w:color w:val="auto"/>
        </w:rPr>
      </w:pPr>
    </w:p>
    <w:p>
      <w:pPr>
        <w:jc w:val="both"/>
        <w:ind w:left="683" w:hanging="333"/>
        <w:spacing w:after="0" w:line="238" w:lineRule="auto"/>
        <w:tabs>
          <w:tab w:leader="none" w:pos="683"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Trading. </w:t>
      </w:r>
      <w:r>
        <w:rPr>
          <w:rFonts w:ascii="Times New Roman" w:cs="Times New Roman" w:eastAsia="Times New Roman" w:hAnsi="Times New Roman"/>
          <w:sz w:val="12"/>
          <w:szCs w:val="12"/>
          <w:color w:val="auto"/>
        </w:rPr>
        <w:t>The Managers shall open / manage / monitor the EU ETS trading account and the EU ETS compliance account. Upon any collection of EUAs the Managers treasury dept. will inform all relevant parties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also will perform an initial reconciliation for EUAs expected and received for the Vessel basis to identify any discrepancies. Trading of EUAs in order to cover any potential needs such as off-hire(s) or as Owners may otherwise instruct the Managers will be performed by the Managers subject to Owners’ authorisation on Owners’ behalf and at Owners’ cost.</w:t>
      </w:r>
    </w:p>
    <w:p>
      <w:pPr>
        <w:spacing w:after="0" w:line="111" w:lineRule="exact"/>
        <w:rPr>
          <w:rFonts w:ascii="Times New Roman" w:cs="Times New Roman" w:eastAsia="Times New Roman" w:hAnsi="Times New Roman"/>
          <w:sz w:val="12"/>
          <w:szCs w:val="12"/>
          <w:color w:val="auto"/>
        </w:rPr>
      </w:pPr>
    </w:p>
    <w:p>
      <w:pPr>
        <w:ind w:left="683" w:hanging="333"/>
        <w:spacing w:after="0" w:line="255" w:lineRule="auto"/>
        <w:tabs>
          <w:tab w:leader="none" w:pos="683"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Reconciliation</w:t>
      </w:r>
      <w:r>
        <w:rPr>
          <w:rFonts w:ascii="Times New Roman" w:cs="Times New Roman" w:eastAsia="Times New Roman" w:hAnsi="Times New Roman"/>
          <w:sz w:val="12"/>
          <w:szCs w:val="12"/>
          <w:color w:val="auto"/>
        </w:rPr>
        <w:t>. Prior to the final submission of the EUAs to the EU the Managers shall perform a final reconciliation analysis to verify the EUAs to be agreed between the Owners and the Charterers, EUAs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covering any off-hires, etc. and shall further confirm that all required EUAs are collected and/or purchased and are in the relevant compliance account.</w:t>
      </w:r>
    </w:p>
    <w:p>
      <w:pPr>
        <w:spacing w:after="0" w:line="102" w:lineRule="exact"/>
        <w:rPr>
          <w:rFonts w:ascii="Times New Roman" w:cs="Times New Roman" w:eastAsia="Times New Roman" w:hAnsi="Times New Roman"/>
          <w:sz w:val="12"/>
          <w:szCs w:val="12"/>
          <w:color w:val="auto"/>
        </w:rPr>
      </w:pPr>
    </w:p>
    <w:p>
      <w:pPr>
        <w:ind w:left="683" w:hanging="333"/>
        <w:spacing w:after="0"/>
        <w:tabs>
          <w:tab w:leader="none" w:pos="683" w:val="left"/>
        </w:tabs>
        <w:numPr>
          <w:ilvl w:val="0"/>
          <w:numId w:val="1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EUAs Submission</w:t>
      </w:r>
      <w:r>
        <w:rPr>
          <w:rFonts w:ascii="Times New Roman" w:cs="Times New Roman" w:eastAsia="Times New Roman" w:hAnsi="Times New Roman"/>
          <w:sz w:val="12"/>
          <w:szCs w:val="12"/>
          <w:color w:val="auto"/>
        </w:rPr>
        <w:t>. The Managers to surrender verified EUAs to the EU as required by EU ETS</w:t>
      </w:r>
    </w:p>
    <w:p>
      <w:pPr>
        <w:spacing w:after="0" w:line="159"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2"/>
          <w:szCs w:val="12"/>
          <w:b w:val="1"/>
          <w:bCs w:val="1"/>
          <w:color w:val="auto"/>
        </w:rPr>
        <w:t>Fuel EU Process Services.</w:t>
      </w:r>
    </w:p>
    <w:p>
      <w:pPr>
        <w:spacing w:after="0" w:line="141" w:lineRule="exact"/>
        <w:rPr>
          <w:sz w:val="20"/>
          <w:szCs w:val="20"/>
          <w:color w:val="auto"/>
        </w:rPr>
      </w:pPr>
    </w:p>
    <w:p>
      <w:pPr>
        <w:jc w:val="both"/>
        <w:ind w:left="3" w:right="80" w:hanging="3"/>
        <w:spacing w:after="0" w:line="238" w:lineRule="auto"/>
        <w:tabs>
          <w:tab w:leader="none" w:pos="146"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Data Monitoring</w:t>
      </w:r>
      <w:r>
        <w:rPr>
          <w:rFonts w:ascii="Times New Roman" w:cs="Times New Roman" w:eastAsia="Times New Roman" w:hAnsi="Times New Roman"/>
          <w:sz w:val="12"/>
          <w:szCs w:val="12"/>
          <w:color w:val="auto"/>
        </w:rPr>
        <w:t>. The Managers shall capture and review GHG intensity of the energy used by the vessels with the assistance of a consulting company on a per month basis. GHG intensity data validation to be performed by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 independent verifier on an annual basis and for any other intermediate period, as necessary and available. Final verified data to be distributed to all interested parties both internally and externally as necessary (including the Vessel’s charterers at any relevant time with whom the Managers will communicate and share any relevant information and data for the purposes of Fuel EU as required by the Owners).</w:t>
      </w:r>
    </w:p>
    <w:p>
      <w:pPr>
        <w:spacing w:after="0" w:line="111" w:lineRule="exact"/>
        <w:rPr>
          <w:rFonts w:ascii="Times New Roman" w:cs="Times New Roman" w:eastAsia="Times New Roman" w:hAnsi="Times New Roman"/>
          <w:sz w:val="12"/>
          <w:szCs w:val="12"/>
          <w:color w:val="auto"/>
        </w:rPr>
      </w:pPr>
    </w:p>
    <w:p>
      <w:pPr>
        <w:ind w:left="183" w:hanging="183"/>
        <w:spacing w:after="0"/>
        <w:tabs>
          <w:tab w:leader="none" w:pos="183"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Reporting</w:t>
      </w:r>
      <w:r>
        <w:rPr>
          <w:rFonts w:ascii="Times New Roman" w:cs="Times New Roman" w:eastAsia="Times New Roman" w:hAnsi="Times New Roman"/>
          <w:sz w:val="12"/>
          <w:szCs w:val="12"/>
          <w:color w:val="auto"/>
        </w:rPr>
        <w:t>. The Managers shall report the verified GHG intensity data to the EU. The Managers shall obtain relevant certification and distribute to all parties as necessary.</w:t>
      </w:r>
    </w:p>
    <w:p>
      <w:pPr>
        <w:spacing w:after="0" w:line="141" w:lineRule="exact"/>
        <w:rPr>
          <w:rFonts w:ascii="Times New Roman" w:cs="Times New Roman" w:eastAsia="Times New Roman" w:hAnsi="Times New Roman"/>
          <w:sz w:val="12"/>
          <w:szCs w:val="12"/>
          <w:color w:val="auto"/>
        </w:rPr>
      </w:pPr>
    </w:p>
    <w:p>
      <w:pPr>
        <w:ind w:left="203" w:hanging="203"/>
        <w:spacing w:after="0"/>
        <w:tabs>
          <w:tab w:leader="none" w:pos="203" w:val="left"/>
        </w:tabs>
        <w:numPr>
          <w:ilvl w:val="0"/>
          <w:numId w:val="1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Reconciliation</w:t>
      </w:r>
      <w:r>
        <w:rPr>
          <w:rFonts w:ascii="Times New Roman" w:cs="Times New Roman" w:eastAsia="Times New Roman" w:hAnsi="Times New Roman"/>
          <w:sz w:val="12"/>
          <w:szCs w:val="12"/>
          <w:color w:val="auto"/>
        </w:rPr>
        <w:t>. Prior to the final submission the Managers shall perform a final reconciliation analysis to verify the Fuel EU calculation to be agreed between the Owners and the Charterers.</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 xml:space="preserve">(v) </w:t>
      </w:r>
      <w:r>
        <w:rPr>
          <w:rFonts w:ascii="Times New Roman" w:cs="Times New Roman" w:eastAsia="Times New Roman" w:hAnsi="Times New Roman"/>
          <w:sz w:val="12"/>
          <w:szCs w:val="12"/>
          <w:b w:val="1"/>
          <w:bCs w:val="1"/>
          <w:color w:val="auto"/>
        </w:rPr>
        <w:t>Submission</w:t>
      </w:r>
      <w:r>
        <w:rPr>
          <w:rFonts w:ascii="Times New Roman" w:cs="Times New Roman" w:eastAsia="Times New Roman" w:hAnsi="Times New Roman"/>
          <w:sz w:val="12"/>
          <w:szCs w:val="12"/>
          <w:color w:val="auto"/>
        </w:rPr>
        <w:t>. The Managers to pay any resulting penalty after receiving the necessary funds from the Owners taking into consideration any pooling, borrowing or banking of surpluses in the final calculation.</w:t>
      </w:r>
    </w:p>
    <w:p>
      <w:pPr>
        <w:spacing w:after="0" w:line="213"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2"/>
          <w:szCs w:val="12"/>
          <w:b w:val="1"/>
          <w:bCs w:val="1"/>
          <w:color w:val="auto"/>
        </w:rPr>
        <w:t>Other Services.</w:t>
      </w:r>
    </w:p>
    <w:p>
      <w:pPr>
        <w:spacing w:after="0" w:line="2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The Managers shall assist the Group to:</w:t>
      </w:r>
    </w:p>
    <w:p>
      <w:pPr>
        <w:spacing w:after="0" w:line="121" w:lineRule="exact"/>
        <w:rPr>
          <w:sz w:val="20"/>
          <w:szCs w:val="20"/>
          <w:color w:val="auto"/>
        </w:rPr>
      </w:pPr>
    </w:p>
    <w:p>
      <w:pPr>
        <w:ind w:left="3" w:right="80" w:hanging="3"/>
        <w:spacing w:after="0" w:line="248" w:lineRule="auto"/>
        <w:tabs>
          <w:tab w:leader="none" w:pos="172"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identify, negotiate and secure opportunities for the Group to acquire vessels or companies which own vessels, or to construct vessels, and to negotiate and carry out the purchase of existing vessels, newbuilding vessels or companies which are the registered owners of vessels.</w:t>
      </w:r>
    </w:p>
    <w:p>
      <w:pPr>
        <w:spacing w:after="0" w:line="110" w:lineRule="exact"/>
        <w:rPr>
          <w:rFonts w:ascii="Times New Roman" w:cs="Times New Roman" w:eastAsia="Times New Roman" w:hAnsi="Times New Roman"/>
          <w:sz w:val="12"/>
          <w:szCs w:val="12"/>
          <w:color w:val="auto"/>
        </w:rPr>
      </w:pPr>
    </w:p>
    <w:p>
      <w:pPr>
        <w:ind w:left="3" w:right="80" w:hanging="3"/>
        <w:spacing w:after="0" w:line="248" w:lineRule="auto"/>
        <w:tabs>
          <w:tab w:leader="none" w:pos="173"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on behalf of the Group, general insurance, director and officer liability insurance and other insurance of the Group not related to the Vessels that would normally be obtained for companies in a similar business to that of the Group;</w:t>
      </w:r>
    </w:p>
    <w:p>
      <w:pPr>
        <w:spacing w:after="0" w:line="110"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so required by the Group, administer payroll services, for any employee, officer or director of the Parent and its Subsidiaries;</w:t>
      </w:r>
    </w:p>
    <w:p>
      <w:pPr>
        <w:spacing w:after="0" w:line="132" w:lineRule="exact"/>
        <w:rPr>
          <w:rFonts w:ascii="Times New Roman" w:cs="Times New Roman" w:eastAsia="Times New Roman" w:hAnsi="Times New Roman"/>
          <w:sz w:val="12"/>
          <w:szCs w:val="12"/>
          <w:color w:val="auto"/>
        </w:rPr>
      </w:pPr>
    </w:p>
    <w:p>
      <w:pPr>
        <w:ind w:left="163" w:hanging="163"/>
        <w:spacing w:after="0"/>
        <w:tabs>
          <w:tab w:leader="none" w:pos="163"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Group with information technology support including email;</w:t>
      </w:r>
    </w:p>
    <w:p>
      <w:pPr>
        <w:spacing w:after="0" w:line="132" w:lineRule="exact"/>
        <w:rPr>
          <w:rFonts w:ascii="Times New Roman" w:cs="Times New Roman" w:eastAsia="Times New Roman" w:hAnsi="Times New Roman"/>
          <w:sz w:val="12"/>
          <w:szCs w:val="12"/>
          <w:color w:val="auto"/>
        </w:rPr>
      </w:pPr>
    </w:p>
    <w:p>
      <w:pPr>
        <w:ind w:left="3" w:right="80" w:hanging="3"/>
        <w:spacing w:after="0" w:line="264" w:lineRule="auto"/>
        <w:tabs>
          <w:tab w:leader="none" w:pos="172"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office space and office equipment for personnel of the Group at the location of the Managers or any subsidiary thereof or as otherwise reasonably designated by the Parent, and clerical, secretarial, accounting and administrative assistance as may be reasonably necessary;</w:t>
      </w:r>
    </w:p>
    <w:p>
      <w:pPr>
        <w:spacing w:after="0" w:line="101" w:lineRule="exact"/>
        <w:rPr>
          <w:rFonts w:ascii="Times New Roman" w:cs="Times New Roman" w:eastAsia="Times New Roman" w:hAnsi="Times New Roman"/>
          <w:sz w:val="12"/>
          <w:szCs w:val="12"/>
          <w:color w:val="auto"/>
        </w:rPr>
      </w:pPr>
    </w:p>
    <w:p>
      <w:pPr>
        <w:jc w:val="both"/>
        <w:ind w:left="3" w:right="80" w:hanging="3"/>
        <w:spacing w:after="0" w:line="231" w:lineRule="auto"/>
        <w:tabs>
          <w:tab w:leader="none" w:pos="158" w:val="left"/>
        </w:tabs>
        <w:numPr>
          <w:ilvl w:val="0"/>
          <w:numId w:val="1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and under the direction of the Parent, handle all administrative and clerical matters in respect of (i) board and committee meetings of the Parent and its Subsidiaries, (ii) the call and arrangement of all annual and special meetings of shareholders, the Parent and any of its subsidiaries, (iii) the preparation of all materials (including notices of meetings and proxy or similar materials) in respect thereof and (iv) the submission of all such materials to the Parent in sufficient time prior to the dates upon which they must be mailed, filed or otherwise relied upon so that the Parent has full opportunity to review, approve, execute and return them to the Managers for filing or mailing or other disposition as the Parent may require or direct;</w:t>
      </w:r>
    </w:p>
    <w:p>
      <w:pPr>
        <w:spacing w:after="0" w:line="189" w:lineRule="exact"/>
        <w:rPr>
          <w:sz w:val="20"/>
          <w:szCs w:val="20"/>
          <w:color w:val="auto"/>
        </w:rPr>
      </w:pPr>
    </w:p>
    <w:p>
      <w:pPr>
        <w:jc w:val="center"/>
        <w:ind w:right="317"/>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3"/>
          </w:cols>
          <w:pgMar w:left="617" w:top="701" w:right="299" w:bottom="1440" w:gutter="0" w:footer="0" w:header="0"/>
        </w:sectPr>
      </w:pPr>
    </w:p>
    <w:bookmarkStart w:id="197" w:name="page198"/>
    <w:bookmarkEnd w:id="197"/>
    <w:p>
      <w:pPr>
        <w:ind w:left="163" w:hanging="163"/>
        <w:spacing w:after="0"/>
        <w:tabs>
          <w:tab w:leader="none" w:pos="163"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at the request and under the direction of the Parent, such communications to the transfer agent for the Parent as may be necessary or desirable;</w:t>
      </w:r>
    </w:p>
    <w:p>
      <w:pPr>
        <w:spacing w:after="0" w:line="130" w:lineRule="exact"/>
        <w:rPr>
          <w:rFonts w:ascii="Times New Roman" w:cs="Times New Roman" w:eastAsia="Times New Roman" w:hAnsi="Times New Roman"/>
          <w:sz w:val="12"/>
          <w:szCs w:val="12"/>
          <w:color w:val="auto"/>
        </w:rPr>
      </w:pPr>
    </w:p>
    <w:p>
      <w:pPr>
        <w:ind w:left="3" w:hanging="3"/>
        <w:spacing w:after="0" w:line="252" w:lineRule="auto"/>
        <w:tabs>
          <w:tab w:leader="none" w:pos="173"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make recommendations to the Parent for the appointment of auditors, accountants, legal counsel and other accounting, financial or legal advisers, and technical, commercial, marketing or other independent experts; </w:t>
      </w:r>
      <w:r>
        <w:rPr>
          <w:rFonts w:ascii="Times New Roman" w:cs="Times New Roman" w:eastAsia="Times New Roman" w:hAnsi="Times New Roman"/>
          <w:sz w:val="12"/>
          <w:szCs w:val="12"/>
          <w:i w:val="1"/>
          <w:iCs w:val="1"/>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however, </w:t>
      </w:r>
      <w:r>
        <w:rPr>
          <w:rFonts w:ascii="Times New Roman" w:cs="Times New Roman" w:eastAsia="Times New Roman" w:hAnsi="Times New Roman"/>
          <w:sz w:val="12"/>
          <w:szCs w:val="12"/>
          <w:color w:val="auto"/>
        </w:rPr>
        <w:t>that nothing herein shall permit the Managers to engage any such adviser or expert for the Parent without the Parent’s specific approval;</w:t>
      </w:r>
    </w:p>
    <w:p>
      <w:pPr>
        <w:spacing w:after="0" w:line="108" w:lineRule="exact"/>
        <w:rPr>
          <w:rFonts w:ascii="Times New Roman" w:cs="Times New Roman" w:eastAsia="Times New Roman" w:hAnsi="Times New Roman"/>
          <w:sz w:val="12"/>
          <w:szCs w:val="12"/>
          <w:color w:val="auto"/>
        </w:rPr>
      </w:pPr>
    </w:p>
    <w:p>
      <w:pPr>
        <w:ind w:left="3" w:hanging="3"/>
        <w:spacing w:after="0" w:line="248" w:lineRule="auto"/>
        <w:tabs>
          <w:tab w:leader="none" w:pos="152"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assistance and advice to the Group with respect to financing, including (i) the monitoring and administration of the compliance with any applicable financing terms and conditions in effect with investors, banks, lenders or other financial institutions and (ii) the identification and negotiation of new capital or financings or re-financings; and</w:t>
      </w:r>
    </w:p>
    <w:p>
      <w:pPr>
        <w:spacing w:after="0" w:line="119" w:lineRule="exact"/>
        <w:rPr>
          <w:rFonts w:ascii="Times New Roman" w:cs="Times New Roman" w:eastAsia="Times New Roman" w:hAnsi="Times New Roman"/>
          <w:sz w:val="12"/>
          <w:szCs w:val="12"/>
          <w:color w:val="auto"/>
        </w:rPr>
      </w:pPr>
    </w:p>
    <w:p>
      <w:pPr>
        <w:ind w:left="143" w:hanging="143"/>
        <w:spacing w:after="0"/>
        <w:tabs>
          <w:tab w:leader="none" w:pos="143" w:val="left"/>
        </w:tabs>
        <w:numPr>
          <w:ilvl w:val="0"/>
          <w:numId w:val="1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attend to all other administrative matters necessary to ensure the professional management of the Group’s business or as reasonably requested by the Group from time to time</w:t>
      </w:r>
    </w:p>
    <w:p>
      <w:pPr>
        <w:spacing w:after="0" w:line="209" w:lineRule="exact"/>
        <w:rPr>
          <w:sz w:val="20"/>
          <w:szCs w:val="20"/>
          <w:color w:val="auto"/>
        </w:rPr>
      </w:pPr>
    </w:p>
    <w:p>
      <w:pPr>
        <w:ind w:left="23"/>
        <w:spacing w:after="0"/>
        <w:rPr>
          <w:sz w:val="20"/>
          <w:szCs w:val="20"/>
          <w:color w:val="auto"/>
        </w:rPr>
      </w:pPr>
      <w:r>
        <w:rPr>
          <w:rFonts w:ascii="Times New Roman" w:cs="Times New Roman" w:eastAsia="Times New Roman" w:hAnsi="Times New Roman"/>
          <w:sz w:val="12"/>
          <w:szCs w:val="12"/>
          <w:b w:val="1"/>
          <w:bCs w:val="1"/>
          <w:color w:val="auto"/>
        </w:rPr>
        <w:t>DEFINITIONS AND INTERPRETATION</w:t>
      </w:r>
    </w:p>
    <w:p>
      <w:pPr>
        <w:spacing w:after="0" w:line="14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Unless otherwise defined in this Appendix, capitalized terms used herein but not otherwise defined in this Appendix shall have the meaning given such term in Clause 1 (Definitions) of Part II of this Agreement.</w:t>
      </w:r>
    </w:p>
    <w:p>
      <w:pPr>
        <w:spacing w:after="0" w:line="128"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Applicable Laws</w:t>
      </w:r>
      <w:r>
        <w:rPr>
          <w:rFonts w:ascii="Times New Roman" w:cs="Times New Roman" w:eastAsia="Times New Roman" w:hAnsi="Times New Roman"/>
          <w:sz w:val="12"/>
          <w:szCs w:val="12"/>
          <w:color w:val="auto"/>
        </w:rPr>
        <w:t>” means, in respect of any Person, property, transaction or event, all laws, statutes, ordinances, regulations, municipal by-laws, treaties, judgments and decrees applicable to that Person, property, transaction or event, all applicable official directives, rules, consents, approvals, authorizations, guidelines, orders, codes of practice and policies of any Governmental Authority having authority over that Person, property, transaction or event and having the force of law, and all general principles of common law and equity.</w:t>
      </w:r>
    </w:p>
    <w:p>
      <w:pPr>
        <w:spacing w:after="0" w:line="11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Board of Directors</w:t>
      </w:r>
      <w:r>
        <w:rPr>
          <w:rFonts w:ascii="Times New Roman" w:cs="Times New Roman" w:eastAsia="Times New Roman" w:hAnsi="Times New Roman"/>
          <w:sz w:val="12"/>
          <w:szCs w:val="12"/>
          <w:color w:val="auto"/>
        </w:rPr>
        <w:t>” means the board of directors of the Parent, as the same may be constituted from time to time.</w:t>
      </w:r>
    </w:p>
    <w:p>
      <w:pPr>
        <w:spacing w:after="0" w:line="132" w:lineRule="exact"/>
        <w:rPr>
          <w:sz w:val="20"/>
          <w:szCs w:val="20"/>
          <w:color w:val="auto"/>
        </w:rPr>
      </w:pPr>
    </w:p>
    <w:p>
      <w:pPr>
        <w:jc w:val="both"/>
        <w:ind w:left="3"/>
        <w:spacing w:after="0" w:line="25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Books and Records</w:t>
      </w:r>
      <w:r>
        <w:rPr>
          <w:rFonts w:ascii="Times New Roman" w:cs="Times New Roman" w:eastAsia="Times New Roman" w:hAnsi="Times New Roman"/>
          <w:sz w:val="12"/>
          <w:szCs w:val="12"/>
          <w:color w:val="auto"/>
        </w:rPr>
        <w:t>” means all books of accounts and records, including tax records, sales and purchase records, Vessel records, computer software, formulae, business reports, plans and projections and all other documents, files, correspondence and other information of the Group with respect to the Vessels or the Business (whether or not in written, printed, electronic or computer printout form).</w:t>
      </w:r>
    </w:p>
    <w:p>
      <w:pPr>
        <w:spacing w:after="0" w:line="10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w:t>
      </w:r>
      <w:r>
        <w:rPr>
          <w:rFonts w:ascii="Times New Roman" w:cs="Times New Roman" w:eastAsia="Times New Roman" w:hAnsi="Times New Roman"/>
          <w:sz w:val="12"/>
          <w:szCs w:val="12"/>
          <w:color w:val="auto"/>
        </w:rPr>
        <w:t>” means the Group’s business of owning, operating and/or chartering or re-chartering Vessels to other Persons and any other lawful act or activity customarily conducted in conjunction therewith.</w:t>
      </w:r>
    </w:p>
    <w:p>
      <w:pPr>
        <w:spacing w:after="0" w:line="14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Chief Executive Officer</w:t>
      </w:r>
      <w:r>
        <w:rPr>
          <w:rFonts w:ascii="Times New Roman" w:cs="Times New Roman" w:eastAsia="Times New Roman" w:hAnsi="Times New Roman"/>
          <w:sz w:val="12"/>
          <w:szCs w:val="12"/>
          <w:color w:val="auto"/>
        </w:rPr>
        <w:t>” means the chief executive officer of the Parent.</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Chief Financial Officer</w:t>
      </w:r>
      <w:r>
        <w:rPr>
          <w:rFonts w:ascii="Times New Roman" w:cs="Times New Roman" w:eastAsia="Times New Roman" w:hAnsi="Times New Roman"/>
          <w:sz w:val="12"/>
          <w:szCs w:val="12"/>
          <w:color w:val="auto"/>
        </w:rPr>
        <w:t>” means the chief financial officer of the Parent.</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Disclosing Party</w:t>
      </w:r>
      <w:r>
        <w:rPr>
          <w:rFonts w:ascii="Times New Roman" w:cs="Times New Roman" w:eastAsia="Times New Roman" w:hAnsi="Times New Roman"/>
          <w:sz w:val="12"/>
          <w:szCs w:val="12"/>
          <w:color w:val="auto"/>
        </w:rPr>
        <w:t>” means a party who has disclosed Confidential Information hereunder to the other party or on whose behalf Confidential Information has been disclosed to the other party.</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Effective Date</w:t>
      </w:r>
      <w:r>
        <w:rPr>
          <w:rFonts w:ascii="Times New Roman" w:cs="Times New Roman" w:eastAsia="Times New Roman" w:hAnsi="Times New Roman"/>
          <w:sz w:val="12"/>
          <w:szCs w:val="12"/>
          <w:color w:val="auto"/>
        </w:rPr>
        <w:t>” means the date on which this Agreement shall become effective in accordance with box 2.</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Exchange Act</w:t>
      </w:r>
      <w:r>
        <w:rPr>
          <w:rFonts w:ascii="Times New Roman" w:cs="Times New Roman" w:eastAsia="Times New Roman" w:hAnsi="Times New Roman"/>
          <w:sz w:val="12"/>
          <w:szCs w:val="12"/>
          <w:color w:val="auto"/>
        </w:rPr>
        <w:t>” means the Securities Exchange Act of 1934, as amended.</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Fiscal Quarter</w:t>
      </w:r>
      <w:r>
        <w:rPr>
          <w:rFonts w:ascii="Times New Roman" w:cs="Times New Roman" w:eastAsia="Times New Roman" w:hAnsi="Times New Roman"/>
          <w:sz w:val="12"/>
          <w:szCs w:val="12"/>
          <w:color w:val="auto"/>
        </w:rPr>
        <w:t>” means a fiscal quarter for the Group</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Fiscal Year</w:t>
      </w:r>
      <w:r>
        <w:rPr>
          <w:rFonts w:ascii="Times New Roman" w:cs="Times New Roman" w:eastAsia="Times New Roman" w:hAnsi="Times New Roman"/>
          <w:sz w:val="12"/>
          <w:szCs w:val="12"/>
          <w:color w:val="auto"/>
        </w:rPr>
        <w:t>” means the fiscal year of the Parent, being the twelve-month period ending December 31.</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the generally accepted accounting principles</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means the Parent and all of its Subsidiaries, or any one of them as the context might require</w:t>
      </w:r>
    </w:p>
    <w:p>
      <w:pPr>
        <w:spacing w:after="0" w:line="132" w:lineRule="exact"/>
        <w:rPr>
          <w:sz w:val="20"/>
          <w:szCs w:val="20"/>
          <w:color w:val="auto"/>
        </w:rPr>
      </w:pPr>
    </w:p>
    <w:p>
      <w:pPr>
        <w:jc w:val="both"/>
        <w:ind w:left="3"/>
        <w:spacing w:after="0" w:line="245"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Governmental Authority</w:t>
      </w:r>
      <w:r>
        <w:rPr>
          <w:rFonts w:ascii="Times New Roman" w:cs="Times New Roman" w:eastAsia="Times New Roman" w:hAnsi="Times New Roman"/>
          <w:sz w:val="12"/>
          <w:szCs w:val="12"/>
          <w:color w:val="auto"/>
        </w:rPr>
        <w:t>” means any domestic or foreign government, including any federal, provincial, state, territorial or municipal government, any multinational or supranational organization, any government agency (including the SEC), any tribunal, labor relations board, commission or stock exchange (including the New York Stock Exchange), and any other authority or organization exercising executive, legislative, judicial, regulatory or administrative functions of, or pertaining to, government.</w:t>
      </w:r>
    </w:p>
    <w:p>
      <w:pPr>
        <w:spacing w:after="0" w:line="11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Action</w:t>
      </w:r>
      <w:r>
        <w:rPr>
          <w:rFonts w:ascii="Times New Roman" w:cs="Times New Roman" w:eastAsia="Times New Roman" w:hAnsi="Times New Roman"/>
          <w:sz w:val="12"/>
          <w:szCs w:val="12"/>
          <w:color w:val="auto"/>
        </w:rPr>
        <w:t>” means any action, suit or other proceeding concerning the Owner and/or the Vessel in any jurisdiction.</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b w:val="1"/>
          <w:bCs w:val="1"/>
          <w:color w:val="auto"/>
        </w:rPr>
        <w:t xml:space="preserve">“Parent” </w:t>
      </w:r>
      <w:r>
        <w:rPr>
          <w:rFonts w:ascii="Times New Roman" w:cs="Times New Roman" w:eastAsia="Times New Roman" w:hAnsi="Times New Roman"/>
          <w:sz w:val="12"/>
          <w:szCs w:val="12"/>
          <w:color w:val="auto"/>
        </w:rPr>
        <w:t>means Global Ship Lease, Inc.</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Receiving Party</w:t>
      </w:r>
      <w:r>
        <w:rPr>
          <w:rFonts w:ascii="Times New Roman" w:cs="Times New Roman" w:eastAsia="Times New Roman" w:hAnsi="Times New Roman"/>
          <w:sz w:val="12"/>
          <w:szCs w:val="12"/>
          <w:color w:val="auto"/>
        </w:rPr>
        <w:t>” means a party to whom Confidential Information of a Disclosing Party has been disclosed hereunder.</w:t>
      </w:r>
    </w:p>
    <w:p>
      <w:pPr>
        <w:spacing w:after="0" w:line="13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w:t>
      </w:r>
      <w:r>
        <w:rPr>
          <w:rFonts w:ascii="Times New Roman" w:cs="Times New Roman" w:eastAsia="Times New Roman" w:hAnsi="Times New Roman"/>
          <w:sz w:val="12"/>
          <w:szCs w:val="12"/>
          <w:color w:val="auto"/>
        </w:rPr>
        <w:t>” means the United States Securities and Exchange Commission.</w:t>
      </w:r>
    </w:p>
    <w:p>
      <w:pPr>
        <w:spacing w:after="0" w:line="208" w:lineRule="exact"/>
        <w:rPr>
          <w:sz w:val="20"/>
          <w:szCs w:val="20"/>
          <w:color w:val="auto"/>
        </w:rPr>
      </w:pPr>
    </w:p>
    <w:p>
      <w:pPr>
        <w:jc w:val="center"/>
        <w:ind w:right="237"/>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10795</wp:posOffset>
            </wp:positionV>
            <wp:extent cx="7178040" cy="57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3"/>
          </w:cols>
          <w:pgMar w:left="617" w:top="561" w:right="379" w:bottom="1440" w:gutter="0" w:footer="0" w:header="0"/>
        </w:sectPr>
      </w:pPr>
    </w:p>
    <w:bookmarkStart w:id="198" w:name="page199"/>
    <w:bookmarkEnd w:id="198"/>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Annex A – Vessel Details</w:t>
      </w:r>
    </w:p>
    <w:p>
      <w:pPr>
        <w:sectPr>
          <w:pgSz w:w="11900" w:h="16838" w:orient="portrait"/>
          <w:cols w:equalWidth="0" w:num="1">
            <w:col w:w="9019"/>
          </w:cols>
          <w:pgMar w:left="1440" w:top="575"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17"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2"/>
          <w:szCs w:val="12"/>
          <w:color w:val="auto"/>
        </w:rPr>
        <w: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type w:val="continuous"/>
        </w:sectPr>
      </w:pPr>
    </w:p>
    <w:bookmarkStart w:id="199" w:name="page200"/>
    <w:bookmarkEnd w:id="199"/>
    <w:p>
      <w:pPr>
        <w:ind w:left="4900"/>
        <w:spacing w:after="0"/>
        <w:rPr>
          <w:sz w:val="20"/>
          <w:szCs w:val="20"/>
          <w:color w:val="auto"/>
        </w:rPr>
      </w:pPr>
      <w:r>
        <w:rPr>
          <w:rFonts w:ascii="Times New Roman" w:cs="Times New Roman" w:eastAsia="Times New Roman" w:hAnsi="Times New Roman"/>
          <w:sz w:val="12"/>
          <w:szCs w:val="12"/>
          <w:b w:val="1"/>
          <w:bCs w:val="1"/>
          <w:color w:val="auto"/>
        </w:rPr>
        <w:t>Annex B – Crew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Master and crew to be appointed as appropriate to the trading and operational requirements of the Vessel, always subject to the relevant governing laws and regulations.</w:t>
      </w:r>
    </w:p>
    <w:p>
      <w:pPr>
        <w:spacing w:after="0" w:line="216"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839"/>
          </w:cols>
          <w:pgMar w:left="620" w:top="575" w:right="1440" w:bottom="1440" w:gutter="0" w:footer="0" w:header="0"/>
        </w:sectPr>
      </w:pPr>
    </w:p>
    <w:bookmarkStart w:id="200" w:name="page201"/>
    <w:bookmarkEnd w:id="200"/>
    <w:p>
      <w:pPr>
        <w:jc w:val="center"/>
        <w:ind w:right="39"/>
        <w:spacing w:after="0"/>
        <w:rPr>
          <w:sz w:val="20"/>
          <w:szCs w:val="20"/>
          <w:color w:val="auto"/>
        </w:rPr>
      </w:pPr>
      <w:r>
        <w:rPr>
          <w:rFonts w:ascii="Times New Roman" w:cs="Times New Roman" w:eastAsia="Times New Roman" w:hAnsi="Times New Roman"/>
          <w:sz w:val="12"/>
          <w:szCs w:val="12"/>
          <w:b w:val="1"/>
          <w:bCs w:val="1"/>
          <w:color w:val="auto"/>
        </w:rPr>
        <w:t>Annex C – Budget</w:t>
      </w:r>
    </w:p>
    <w:p>
      <w:pPr>
        <w:sectPr>
          <w:pgSz w:w="11900" w:h="16838" w:orient="portrait"/>
          <w:cols w:equalWidth="0" w:num="1">
            <w:col w:w="9019"/>
          </w:cols>
          <w:pgMar w:left="1440" w:top="575" w:right="1440" w:bottom="1440" w:gutter="0" w:footer="0" w:header="0"/>
        </w:sectPr>
      </w:pPr>
    </w:p>
    <w:p>
      <w:pPr>
        <w:spacing w:after="0" w:line="1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1"/>
          <w:szCs w:val="11"/>
          <w:color w:val="auto"/>
        </w:rPr>
        <w:t>[•]</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10795</wp:posOffset>
            </wp:positionV>
            <wp:extent cx="717804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575" w:right="1440" w:bottom="1440" w:gutter="0" w:footer="0" w:header="0"/>
          <w:type w:val="continuous"/>
        </w:sectPr>
      </w:pPr>
    </w:p>
    <w:bookmarkStart w:id="201" w:name="page202"/>
    <w:bookmarkEnd w:id="20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2" w:name="page203"/>
    <w:bookmarkEnd w:id="20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03" w:name="page204"/>
    <w:bookmarkEnd w:id="20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ind w:left="740"/>
              <w:spacing w:after="0"/>
              <w:rPr>
                <w:sz w:val="20"/>
                <w:szCs w:val="20"/>
                <w:color w:val="auto"/>
              </w:rPr>
            </w:pPr>
            <w:r>
              <w:rPr>
                <w:rFonts w:ascii="Times New Roman" w:cs="Times New Roman" w:eastAsia="Times New Roman" w:hAnsi="Times New Roman"/>
                <w:sz w:val="12"/>
                <w:szCs w:val="12"/>
                <w:b w:val="1"/>
                <w:bCs w:val="1"/>
                <w:color w:val="auto"/>
                <w:w w:val="96"/>
              </w:rPr>
              <w:t>Exhibit 4.17</w:t>
            </w: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3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BIMCO STANDARD BAREBOAT CHARTER</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4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color w:val="auto"/>
              </w:rPr>
              <w:t>1.</w:t>
            </w:r>
          </w:p>
        </w:tc>
        <w:tc>
          <w:tcPr>
            <w:tcW w:w="5760" w:type="dxa"/>
            <w:vAlign w:val="bottom"/>
            <w:tcBorders>
              <w:right w:val="single" w:sz="8" w:color="auto"/>
            </w:tcBorders>
            <w:gridSpan w:val="2"/>
          </w:tcPr>
          <w:p>
            <w:pPr>
              <w:ind w:left="120"/>
              <w:spacing w:after="0" w:line="109" w:lineRule="exact"/>
              <w:rPr>
                <w:sz w:val="20"/>
                <w:szCs w:val="20"/>
                <w:color w:val="auto"/>
              </w:rPr>
            </w:pPr>
            <w:r>
              <w:rPr>
                <w:rFonts w:ascii="Times New Roman" w:cs="Times New Roman" w:eastAsia="Times New Roman" w:hAnsi="Times New Roman"/>
                <w:sz w:val="12"/>
                <w:szCs w:val="12"/>
                <w:color w:val="auto"/>
              </w:rPr>
              <w:t>Shipbroker</w:t>
            </w:r>
          </w:p>
        </w:tc>
        <w:tc>
          <w:tcPr>
            <w:tcW w:w="362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CODE NAME:"BARECON 2001"</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30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3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2"/>
                <w:szCs w:val="12"/>
                <w:b w:val="1"/>
                <w:bCs w:val="1"/>
                <w:color w:val="auto"/>
              </w:rPr>
              <w:t>PART I</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3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Place and date</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22 January 2025</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3.</w:t>
            </w:r>
          </w:p>
        </w:tc>
        <w:tc>
          <w:tcPr>
            <w:tcW w:w="57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Owners/Place of Business (Cl. 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3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Bareboat Charterers/Place of business (Cl. 1)</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OCEAN TIANXIU SHIPPING LIMITED, a company incorporated and existing under the laws of the Hong Kong</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GLOBAL SHIP LEASE 79 LLC, a limited liability company incorporated and existing under the</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Special Administrative Region of the People’s Republic of China with Business Registration Number 62835047</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laws of the Republic of Liberia with Registration Number LLC-960403 and having its registered</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and having its registered office at Units 904-907, 9/F, Dah Sing Financial Centre, 248 Queen's Road East, Hong</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office at 80 Broad Street, Monrovia, Liberia</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Kong, China (also registered as a Foreign Maritime Entity in Liberia)</w:t>
            </w:r>
          </w:p>
        </w:tc>
        <w:tc>
          <w:tcPr>
            <w:tcW w:w="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0" w:type="dxa"/>
            <w:vAlign w:val="bottom"/>
            <w:tcBorders>
              <w:bottom w:val="single" w:sz="8" w:color="auto"/>
              <w:right w:val="single" w:sz="8" w:color="auto"/>
            </w:tcBorders>
            <w:gridSpan w:val="3"/>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5.   Vessel's name, call sign and flag (Cl. 1 and 3)</w:t>
            </w: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ISTANBUL EXPRESS</w:t>
            </w:r>
          </w:p>
        </w:tc>
        <w:tc>
          <w:tcPr>
            <w:tcW w:w="24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IMO No.: </w:t>
            </w:r>
            <w:r>
              <w:rPr>
                <w:rFonts w:ascii="Times New Roman" w:cs="Times New Roman" w:eastAsia="Times New Roman" w:hAnsi="Times New Roman"/>
                <w:sz w:val="12"/>
                <w:szCs w:val="12"/>
                <w:b w:val="1"/>
                <w:bCs w:val="1"/>
                <w:color w:val="auto"/>
              </w:rPr>
              <w:t>9723277</w:t>
            </w: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Flag: </w:t>
            </w:r>
            <w:r>
              <w:rPr>
                <w:rFonts w:ascii="Times New Roman" w:cs="Times New Roman" w:eastAsia="Times New Roman" w:hAnsi="Times New Roman"/>
                <w:sz w:val="12"/>
                <w:szCs w:val="12"/>
                <w:b w:val="1"/>
                <w:bCs w:val="1"/>
                <w:color w:val="auto"/>
              </w:rPr>
              <w:t>Republic of Liberia</w:t>
            </w:r>
          </w:p>
        </w:tc>
        <w:tc>
          <w:tcPr>
            <w:tcW w:w="24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Official No.: </w:t>
            </w:r>
            <w:r>
              <w:rPr>
                <w:rFonts w:ascii="Times New Roman" w:cs="Times New Roman" w:eastAsia="Times New Roman" w:hAnsi="Times New Roman"/>
                <w:sz w:val="12"/>
                <w:szCs w:val="12"/>
                <w:b w:val="1"/>
                <w:bCs w:val="1"/>
                <w:color w:val="auto"/>
              </w:rPr>
              <w:t>24775</w:t>
            </w:r>
          </w:p>
        </w:tc>
        <w:tc>
          <w:tcPr>
            <w:tcW w:w="240" w:type="dxa"/>
            <w:vAlign w:val="bottom"/>
          </w:tcPr>
          <w:p>
            <w:pPr>
              <w:spacing w:after="0"/>
              <w:rPr>
                <w:sz w:val="13"/>
                <w:szCs w:val="13"/>
                <w:color w:val="auto"/>
              </w:rPr>
            </w:pPr>
          </w:p>
        </w:tc>
        <w:tc>
          <w:tcPr>
            <w:tcW w:w="3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Type of Vessel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w:t>
            </w:r>
          </w:p>
        </w:tc>
        <w:tc>
          <w:tcPr>
            <w:tcW w:w="338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GT/NT</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Container Ship</w:t>
            </w:r>
          </w:p>
        </w:tc>
        <w:tc>
          <w:tcPr>
            <w:tcW w:w="240" w:type="dxa"/>
            <w:vAlign w:val="bottom"/>
          </w:tcPr>
          <w:p>
            <w:pPr>
              <w:spacing w:after="0"/>
              <w:rPr>
                <w:sz w:val="24"/>
                <w:szCs w:val="24"/>
                <w:color w:val="auto"/>
              </w:rPr>
            </w:pPr>
          </w:p>
        </w:tc>
        <w:tc>
          <w:tcPr>
            <w:tcW w:w="33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94684 / 59902</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362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When/Where built</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9.   Total DWT (abt.) in metric tons on summer freeboard</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2016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Hanjin Heavy Industries and Construction (Philippines), Zambales, Philippines</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10.</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Classification Society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3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Date of last special survey by the Vessel's classification society</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DNV</w:t>
            </w:r>
          </w:p>
        </w:tc>
        <w:tc>
          <w:tcPr>
            <w:tcW w:w="53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38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12.</w:t>
            </w:r>
          </w:p>
        </w:tc>
        <w:tc>
          <w:tcPr>
            <w:tcW w:w="60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w w:val="99"/>
              </w:rPr>
              <w:t>Further particulars of Vessel (also indicate minimum number of months' validity of class certificates agreed acc. to Cl. 3)</w:t>
            </w:r>
          </w:p>
        </w:tc>
        <w:tc>
          <w:tcPr>
            <w:tcW w:w="3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Vessel’s Class certificates</w:t>
            </w:r>
          </w:p>
        </w:tc>
        <w:tc>
          <w:tcPr>
            <w:tcW w:w="2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w w:val="93"/>
              </w:rPr>
              <w:t>13.</w:t>
            </w:r>
          </w:p>
        </w:tc>
        <w:tc>
          <w:tcPr>
            <w:tcW w:w="5760" w:type="dxa"/>
            <w:vAlign w:val="bottom"/>
            <w:tcBorders>
              <w:right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color w:val="auto"/>
              </w:rPr>
              <w:t>Port or Place of delivery (Cl. 3)</w:t>
            </w:r>
          </w:p>
        </w:tc>
        <w:tc>
          <w:tcPr>
            <w:tcW w:w="2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14.</w:t>
            </w:r>
          </w:p>
        </w:tc>
        <w:tc>
          <w:tcPr>
            <w:tcW w:w="3380" w:type="dxa"/>
            <w:vAlign w:val="bottom"/>
            <w:tcBorders>
              <w:right w:val="single" w:sz="8" w:color="auto"/>
            </w:tcBorders>
          </w:tcPr>
          <w:p>
            <w:pPr>
              <w:ind w:left="180"/>
              <w:spacing w:after="0" w:line="118" w:lineRule="exact"/>
              <w:rPr>
                <w:sz w:val="20"/>
                <w:szCs w:val="20"/>
                <w:color w:val="auto"/>
              </w:rPr>
            </w:pPr>
            <w:r>
              <w:rPr>
                <w:rFonts w:ascii="Times New Roman" w:cs="Times New Roman" w:eastAsia="Times New Roman" w:hAnsi="Times New Roman"/>
                <w:sz w:val="12"/>
                <w:szCs w:val="12"/>
                <w:color w:val="auto"/>
              </w:rPr>
              <w:t>Time for delivery (Cl. 4)</w:t>
            </w:r>
          </w:p>
        </w:tc>
        <w:tc>
          <w:tcPr>
            <w:tcW w:w="32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15.</w:t>
            </w:r>
          </w:p>
        </w:tc>
        <w:tc>
          <w:tcPr>
            <w:tcW w:w="136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Cancelling date (Cl. 5)</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362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5760" w:type="dxa"/>
            <w:vAlign w:val="bottom"/>
            <w:tcBorders>
              <w:right w:val="single" w:sz="8" w:color="auto"/>
            </w:tcBorders>
            <w:gridSpan w:val="2"/>
            <w:vMerge w:val="continue"/>
          </w:tcPr>
          <w:p>
            <w:pPr>
              <w:spacing w:after="0"/>
              <w:rPr>
                <w:sz w:val="12"/>
                <w:szCs w:val="12"/>
                <w:color w:val="auto"/>
              </w:rPr>
            </w:pPr>
          </w:p>
        </w:tc>
        <w:tc>
          <w:tcPr>
            <w:tcW w:w="3620" w:type="dxa"/>
            <w:vAlign w:val="bottom"/>
            <w:tcBorders>
              <w:right w:val="single" w:sz="8" w:color="auto"/>
            </w:tcBorders>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right w:val="single" w:sz="8" w:color="auto"/>
            </w:tcBorders>
          </w:tcPr>
          <w:p>
            <w:pPr>
              <w:spacing w:after="0"/>
              <w:rPr>
                <w:sz w:val="12"/>
                <w:szCs w:val="12"/>
                <w:color w:val="auto"/>
              </w:rPr>
            </w:pPr>
          </w:p>
        </w:tc>
        <w:tc>
          <w:tcPr>
            <w:tcW w:w="168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16.</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Port or Place of redelivery (Cl. 15)</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17.</w:t>
            </w:r>
          </w:p>
        </w:tc>
        <w:tc>
          <w:tcPr>
            <w:tcW w:w="50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No. of months’ validity of trading and class certificates upon redelivery (Cl. 15)</w:t>
            </w:r>
          </w:p>
        </w:tc>
        <w:tc>
          <w:tcPr>
            <w:tcW w:w="0" w:type="dxa"/>
            <w:vAlign w:val="bottom"/>
          </w:tcPr>
          <w:p>
            <w:pPr>
              <w:spacing w:after="0"/>
              <w:rPr>
                <w:sz w:val="1"/>
                <w:szCs w:val="1"/>
                <w:color w:val="auto"/>
              </w:rPr>
            </w:pPr>
          </w:p>
        </w:tc>
      </w:tr>
      <w:tr>
        <w:trPr>
          <w:trHeight w:val="277"/>
        </w:trPr>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42 (Redelivery)</w:t>
            </w:r>
          </w:p>
        </w:tc>
        <w:tc>
          <w:tcPr>
            <w:tcW w:w="24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18.</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Running days' notice if other than stated in Cl. 4</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19.</w:t>
            </w:r>
          </w:p>
        </w:tc>
        <w:tc>
          <w:tcPr>
            <w:tcW w:w="33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Frequency of dry-docking (Cl. 10(g))</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6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w w:val="93"/>
              </w:rPr>
              <w:t>20.</w:t>
            </w:r>
          </w:p>
        </w:tc>
        <w:tc>
          <w:tcPr>
            <w:tcW w:w="57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2"/>
                <w:szCs w:val="12"/>
                <w:color w:val="auto"/>
              </w:rPr>
              <w:t>Trading Limits (Cl. 6)</w:t>
            </w:r>
          </w:p>
        </w:tc>
        <w:tc>
          <w:tcPr>
            <w:tcW w:w="240" w:type="dxa"/>
            <w:vAlign w:val="bottom"/>
          </w:tcPr>
          <w:p>
            <w:pPr>
              <w:spacing w:after="0"/>
              <w:rPr>
                <w:sz w:val="11"/>
                <w:szCs w:val="11"/>
                <w:color w:val="auto"/>
              </w:rPr>
            </w:pPr>
          </w:p>
        </w:tc>
        <w:tc>
          <w:tcPr>
            <w:tcW w:w="3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-4674870</wp:posOffset>
            </wp:positionV>
            <wp:extent cx="7183755" cy="616077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2">
                      <a:extLst>
                        <a:ext uri="{28A0092B-C50C-407E-A947-70E740481C1C}"/>
                      </a:extLst>
                    </a:blip>
                    <a:srcRect/>
                    <a:stretch>
                      <a:fillRect/>
                    </a:stretch>
                  </pic:blipFill>
                  <pic:spPr bwMode="auto">
                    <a:xfrm>
                      <a:off x="0" y="0"/>
                      <a:ext cx="7183755" cy="6160770"/>
                    </a:xfrm>
                    <a:prstGeom prst="rect">
                      <a:avLst/>
                    </a:prstGeom>
                    <a:noFill/>
                  </pic:spPr>
                </pic:pic>
              </a:graphicData>
            </a:graphic>
          </wp:anchor>
        </w:drawing>
      </w:r>
    </w:p>
    <w:p>
      <w:pPr>
        <w:ind w:left="80" w:right="80"/>
        <w:spacing w:after="0" w:line="249" w:lineRule="auto"/>
        <w:rPr>
          <w:sz w:val="20"/>
          <w:szCs w:val="20"/>
          <w:color w:val="auto"/>
        </w:rPr>
      </w:pPr>
      <w:r>
        <w:rPr>
          <w:rFonts w:ascii="Times New Roman" w:cs="Times New Roman" w:eastAsia="Times New Roman" w:hAnsi="Times New Roman"/>
          <w:sz w:val="12"/>
          <w:szCs w:val="12"/>
          <w:b w:val="1"/>
          <w:bCs w:val="1"/>
          <w:color w:val="auto"/>
        </w:rPr>
        <w:t>Trading worldwide, always safe/afloat, always within International Navigation Limits and subject to exclusions as per Joint War Risks Committee (JWC) Listed Areas (save as in accordance with clause 41 (Insurances) and any other country, port, place or zone prohibited by the Flag State and/or any of the Sanction Authorities (as defined in the Rider Clauses). Cargo Limits as per Vessel’s classification society’s requirement and the Vessel’s specifications.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Always subject to the terms and conditions contained in this Charter.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21.</w:t>
            </w:r>
          </w:p>
        </w:tc>
        <w:tc>
          <w:tcPr>
            <w:tcW w:w="57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Charter period (Cl. 2)</w:t>
            </w: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Charter hire (Cl. 11)</w:t>
            </w:r>
          </w:p>
        </w:tc>
      </w:tr>
      <w:tr>
        <w:trPr>
          <w:trHeight w:val="277"/>
        </w:trPr>
        <w:tc>
          <w:tcPr>
            <w:tcW w:w="60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One Hundred and Twenty (120) months, subject to terms of this Charter</w:t>
            </w:r>
          </w:p>
        </w:tc>
        <w:tc>
          <w:tcPr>
            <w:tcW w:w="5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40 (Hire)</w:t>
            </w:r>
          </w:p>
        </w:tc>
      </w:tr>
      <w:tr>
        <w:trPr>
          <w:trHeight w:val="144"/>
        </w:trPr>
        <w:tc>
          <w:tcPr>
            <w:tcW w:w="260" w:type="dxa"/>
            <w:vAlign w:val="bottom"/>
            <w:tcBorders>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144"/>
        </w:trPr>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23.</w:t>
            </w:r>
          </w:p>
        </w:tc>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99"/>
              </w:rPr>
              <w:t>New class and other safety requirements (state percentage of Vessel’s insurance value acc. to Box 29) (Cl. 10(a)(ii))</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205"/>
        </w:trPr>
        <w:tc>
          <w:tcPr>
            <w:tcW w:w="26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4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72"/>
        </w:trPr>
        <w:tc>
          <w:tcPr>
            <w:tcW w:w="260" w:type="dxa"/>
            <w:vAlign w:val="bottom"/>
            <w:tcBorders>
              <w:bottom w:val="single" w:sz="8" w:color="auto"/>
            </w:tcBorders>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118"/>
        </w:trPr>
        <w:tc>
          <w:tcPr>
            <w:tcW w:w="2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24.</w:t>
            </w:r>
          </w:p>
        </w:tc>
        <w:tc>
          <w:tcPr>
            <w:tcW w:w="574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Rate of interest payable acc. to Cl. 11(f) and, if applicable, acc. to PART IV</w:t>
            </w:r>
          </w:p>
        </w:tc>
        <w:tc>
          <w:tcPr>
            <w:tcW w:w="3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25.</w:t>
            </w:r>
          </w:p>
        </w:tc>
        <w:tc>
          <w:tcPr>
            <w:tcW w:w="49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Currency and method of payment (Cl. 11)</w:t>
            </w: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Default Interest Rate as defined in the Additional Clauses</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US$</w:t>
            </w:r>
          </w:p>
        </w:tc>
        <w:tc>
          <w:tcPr>
            <w:tcW w:w="4960" w:type="dxa"/>
            <w:vAlign w:val="bottom"/>
          </w:tcPr>
          <w:p>
            <w:pPr>
              <w:spacing w:after="0"/>
              <w:rPr>
                <w:sz w:val="12"/>
                <w:szCs w:val="12"/>
                <w:color w:val="auto"/>
              </w:rPr>
            </w:pPr>
          </w:p>
        </w:tc>
      </w:tr>
      <w:tr>
        <w:trPr>
          <w:trHeight w:val="159"/>
        </w:trPr>
        <w:tc>
          <w:tcPr>
            <w:tcW w:w="260" w:type="dxa"/>
            <w:vAlign w:val="bottom"/>
            <w:tcBorders>
              <w:bottom w:val="single" w:sz="8" w:color="auto"/>
            </w:tcBorders>
          </w:tcPr>
          <w:p>
            <w:pPr>
              <w:spacing w:after="0"/>
              <w:rPr>
                <w:sz w:val="13"/>
                <w:szCs w:val="13"/>
                <w:color w:val="auto"/>
              </w:rPr>
            </w:pPr>
          </w:p>
        </w:tc>
        <w:tc>
          <w:tcPr>
            <w:tcW w:w="5740" w:type="dxa"/>
            <w:vAlign w:val="bottom"/>
            <w:tcBorders>
              <w:bottom w:val="single" w:sz="8" w:color="auto"/>
              <w:right w:val="single" w:sz="8" w:color="auto"/>
            </w:tcBorders>
          </w:tcPr>
          <w:p>
            <w:pPr>
              <w:spacing w:after="0"/>
              <w:rPr>
                <w:sz w:val="13"/>
                <w:szCs w:val="13"/>
                <w:color w:val="auto"/>
              </w:rPr>
            </w:pPr>
          </w:p>
        </w:tc>
        <w:tc>
          <w:tcPr>
            <w:tcW w:w="53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r>
      <w:tr>
        <w:trPr>
          <w:trHeight w:val="349"/>
        </w:trPr>
        <w:tc>
          <w:tcPr>
            <w:tcW w:w="2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ind w:left="5360"/>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5" w:right="299" w:bottom="1440" w:gutter="0" w:footer="0" w:header="0"/>
        </w:sectPr>
      </w:pPr>
    </w:p>
    <w:bookmarkStart w:id="204" w:name="page205"/>
    <w:bookmarkEnd w:id="20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Arial" w:cs="Arial" w:eastAsia="Arial" w:hAnsi="Arial"/>
                <w:sz w:val="10"/>
                <w:szCs w:val="10"/>
                <w:b w:val="1"/>
                <w:bCs w:val="1"/>
                <w:color w:val="auto"/>
                <w:w w:val="93"/>
              </w:rPr>
              <w:t>ISTANBUL EXPRESS</w:t>
            </w: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0"/>
                <w:szCs w:val="10"/>
                <w:b w:val="1"/>
                <w:bCs w:val="1"/>
                <w:color w:val="auto"/>
                <w:w w:val="93"/>
              </w:rPr>
              <w:t>BBC BARECON 2001</w:t>
            </w:r>
          </w:p>
        </w:tc>
        <w:tc>
          <w:tcPr>
            <w:tcW w:w="0" w:type="dxa"/>
            <w:vAlign w:val="bottom"/>
          </w:tcPr>
          <w:p>
            <w:pPr>
              <w:spacing w:after="0"/>
              <w:rPr>
                <w:sz w:val="1"/>
                <w:szCs w:val="1"/>
                <w:color w:val="auto"/>
              </w:rPr>
            </w:pPr>
          </w:p>
        </w:tc>
      </w:tr>
      <w:tr>
        <w:trPr>
          <w:trHeight w:val="344"/>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(continued)</w:t>
            </w:r>
          </w:p>
        </w:tc>
        <w:tc>
          <w:tcPr>
            <w:tcW w:w="9760" w:type="dxa"/>
            <w:vAlign w:val="bottom"/>
            <w:tcBorders>
              <w:bottom w:val="single" w:sz="8" w:color="auto"/>
            </w:tcBorders>
            <w:gridSpan w:val="3"/>
          </w:tcPr>
          <w:p>
            <w:pPr>
              <w:ind w:left="3580"/>
              <w:spacing w:after="0"/>
              <w:rPr>
                <w:sz w:val="20"/>
                <w:szCs w:val="20"/>
                <w:color w:val="auto"/>
              </w:rPr>
            </w:pPr>
            <w:r>
              <w:rPr>
                <w:rFonts w:ascii="Times New Roman" w:cs="Times New Roman" w:eastAsia="Times New Roman" w:hAnsi="Times New Roman"/>
                <w:sz w:val="12"/>
                <w:szCs w:val="12"/>
                <w:b w:val="1"/>
                <w:bCs w:val="1"/>
                <w:color w:val="auto"/>
              </w:rPr>
              <w:t>“BARECON 2001” STANDARD BAREBOAT CHARTER</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PART 1</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Place of payment; also state beneficiary and bank account (Cl. 11)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27.</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Bank guarantee/bond (sum and place) (Cl.24) (optional)</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 40(d) (</w:t>
            </w:r>
            <w:r>
              <w:rPr>
                <w:rFonts w:ascii="Times New Roman" w:cs="Times New Roman" w:eastAsia="Times New Roman" w:hAnsi="Times New Roman"/>
                <w:sz w:val="12"/>
                <w:szCs w:val="12"/>
                <w:b w:val="1"/>
                <w:bCs w:val="1"/>
                <w:i w:val="1"/>
                <w:iCs w:val="1"/>
                <w:color w:val="auto"/>
              </w:rPr>
              <w:t>Payment account information</w:t>
            </w:r>
            <w:r>
              <w:rPr>
                <w:rFonts w:ascii="Times New Roman" w:cs="Times New Roman" w:eastAsia="Times New Roman" w:hAnsi="Times New Roman"/>
                <w:sz w:val="12"/>
                <w:szCs w:val="12"/>
                <w:b w:val="1"/>
                <w:bCs w:val="1"/>
                <w:color w:val="auto"/>
              </w:rPr>
              <w:t>)</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28.</w:t>
            </w:r>
          </w:p>
        </w:tc>
        <w:tc>
          <w:tcPr>
            <w:tcW w:w="5740" w:type="dxa"/>
            <w:vAlign w:val="bottom"/>
            <w:tcBorders>
              <w:right w:val="single" w:sz="8" w:color="auto"/>
            </w:tcBorders>
            <w:gridSpan w:val="2"/>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Mortgage(s), if any (state whether 12(a) or (b) applies; if 12(b) applies state date of Financial Instrument and name</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29.</w:t>
            </w:r>
          </w:p>
        </w:tc>
        <w:tc>
          <w:tcPr>
            <w:tcW w:w="5060" w:type="dxa"/>
            <w:vAlign w:val="bottom"/>
            <w:tcBorders>
              <w:right w:val="single" w:sz="8" w:color="auto"/>
            </w:tcBorders>
            <w:gridSpan w:val="3"/>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Insurance (hull and machinery and war risks)(state value acc. to Cl. 13(f) or, if applicable, acc. to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of Mortgagee(s)/Place of business)(Cl. 12)</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14(k)) (also state if Cl. 14 applies)</w:t>
            </w:r>
          </w:p>
        </w:tc>
        <w:tc>
          <w:tcPr>
            <w:tcW w:w="2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24"/>
                <w:szCs w:val="24"/>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30.</w:t>
            </w:r>
          </w:p>
        </w:tc>
        <w:tc>
          <w:tcPr>
            <w:tcW w:w="5740" w:type="dxa"/>
            <w:vAlign w:val="bottom"/>
            <w:tcBorders>
              <w:right w:val="single" w:sz="8" w:color="auto"/>
            </w:tcBorders>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Additional insurance cover, if any, for Owners' account limited to (Cl. 13(b) or, if applicable, (Cl. 14(g))</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31.</w:t>
            </w:r>
          </w:p>
        </w:tc>
        <w:tc>
          <w:tcPr>
            <w:tcW w:w="5060" w:type="dxa"/>
            <w:vAlign w:val="bottom"/>
            <w:tcBorders>
              <w:right w:val="single" w:sz="8" w:color="auto"/>
            </w:tcBorders>
            <w:gridSpan w:val="3"/>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Additional insurance cover, if any, for Charterers' account limited to (Cl. 13(b)) or, if applicable,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14(g))</w:t>
            </w:r>
          </w:p>
        </w:tc>
        <w:tc>
          <w:tcPr>
            <w:tcW w:w="2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2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Latent defects (only to be filled in if period other than stated in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Brokerage commission and to whom payable (Cl. 27)</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34.</w:t>
            </w:r>
          </w:p>
        </w:tc>
        <w:tc>
          <w:tcPr>
            <w:tcW w:w="5740" w:type="dxa"/>
            <w:vAlign w:val="bottom"/>
            <w:tcBorders>
              <w:right w:val="single" w:sz="8" w:color="auto"/>
            </w:tcBorders>
            <w:gridSpan w:val="2"/>
          </w:tcPr>
          <w:p>
            <w:pPr>
              <w:ind w:left="160"/>
              <w:spacing w:after="0" w:line="106" w:lineRule="exact"/>
              <w:rPr>
                <w:sz w:val="20"/>
                <w:szCs w:val="20"/>
                <w:color w:val="auto"/>
              </w:rPr>
            </w:pPr>
            <w:r>
              <w:rPr>
                <w:rFonts w:ascii="Times New Roman" w:cs="Times New Roman" w:eastAsia="Times New Roman" w:hAnsi="Times New Roman"/>
                <w:sz w:val="12"/>
                <w:szCs w:val="12"/>
                <w:color w:val="auto"/>
              </w:rPr>
              <w:t>Grace period (state number of clear banking days)(Cl. 28)</w:t>
            </w:r>
          </w:p>
        </w:tc>
        <w:tc>
          <w:tcPr>
            <w:tcW w:w="24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auto"/>
              </w:rPr>
              <w:t>35.</w:t>
            </w:r>
          </w:p>
        </w:tc>
        <w:tc>
          <w:tcPr>
            <w:tcW w:w="5060" w:type="dxa"/>
            <w:vAlign w:val="bottom"/>
            <w:tcBorders>
              <w:right w:val="single" w:sz="8" w:color="auto"/>
            </w:tcBorders>
            <w:gridSpan w:val="3"/>
          </w:tcPr>
          <w:p>
            <w:pPr>
              <w:ind w:left="180"/>
              <w:spacing w:after="0" w:line="106" w:lineRule="exact"/>
              <w:rPr>
                <w:sz w:val="20"/>
                <w:szCs w:val="20"/>
                <w:color w:val="auto"/>
              </w:rPr>
            </w:pPr>
            <w:r>
              <w:rPr>
                <w:rFonts w:ascii="Times New Roman" w:cs="Times New Roman" w:eastAsia="Times New Roman" w:hAnsi="Times New Roman"/>
                <w:sz w:val="12"/>
                <w:szCs w:val="12"/>
                <w:color w:val="auto"/>
                <w:w w:val="98"/>
              </w:rPr>
              <w:t>Dispute Resolution (state 30(a), 30(b) or 30(c); if 30(c) agreed Place of Arbitration must be stated (Cl.</w:t>
            </w:r>
          </w:p>
        </w:tc>
        <w:tc>
          <w:tcPr>
            <w:tcW w:w="0" w:type="dxa"/>
            <w:vAlign w:val="bottom"/>
          </w:tcPr>
          <w:p>
            <w:pPr>
              <w:spacing w:after="0"/>
              <w:rPr>
                <w:sz w:val="1"/>
                <w:szCs w:val="1"/>
                <w:color w:val="auto"/>
              </w:rPr>
            </w:pPr>
          </w:p>
        </w:tc>
      </w:tr>
      <w:tr>
        <w:trPr>
          <w:trHeight w:val="151"/>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Borders>
              <w:top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74 (Arbitration)</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4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War cancellation (indicate countries agreed) (Cl. 26(f))</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Newbuilding Vessel (indicate with "yes or "no" whether Part III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38.</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Name and place of Builders (only to be filled in if Part III applies)</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Vessel's Yard Building No. (only to be filled in if Part III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40.</w:t>
            </w:r>
          </w:p>
        </w:tc>
        <w:tc>
          <w:tcPr>
            <w:tcW w:w="41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Date of Building Contract (only to be filled in if Part III applies)</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Liquidated damages and costs shall accrue to (state party acc. to Cl. 1)</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0" w:type="dxa"/>
            <w:vAlign w:val="bottom"/>
            <w:tcBorders>
              <w:left w:val="single" w:sz="8" w:color="auto"/>
            </w:tcBorders>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60" w:type="dxa"/>
            <w:vAlign w:val="bottom"/>
            <w:tcBorders>
              <w:left w:val="single" w:sz="8" w:color="auto"/>
              <w:bottom w:val="single" w:sz="8" w:color="auto"/>
            </w:tcBorders>
          </w:tcPr>
          <w:p>
            <w:pPr>
              <w:spacing w:after="0"/>
              <w:rPr>
                <w:sz w:val="6"/>
                <w:szCs w:val="6"/>
                <w:color w:val="auto"/>
              </w:rPr>
            </w:pPr>
          </w:p>
        </w:tc>
        <w:tc>
          <w:tcPr>
            <w:tcW w:w="57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57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Hire/Purchase agreement (indicate with "yes" or "no" whether Part IV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w:t>
            </w:r>
          </w:p>
        </w:tc>
        <w:tc>
          <w:tcPr>
            <w:tcW w:w="50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color w:val="auto"/>
              </w:rPr>
              <w:t>Bareboat Charter Registry (indicate with "yes" or "no" whether Part V applies) (optional)</w:t>
            </w: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(See Additional Clauses)</w:t>
            </w:r>
          </w:p>
        </w:tc>
        <w:tc>
          <w:tcPr>
            <w:tcW w:w="240" w:type="dxa"/>
            <w:vAlign w:val="bottom"/>
          </w:tcPr>
          <w:p>
            <w:pPr>
              <w:spacing w:after="0"/>
              <w:rPr>
                <w:sz w:val="24"/>
                <w:szCs w:val="24"/>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No </w:t>
            </w:r>
            <w:r>
              <w:rPr>
                <w:rFonts w:ascii="Times New Roman" w:cs="Times New Roman" w:eastAsia="Times New Roman" w:hAnsi="Times New Roman"/>
                <w:sz w:val="12"/>
                <w:szCs w:val="12"/>
                <w:color w:val="auto"/>
              </w:rPr>
              <w:t>(See Additional Clauses)</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Flag and Country of the Bareboat Charter Registry (only to be filled in if Part V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45.</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Country of the Underlying Registry (only to be filled in if Part V applies)</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Number of additional clauses covering special provisions, if agreed</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60" w:type="dxa"/>
            <w:vAlign w:val="bottom"/>
            <w:tcBorders>
              <w:left w:val="single" w:sz="8" w:color="auto"/>
            </w:tcBorders>
          </w:tcPr>
          <w:p>
            <w:pPr>
              <w:spacing w:after="0"/>
              <w:rPr>
                <w:sz w:val="22"/>
                <w:szCs w:val="22"/>
                <w:color w:val="auto"/>
              </w:rPr>
            </w:pPr>
          </w:p>
        </w:tc>
        <w:tc>
          <w:tcPr>
            <w:tcW w:w="110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Additional Clauses 32 to 77 (both inclusive) and Schedules 1 - 3, as attached hereto, form integral part of this Charter. In the event of any conflict or inconsistency between the terms of Part I and Part II of this Charter</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with the terms of the Additional Clauses, the terms of the Additional Clauses shall prevail.</w:t>
            </w:r>
          </w:p>
        </w:tc>
        <w:tc>
          <w:tcPr>
            <w:tcW w:w="2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PREAMBLE – it is mutually agreed that this Contract shall be performed subject to the conditions contained in this Charter which shall include PART I and PART II. In the event of a conflict of conditions, the provisions of PART 1 shall prevail over those of PART II to the extent of such conflict but no further. It is further mutually agreed that PART III and/or PART IV and/or PART V shall only apply and only form part of this Charter if expressly agreed and stated in the Boxes 37, 42 and 43. If PART III and/or PART IV and/or PART V apply, it is further agreed that in the event of a conflict of conditions, the provisions of PART I and PART II shall prevail over those of PART III and/or PART IV and/or PART V to the extent of such conflict but no further.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205" w:name="page206"/>
    <w:bookmarkEnd w:id="20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60" w:type="dxa"/>
            <w:vAlign w:val="bottom"/>
          </w:tcPr>
          <w:p>
            <w:pPr>
              <w:spacing w:after="0"/>
              <w:rPr>
                <w:sz w:val="13"/>
                <w:szCs w:val="13"/>
                <w:color w:val="auto"/>
              </w:rPr>
            </w:pPr>
          </w:p>
        </w:tc>
        <w:tc>
          <w:tcPr>
            <w:tcW w:w="7640" w:type="dxa"/>
            <w:vAlign w:val="bottom"/>
          </w:tcPr>
          <w:p>
            <w:pPr>
              <w:ind w:left="1440"/>
              <w:spacing w:after="0"/>
              <w:rPr>
                <w:sz w:val="20"/>
                <w:szCs w:val="20"/>
                <w:color w:val="auto"/>
              </w:rPr>
            </w:pPr>
            <w:r>
              <w:rPr>
                <w:rFonts w:ascii="Times New Roman" w:cs="Times New Roman" w:eastAsia="Times New Roman" w:hAnsi="Times New Roman"/>
                <w:sz w:val="12"/>
                <w:szCs w:val="12"/>
                <w:b w:val="1"/>
                <w:bCs w:val="1"/>
                <w:color w:val="auto"/>
              </w:rPr>
              <w:t>EXECUTION PAGE</w:t>
            </w:r>
          </w:p>
        </w:tc>
      </w:tr>
      <w:tr>
        <w:trPr>
          <w:trHeight w:val="144"/>
        </w:trPr>
        <w:tc>
          <w:tcPr>
            <w:tcW w:w="3660" w:type="dxa"/>
            <w:vAlign w:val="bottom"/>
            <w:tcBorders>
              <w:bottom w:val="single" w:sz="8" w:color="auto"/>
            </w:tcBorders>
          </w:tcPr>
          <w:p>
            <w:pPr>
              <w:spacing w:after="0"/>
              <w:rPr>
                <w:sz w:val="12"/>
                <w:szCs w:val="12"/>
                <w:color w:val="auto"/>
              </w:rPr>
            </w:pPr>
          </w:p>
        </w:tc>
        <w:tc>
          <w:tcPr>
            <w:tcW w:w="7640" w:type="dxa"/>
            <w:vAlign w:val="bottom"/>
            <w:tcBorders>
              <w:bottom w:val="single" w:sz="8" w:color="auto"/>
            </w:tcBorders>
          </w:tcPr>
          <w:p>
            <w:pPr>
              <w:spacing w:after="0"/>
              <w:rPr>
                <w:sz w:val="12"/>
                <w:szCs w:val="12"/>
                <w:color w:val="auto"/>
              </w:rPr>
            </w:pPr>
          </w:p>
        </w:tc>
      </w:tr>
      <w:tr>
        <w:trPr>
          <w:trHeight w:val="148"/>
        </w:trPr>
        <w:tc>
          <w:tcPr>
            <w:tcW w:w="36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Signature (Owners)</w:t>
            </w:r>
          </w:p>
        </w:tc>
        <w:tc>
          <w:tcPr>
            <w:tcW w:w="7640" w:type="dxa"/>
            <w:vAlign w:val="bottom"/>
          </w:tcPr>
          <w:p>
            <w:pPr>
              <w:ind w:left="1840"/>
              <w:spacing w:after="0"/>
              <w:rPr>
                <w:sz w:val="20"/>
                <w:szCs w:val="20"/>
                <w:color w:val="auto"/>
              </w:rPr>
            </w:pPr>
            <w:r>
              <w:rPr>
                <w:rFonts w:ascii="Times New Roman" w:cs="Times New Roman" w:eastAsia="Times New Roman" w:hAnsi="Times New Roman"/>
                <w:sz w:val="12"/>
                <w:szCs w:val="12"/>
                <w:b w:val="1"/>
                <w:bCs w:val="1"/>
                <w:color w:val="auto"/>
              </w:rPr>
              <w:t>Signature (Charterers)</w:t>
            </w:r>
          </w:p>
        </w:tc>
      </w:tr>
      <w:tr>
        <w:trPr>
          <w:trHeight w:val="258"/>
        </w:trPr>
        <w:tc>
          <w:tcPr>
            <w:tcW w:w="36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 and on behalf of</w:t>
            </w:r>
          </w:p>
        </w:tc>
        <w:tc>
          <w:tcPr>
            <w:tcW w:w="7640" w:type="dxa"/>
            <w:vAlign w:val="bottom"/>
          </w:tcPr>
          <w:p>
            <w:pPr>
              <w:ind w:left="1840"/>
              <w:spacing w:after="0"/>
              <w:rPr>
                <w:sz w:val="20"/>
                <w:szCs w:val="20"/>
                <w:color w:val="auto"/>
              </w:rPr>
            </w:pPr>
            <w:r>
              <w:rPr>
                <w:rFonts w:ascii="Times New Roman" w:cs="Times New Roman" w:eastAsia="Times New Roman" w:hAnsi="Times New Roman"/>
                <w:sz w:val="12"/>
                <w:szCs w:val="12"/>
                <w:color w:val="auto"/>
              </w:rPr>
              <w:t>For and on behalf of</w:t>
            </w:r>
          </w:p>
        </w:tc>
      </w:tr>
      <w:tr>
        <w:trPr>
          <w:trHeight w:val="159"/>
        </w:trPr>
        <w:tc>
          <w:tcPr>
            <w:tcW w:w="366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OCEAN TIANXIU SHIPPING LIMITED</w:t>
            </w:r>
          </w:p>
        </w:tc>
        <w:tc>
          <w:tcPr>
            <w:tcW w:w="7640" w:type="dxa"/>
            <w:vAlign w:val="bottom"/>
          </w:tcPr>
          <w:p>
            <w:pPr>
              <w:ind w:left="1840"/>
              <w:spacing w:after="0"/>
              <w:rPr>
                <w:sz w:val="20"/>
                <w:szCs w:val="20"/>
                <w:color w:val="auto"/>
              </w:rPr>
            </w:pPr>
            <w:r>
              <w:rPr>
                <w:rFonts w:ascii="Times New Roman" w:cs="Times New Roman" w:eastAsia="Times New Roman" w:hAnsi="Times New Roman"/>
                <w:sz w:val="12"/>
                <w:szCs w:val="12"/>
                <w:b w:val="1"/>
                <w:bCs w:val="1"/>
                <w:color w:val="auto"/>
              </w:rPr>
              <w:t>GLOBAL SHIP LEASE 79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-370840</wp:posOffset>
            </wp:positionV>
            <wp:extent cx="5715" cy="142875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4">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-370840</wp:posOffset>
            </wp:positionV>
            <wp:extent cx="5715" cy="142875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5">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-370840</wp:posOffset>
            </wp:positionV>
            <wp:extent cx="5715" cy="14287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66">
                      <a:extLst>
                        <a:ext uri="{28A0092B-C50C-407E-A947-70E740481C1C}"/>
                      </a:extLst>
                    </a:blip>
                    <a:srcRect/>
                    <a:stretch>
                      <a:fillRect/>
                    </a:stretch>
                  </pic:blipFill>
                  <pic:spPr bwMode="auto">
                    <a:xfrm>
                      <a:off x="0" y="0"/>
                      <a:ext cx="571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________________________________</w:t>
            </w:r>
          </w:p>
        </w:tc>
        <w:tc>
          <w:tcPr>
            <w:tcW w:w="758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tc>
      </w:tr>
      <w:tr>
        <w:trPr>
          <w:trHeight w:val="288"/>
        </w:trPr>
        <w:tc>
          <w:tcPr>
            <w:tcW w:w="37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Name: HUANG MEI</w:t>
            </w:r>
          </w:p>
        </w:tc>
        <w:tc>
          <w:tcPr>
            <w:tcW w:w="758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Name:</w:t>
            </w:r>
          </w:p>
        </w:tc>
      </w:tr>
      <w:tr>
        <w:trPr>
          <w:trHeight w:val="288"/>
        </w:trPr>
        <w:tc>
          <w:tcPr>
            <w:tcW w:w="37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Title: Director</w:t>
            </w:r>
          </w:p>
        </w:tc>
        <w:tc>
          <w:tcPr>
            <w:tcW w:w="758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72"/>
        </w:trPr>
        <w:tc>
          <w:tcPr>
            <w:tcW w:w="372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367"/>
        </w:trPr>
        <w:tc>
          <w:tcPr>
            <w:tcW w:w="37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205" w:right="299" w:bottom="1440" w:gutter="0" w:footer="0" w:header="0"/>
        </w:sectPr>
      </w:pPr>
    </w:p>
    <w:bookmarkStart w:id="206" w:name="page207"/>
    <w:bookmarkEnd w:id="20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PART II</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“BARECON 2001” Standard Bareboat Charter</w:t>
      </w:r>
    </w:p>
    <w:p>
      <w:pPr>
        <w:spacing w:after="0" w:line="325" w:lineRule="exact"/>
        <w:rPr>
          <w:sz w:val="20"/>
          <w:szCs w:val="20"/>
          <w:color w:val="auto"/>
        </w:rPr>
      </w:pPr>
    </w:p>
    <w:p>
      <w:pPr>
        <w:ind w:left="168" w:hanging="168"/>
        <w:spacing w:after="0"/>
        <w:tabs>
          <w:tab w:leader="none" w:pos="168" w:val="left"/>
        </w:tabs>
        <w:numPr>
          <w:ilvl w:val="0"/>
          <w:numId w:val="1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right="704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Charter, the following terms shall have the meanings hereby assigned to them: “</w:t>
      </w:r>
      <w:r>
        <w:rPr>
          <w:rFonts w:ascii="Times New Roman" w:cs="Times New Roman" w:eastAsia="Times New Roman" w:hAnsi="Times New Roman"/>
          <w:sz w:val="12"/>
          <w:szCs w:val="12"/>
          <w:i w:val="1"/>
          <w:iCs w:val="1"/>
          <w:color w:val="auto"/>
        </w:rPr>
        <w:t>The Owners</w:t>
      </w:r>
      <w:r>
        <w:rPr>
          <w:rFonts w:ascii="Times New Roman" w:cs="Times New Roman" w:eastAsia="Times New Roman" w:hAnsi="Times New Roman"/>
          <w:sz w:val="12"/>
          <w:szCs w:val="12"/>
          <w:color w:val="auto"/>
        </w:rPr>
        <w:t>” shall mean the party identified in Box 3;</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Charterers</w:t>
      </w:r>
      <w:r>
        <w:rPr>
          <w:rFonts w:ascii="Times New Roman" w:cs="Times New Roman" w:eastAsia="Times New Roman" w:hAnsi="Times New Roman"/>
          <w:sz w:val="12"/>
          <w:szCs w:val="12"/>
          <w:color w:val="auto"/>
        </w:rPr>
        <w:t>” shall mean the party identified in Box 4;</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Vessel</w:t>
      </w:r>
      <w:r>
        <w:rPr>
          <w:rFonts w:ascii="Times New Roman" w:cs="Times New Roman" w:eastAsia="Times New Roman" w:hAnsi="Times New Roman"/>
          <w:sz w:val="12"/>
          <w:szCs w:val="12"/>
          <w:color w:val="auto"/>
        </w:rPr>
        <w:t>” shall mean the vessel named in Box 5 and with particulars as stated in Boxes 6 to 12.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Financial Instrument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color w:val="auto"/>
          <w:strike w:val="1"/>
        </w:rPr>
        <w:t>the mortgage, deed of covenant or other such financial security instrument as annexed to this Charter and stated in Box 28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any of the Finance Documents as defined in Additional Clause 32.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Any other defined terms shall have the meaning given to it in the Additional Clause.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 Period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consideration of the hire detailed in Box 22, the Owners have agreed to let and the Charterers have agreed to hire the Vessel for the period stated in Box 21 (“The Charter Period”)</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1440" w:hanging="270"/>
        <w:spacing w:after="0" w:line="250" w:lineRule="auto"/>
        <w:tabs>
          <w:tab w:leader="none" w:pos="465"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before and at the time of delivery exercise due diligence to make the Vessel seaworthy and in every respect ready in hull, machinery and equipment for service under this Charter. The Vessel shall be delivered by the Owners and taken over by the Charterers at the port or place indicated in Box 13 in such ready safe berth as the Charterers may direct.</w:t>
      </w:r>
    </w:p>
    <w:p>
      <w:pPr>
        <w:ind w:left="468" w:right="20" w:hanging="270"/>
        <w:spacing w:after="0" w:line="250" w:lineRule="auto"/>
        <w:tabs>
          <w:tab w:leader="none" w:pos="468"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Vessel shall be properly documented on delivery in accordance with the laws of the flag State indicated in Box 5 and the requirements of the classification society stated in Box 10. The Vessel upon delivery shall have her survey cycles up to date and trading and class certificates valid for at least the number of months agreed in Box 12.</w:t>
      </w:r>
    </w:p>
    <w:p>
      <w:pPr>
        <w:jc w:val="both"/>
        <w:ind w:left="468" w:hanging="270"/>
        <w:spacing w:after="0" w:line="253" w:lineRule="auto"/>
        <w:tabs>
          <w:tab w:leader="none" w:pos="468"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of the Vessel by the Owners </w:t>
      </w:r>
      <w:r>
        <w:rPr>
          <w:rFonts w:ascii="Times New Roman" w:cs="Times New Roman" w:eastAsia="Times New Roman" w:hAnsi="Times New Roman"/>
          <w:sz w:val="12"/>
          <w:szCs w:val="12"/>
          <w:color w:val="auto"/>
          <w:strike w:val="1"/>
        </w:rPr>
        <w:t>and the taking over of the Vessel by the charterers</w:t>
      </w:r>
      <w:r>
        <w:rPr>
          <w:rFonts w:ascii="Times New Roman" w:cs="Times New Roman" w:eastAsia="Times New Roman" w:hAnsi="Times New Roman"/>
          <w:sz w:val="12"/>
          <w:szCs w:val="12"/>
          <w:color w:val="auto"/>
        </w:rPr>
        <w:t xml:space="preserve"> shall constitute a full performance by the Owners of all the Owners’ obligations under this Clause 3, and thereafter the Charterers shall not be entitled to make or assert any claim against the Owners on account of any conditions, representations or warranties expressed or implied with respect to the Vessel </w:t>
      </w:r>
      <w:r>
        <w:rPr>
          <w:rFonts w:ascii="Times New Roman" w:cs="Times New Roman" w:eastAsia="Times New Roman" w:hAnsi="Times New Roman"/>
          <w:sz w:val="12"/>
          <w:szCs w:val="12"/>
          <w:color w:val="auto"/>
          <w:strike w:val="1"/>
        </w:rPr>
        <w:t>but the Owners shall be liable for the cost of 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not the time for repairs or renewals occasioned by latent defects in the Vessel, her machinery or appurtenances, existing at the time of delivery under this Charter, provided such defects have manifested themselves within twelve (12) months after delivery unless otherwise provided in Box 32.</w:t>
      </w:r>
    </w:p>
    <w:p>
      <w:pPr>
        <w:spacing w:after="0" w:line="12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Time for 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Vessel shall not be delivered before the date indicated in Box 14 without the Charterers’ consent and the Owners shall exercise due diligence to deliver the Vessel not later than the date indicated in Box 15.</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Unless otherwise agreed in Box 18, the Owners shall give the Charterers not less than thirty (30) running days’ preliminary and not less than fourteen (14) running days’ definite notice of the date on which the Vessel is expected to be ready for delivery.</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keep the Charterers closely advised of possible changes in the Vessel’s position.</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Cancelling (Not Applicable)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not be delivered latest by the cancelling date indicated in Box 15, the Charterers shall have the option of cancelling this Charter by giving the Owners notice of cancellation within thirty-six (36) running hours after the cancelling date stated in Box 15, failing which this Charter shall remain in full force and effect.</w:t>
      </w:r>
    </w:p>
    <w:p>
      <w:pPr>
        <w:jc w:val="both"/>
        <w:ind w:left="468" w:right="20" w:hanging="270"/>
        <w:spacing w:after="0" w:line="250" w:lineRule="auto"/>
        <w:tabs>
          <w:tab w:leader="none" w:pos="468"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it appears that the Vessel will be delayed beyond the cancelling, the Owners may, as soon as they are in a position to state with reasonable certainty the day on which the Vessel should be ready, give notice thereof to the Charterers asking whether they will exercise their option of cancelling, and the option must then be declared within one hundred and sixty eight (168) running hours of the receipt by the Charterers of such notice or within thirty six (36) running hours after the cancelling date, whichever is the earlier. If the Charterers do not then exercise their option of cancelling, the seventh day after the readiness date stated in the Owners’ notice shall be substituted for the cancelling date indicated in Box 15 for the purpose of this Clause 5.</w:t>
      </w:r>
    </w:p>
    <w:p>
      <w:pPr>
        <w:spacing w:after="0" w:line="1"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1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Cancellation under this Clause 5 shall be without prejudice to any claim the Charterers may otherwise have on the Owners under this Charter.</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7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Vessel shall be employed in lawful trades for the carriage of suitable lawful merchandise within the trading limits indicated in Box 20.</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undertake not to employ the Vessel or suffer the Vessel to be employed otherwise than in conformity with the terms of the contracts of insurance (including any warranties expressed or implied therein) without first obtaining the consent of the insurers to such employment and complying with such requirements as to extra premium or otherwise as the insurers may prescribe.</w:t>
      </w: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also undertake not to employ the Vessel or suffer her employment in any trade or business which is forbidden by the law of any country to which the Vessel may sail or is otherwise illicit or in carrying illicit or prohibited goods or in any manner whatsoever which may render her liable to condemnation, destruction, seizure or confiscation.</w:t>
      </w:r>
    </w:p>
    <w:p>
      <w:pPr>
        <w:jc w:val="both"/>
        <w:ind w:left="168"/>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Notwithstanding any other provisions contained in this Charter it is agreed that nuclear fuels or radioactive products or waste are specifically excluded from the cargo permitted to be loaded or carried under this Charter. This exclusion does not apply to radio-isotopes used or intended to be used for any industrial, commercial, agricultural, medical or scientific purposes provided the </w:t>
      </w:r>
      <w:r>
        <w:rPr>
          <w:rFonts w:ascii="Times New Roman" w:cs="Times New Roman" w:eastAsia="Times New Roman" w:hAnsi="Times New Roman"/>
          <w:sz w:val="12"/>
          <w:szCs w:val="12"/>
          <w:b w:val="1"/>
          <w:bCs w:val="1"/>
          <w:color w:val="auto"/>
        </w:rPr>
        <w:t>Vessel's P&amp;I Club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Owners’</w:t>
      </w:r>
      <w:r>
        <w:rPr>
          <w:rFonts w:ascii="Times New Roman" w:cs="Times New Roman" w:eastAsia="Times New Roman" w:hAnsi="Times New Roman"/>
          <w:sz w:val="12"/>
          <w:szCs w:val="12"/>
          <w:color w:val="auto"/>
        </w:rPr>
        <w:t xml:space="preserve"> prior approval has been obtained to loading thereof </w:t>
      </w:r>
      <w:r>
        <w:rPr>
          <w:rFonts w:ascii="Times New Roman" w:cs="Times New Roman" w:eastAsia="Times New Roman" w:hAnsi="Times New Roman"/>
          <w:sz w:val="12"/>
          <w:szCs w:val="12"/>
          <w:b w:val="1"/>
          <w:bCs w:val="1"/>
          <w:color w:val="auto"/>
        </w:rPr>
        <w:t>and upon the Owners' request the Charterers shall provide the Owners with a copy of such approval from the Vessel's P&amp;I Club</w:t>
      </w:r>
      <w:r>
        <w:rPr>
          <w:rFonts w:ascii="Times New Roman" w:cs="Times New Roman" w:eastAsia="Times New Roman" w:hAnsi="Times New Roman"/>
          <w:sz w:val="12"/>
          <w:szCs w:val="12"/>
          <w:color w:val="auto"/>
        </w:rPr>
        <w:t>.</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07" w:name="page208"/>
    <w:bookmarkEnd w:id="20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p>
      <w:pPr>
        <w:jc w:val="both"/>
        <w:ind w:left="168" w:right="8080" w:hanging="168"/>
        <w:spacing w:after="0" w:line="287" w:lineRule="auto"/>
        <w:tabs>
          <w:tab w:leader="none" w:pos="160" w:val="left"/>
        </w:tabs>
        <w:numPr>
          <w:ilvl w:val="0"/>
          <w:numId w:val="179"/>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Surveys on Delivery and Redelivery (See Additional Clause) (</w:t>
      </w:r>
      <w:r>
        <w:rPr>
          <w:rFonts w:ascii="Times New Roman" w:cs="Times New Roman" w:eastAsia="Times New Roman" w:hAnsi="Times New Roman"/>
          <w:sz w:val="11"/>
          <w:szCs w:val="11"/>
          <w:b w:val="1"/>
          <w:bCs w:val="1"/>
          <w:i w:val="1"/>
          <w:iCs w:val="1"/>
          <w:color w:val="auto"/>
        </w:rPr>
        <w:t>not applicable when Part III applies, as indicated in Box 37)</w:t>
      </w:r>
    </w:p>
    <w:p>
      <w:pPr>
        <w:ind w:left="168"/>
        <w:spacing w:after="0" w:line="260"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strike w:val="1"/>
        </w:rPr>
        <w:t>The Owners and Charterers shall each appoint surveyors for the purpose of determining and agreeing in writing the condition of the Vessel at the time of delivery and redelivery hereunder. The Owners shall bear all expenses of the On-hire Survey including loss of time, if any, and the Charterers shall bear all expenses of the Off-hire Survey including loss of time, if any, at the daily equivalent to the rate of hire or pro rata thereof.</w:t>
      </w:r>
    </w:p>
    <w:p>
      <w:pPr>
        <w:spacing w:after="0" w:line="118" w:lineRule="exact"/>
        <w:rPr>
          <w:rFonts w:ascii="Times New Roman" w:cs="Times New Roman" w:eastAsia="Times New Roman" w:hAnsi="Times New Roman"/>
          <w:sz w:val="11"/>
          <w:szCs w:val="11"/>
          <w:b w:val="1"/>
          <w:bCs w:val="1"/>
          <w:color w:val="auto"/>
        </w:rPr>
      </w:pPr>
    </w:p>
    <w:p>
      <w:pPr>
        <w:ind w:left="168" w:hanging="168"/>
        <w:spacing w:after="0"/>
        <w:tabs>
          <w:tab w:leader="none" w:pos="168" w:val="left"/>
        </w:tabs>
        <w:numPr>
          <w:ilvl w:val="0"/>
          <w:numId w:val="1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(See Also Additional Clauses 48(r))</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have the right at any time after giving reasonable notice to the Charterers to inspect or survey the Vessel or instruct a duly authorised surveyor to carry out such survey on their behalf:-</w:t>
      </w:r>
    </w:p>
    <w:p>
      <w:pPr>
        <w:spacing w:after="0" w:line="6" w:lineRule="exact"/>
        <w:rPr>
          <w:rFonts w:ascii="Times New Roman" w:cs="Times New Roman" w:eastAsia="Times New Roman" w:hAnsi="Times New Roman"/>
          <w:sz w:val="12"/>
          <w:szCs w:val="12"/>
          <w:b w:val="1"/>
          <w:bCs w:val="1"/>
          <w:color w:val="auto"/>
        </w:rPr>
      </w:pPr>
    </w:p>
    <w:p>
      <w:pPr>
        <w:ind w:left="468" w:hanging="270"/>
        <w:spacing w:after="0" w:line="250" w:lineRule="auto"/>
        <w:tabs>
          <w:tab w:leader="none" w:pos="468"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to ascertain the condition of the Vessel and satisfy themselves that the Vessel is being properly repaired and maintained. The costs and fees for such inspection or survey shall be paid by the Owners unless the Vessel is found to require repairs or maintenance in order to achieve the condition so provided;</w:t>
      </w:r>
    </w:p>
    <w:p>
      <w:pPr>
        <w:ind w:left="468" w:hanging="270"/>
        <w:spacing w:after="0"/>
        <w:tabs>
          <w:tab w:leader="none" w:pos="468"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dry-dock if the Charterers have not dry-docked her in accordance with Clause 10(g). The costs and fees for such inspection or survey shall be paid by the Charterers; and</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1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any other commercial reason they consider necessary (provided it does not unduly interfere with the commercial operation of the Vessel). The costs and fees for such inspection and survey shall be paid by the Owners.</w:t>
      </w:r>
    </w:p>
    <w:p>
      <w:pPr>
        <w:spacing w:after="0" w:line="6"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All time used in respect of inspection, survey or repairs shall be for the Charterers’ account and form part of the Charter Period.</w:t>
      </w:r>
    </w:p>
    <w:p>
      <w:pPr>
        <w:spacing w:after="0" w:line="6"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The Charterers shall also permit the Owners to inspect the Vessel’s logbooks whenever requested and shall whenever required by the Owners furnish them with full information regarding any casualties or other accidents or damage to the Vessel.</w:t>
      </w:r>
    </w:p>
    <w:p>
      <w:pPr>
        <w:spacing w:after="0" w:line="118" w:lineRule="exact"/>
        <w:rPr>
          <w:sz w:val="20"/>
          <w:szCs w:val="20"/>
          <w:color w:val="auto"/>
        </w:rPr>
      </w:pPr>
    </w:p>
    <w:p>
      <w:pPr>
        <w:ind w:left="168" w:hanging="168"/>
        <w:spacing w:after="0"/>
        <w:tabs>
          <w:tab w:leader="none" w:pos="168" w:val="left"/>
        </w:tabs>
        <w:numPr>
          <w:ilvl w:val="0"/>
          <w:numId w:val="1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Inventories, Oil and Stores (See Additional Clause 37)</w:t>
      </w:r>
    </w:p>
    <w:p>
      <w:pPr>
        <w:spacing w:after="0" w:line="20" w:lineRule="exact"/>
        <w:rPr>
          <w:rFonts w:ascii="Times New Roman" w:cs="Times New Roman" w:eastAsia="Times New Roman" w:hAnsi="Times New Roman"/>
          <w:sz w:val="12"/>
          <w:szCs w:val="12"/>
          <w:b w:val="1"/>
          <w:bCs w:val="1"/>
          <w:color w:val="auto"/>
        </w:rPr>
      </w:pPr>
    </w:p>
    <w:p>
      <w:pPr>
        <w:jc w:val="both"/>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complete inventory of the Vessel's entire equipment, outfit including spare parts, appliances and of all consumable stores on board the Vessel shall be made by the Charterers in conjunction with the Owners on delivery and again on redelivery of the Vessel at the Owners’ request. The Charterers and the Owners, respectively, shall at the time of delivery and redelivery take over and pay for all bunkers, lubricating oil, unbroached provisions, paints, ropes and other consumable stores (excluding spare parts) in the said Vessel at the then current market prices at the ports of delivery and redelivery, respectively. The Charterers shall ensure that all spare parts listed in the inventory and used during the Charter Period are replaced at their expense prior to redelivery of the Vessel.</w:t>
      </w:r>
    </w:p>
    <w:p>
      <w:pPr>
        <w:spacing w:after="0" w:line="1"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Within three (3) months from the Actual Delivery Date, the Charterers shall prepare and deliver to the Owners an inventory of the Vessel's major spare parts for the Main Engine, Diesel Generators and E.R. Auxiliary Machinery on board the Vessel.</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Maintenance and Operation</w:t>
      </w:r>
    </w:p>
    <w:p>
      <w:pPr>
        <w:spacing w:after="0" w:line="20" w:lineRule="exact"/>
        <w:rPr>
          <w:rFonts w:ascii="Times New Roman" w:cs="Times New Roman" w:eastAsia="Times New Roman" w:hAnsi="Times New Roman"/>
          <w:sz w:val="12"/>
          <w:szCs w:val="12"/>
          <w:b w:val="1"/>
          <w:bCs w:val="1"/>
          <w:color w:val="auto"/>
        </w:rPr>
      </w:pPr>
    </w:p>
    <w:p>
      <w:pPr>
        <w:ind w:left="428" w:hanging="266"/>
        <w:spacing w:after="0"/>
        <w:tabs>
          <w:tab w:leader="none" w:pos="428" w:val="left"/>
        </w:tabs>
        <w:numPr>
          <w:ilvl w:val="1"/>
          <w:numId w:val="1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Maintenance and Repairs</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Charter Period the Vessel shall be in the full possession and at the absolute disposal for all purposes of the Charterers and under their complete control in every respect. The Charterers shall maintain the Vessel, her</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 xml:space="preserve">machinery, boilers, appurtenances and spare parts in a good state of repair, in efficient operating condition and in accordance with good commercial maintenance practice </w:t>
      </w:r>
      <w:r>
        <w:rPr>
          <w:rFonts w:ascii="Times New Roman" w:cs="Times New Roman" w:eastAsia="Times New Roman" w:hAnsi="Times New Roman"/>
          <w:sz w:val="12"/>
          <w:szCs w:val="12"/>
          <w:b w:val="1"/>
          <w:bCs w:val="1"/>
          <w:color w:val="auto"/>
        </w:rPr>
        <w:t>for vessels of this type</w:t>
      </w:r>
      <w:r>
        <w:rPr>
          <w:rFonts w:ascii="Times New Roman" w:cs="Times New Roman" w:eastAsia="Times New Roman" w:hAnsi="Times New Roman"/>
          <w:sz w:val="12"/>
          <w:szCs w:val="12"/>
          <w:color w:val="auto"/>
        </w:rPr>
        <w:t xml:space="preserve"> and</w:t>
      </w:r>
      <w:r>
        <w:rPr>
          <w:rFonts w:ascii="Times New Roman" w:cs="Times New Roman" w:eastAsia="Times New Roman" w:hAnsi="Times New Roman"/>
          <w:sz w:val="12"/>
          <w:szCs w:val="12"/>
          <w:color w:val="auto"/>
          <w:strike w:val="1"/>
        </w:rPr>
        <w:t>, except as provided for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Clause 14(I), if applicable,</w:t>
      </w:r>
      <w:r>
        <w:rPr>
          <w:rFonts w:ascii="Times New Roman" w:cs="Times New Roman" w:eastAsia="Times New Roman" w:hAnsi="Times New Roman"/>
          <w:sz w:val="12"/>
          <w:szCs w:val="12"/>
          <w:color w:val="auto"/>
        </w:rPr>
        <w:t xml:space="preserve"> at their own expense they shall at all times keep the Vessel's Class fully up to date with the Classification Society indicated in Box 10 </w:t>
      </w:r>
      <w:r>
        <w:rPr>
          <w:rFonts w:ascii="Times New Roman" w:cs="Times New Roman" w:eastAsia="Times New Roman" w:hAnsi="Times New Roman"/>
          <w:sz w:val="12"/>
          <w:szCs w:val="12"/>
          <w:b w:val="1"/>
          <w:bCs w:val="1"/>
          <w:color w:val="auto"/>
        </w:rPr>
        <w:t>free of overdue recommendations and conditions</w:t>
      </w:r>
      <w:r>
        <w:rPr>
          <w:rFonts w:ascii="Times New Roman" w:cs="Times New Roman" w:eastAsia="Times New Roman" w:hAnsi="Times New Roman"/>
          <w:sz w:val="12"/>
          <w:szCs w:val="12"/>
          <w:color w:val="auto"/>
        </w:rPr>
        <w:t xml:space="preserve"> and maintain all other necessary certificates in force at all times.</w:t>
      </w:r>
    </w:p>
    <w:p>
      <w:pPr>
        <w:spacing w:after="0" w:line="1" w:lineRule="exact"/>
        <w:rPr>
          <w:sz w:val="20"/>
          <w:szCs w:val="20"/>
          <w:color w:val="auto"/>
        </w:rPr>
      </w:pPr>
    </w:p>
    <w:p>
      <w:pPr>
        <w:ind w:left="608" w:hanging="176"/>
        <w:spacing w:after="0"/>
        <w:tabs>
          <w:tab w:leader="none" w:pos="608" w:val="left"/>
        </w:tabs>
        <w:numPr>
          <w:ilvl w:val="0"/>
          <w:numId w:val="1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Class and other Safety Requirements</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strike w:val="1"/>
        </w:rPr>
        <w:t>In the event of any improvement, structural changes or new equipment becoming necessary for the continued operation of the Vessel by reason of new class requirements or by compulsory legislation, the cost of compliance and time used in relation thereto shall be for the sale account of the Charterers. costing (excluding the Charterers' loss of time) more than the percentage stated in Box 23, or if Box 23 is left blank, 5 per cent. of the Vessel's insurance value as stated in Box 29, then the extent, if any, to which the rate of hire shall be varied and the ratio in which the cost of compliance shall be shared between the parties concerned in order to achieve a reasonable distribution thereof as between the Owners and the Charterers having regard, inter alia, to the length of the period remaining under this Charter shall, in the absence of agreement, be referred to the dispute resolution method agreed in Clause 30.</w:t>
      </w:r>
    </w:p>
    <w:p>
      <w:pPr>
        <w:spacing w:after="0" w:line="1" w:lineRule="exact"/>
        <w:rPr>
          <w:sz w:val="20"/>
          <w:szCs w:val="20"/>
          <w:color w:val="auto"/>
        </w:rPr>
      </w:pPr>
    </w:p>
    <w:p>
      <w:pPr>
        <w:ind w:left="648" w:hanging="216"/>
        <w:spacing w:after="0"/>
        <w:tabs>
          <w:tab w:leader="none" w:pos="648" w:val="left"/>
        </w:tabs>
        <w:numPr>
          <w:ilvl w:val="0"/>
          <w:numId w:val="1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Financial Security</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maintain financial security or responsibility in respect of third party liabilities as required by any government, including federal, state or municipal or other division or authority thereof, to enable the Vessel, without penalty or charge, lawfully to enter, remain at, or leave any port, place, territorial or contiguous waters of any country, state or municipality in performance of this Charter without any delay. This obligation shall apply whether or not such requirements have been lawfully imposed by such government or division or authority thereof.</w:t>
      </w:r>
    </w:p>
    <w:p>
      <w:pPr>
        <w:spacing w:after="0" w:line="1"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 xml:space="preserve">The Charterers shall make and maintain all arrangements by bond or otherwise as may be necessary to satisfy such requirements at the Charterers’ sole expense and the Charterers shall indemnify the Owners against all consequences whatsoever </w:t>
      </w:r>
      <w:r>
        <w:rPr>
          <w:rFonts w:ascii="Times New Roman" w:cs="Times New Roman" w:eastAsia="Times New Roman" w:hAnsi="Times New Roman"/>
          <w:sz w:val="12"/>
          <w:szCs w:val="12"/>
          <w:color w:val="auto"/>
          <w:strike w:val="1"/>
        </w:rPr>
        <w:t>(including loss of time)</w:t>
      </w:r>
      <w:r>
        <w:rPr>
          <w:rFonts w:ascii="Times New Roman" w:cs="Times New Roman" w:eastAsia="Times New Roman" w:hAnsi="Times New Roman"/>
          <w:sz w:val="12"/>
          <w:szCs w:val="12"/>
          <w:color w:val="auto"/>
        </w:rPr>
        <w:t xml:space="preserve"> for any failure or inability to do so.</w:t>
      </w:r>
    </w:p>
    <w:p>
      <w:pPr>
        <w:spacing w:after="0" w:line="1" w:lineRule="exact"/>
        <w:rPr>
          <w:sz w:val="20"/>
          <w:szCs w:val="20"/>
          <w:color w:val="auto"/>
        </w:rPr>
      </w:pPr>
    </w:p>
    <w:p>
      <w:pPr>
        <w:ind w:left="468" w:hanging="270"/>
        <w:spacing w:after="0"/>
        <w:tabs>
          <w:tab w:leader="none" w:pos="468" w:val="left"/>
        </w:tabs>
        <w:numPr>
          <w:ilvl w:val="0"/>
          <w:numId w:val="1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Operation of the Vessel</w:t>
      </w:r>
    </w:p>
    <w:p>
      <w:pPr>
        <w:spacing w:after="0" w:line="6" w:lineRule="exact"/>
        <w:rPr>
          <w:sz w:val="20"/>
          <w:szCs w:val="20"/>
          <w:color w:val="auto"/>
        </w:rPr>
      </w:pPr>
    </w:p>
    <w:p>
      <w:pPr>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at their own expense and by their own procurement man, victual, navigate, operate, supply, fuel and, whenever required, repair the Vessel during the Charter Period and they shall pay all charges and expenses of every kind and nature whatsoever incidental to their use and operation of the Vessel under this Charter, including annual flag State fees and any foreign general municipality and/or state taxes. The Master, officers and crew of the Vessel shall be the servants of the Charterers for all purposes whatsoever, even if for any reason appointed by the Owners. Charterers shall comply with the regulations regarding officers and crew in force in the country of the Vessel's flag or any other applicable law.</w:t>
      </w:r>
    </w:p>
    <w:p>
      <w:pPr>
        <w:spacing w:after="0" w:line="1" w:lineRule="exact"/>
        <w:rPr>
          <w:sz w:val="20"/>
          <w:szCs w:val="20"/>
          <w:color w:val="auto"/>
        </w:rPr>
      </w:pPr>
    </w:p>
    <w:p>
      <w:pPr>
        <w:ind w:left="428" w:hanging="230"/>
        <w:spacing w:after="0" w:line="250" w:lineRule="auto"/>
        <w:tabs>
          <w:tab w:leader="none" w:pos="42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keep the Owners and the mortgagee(s) advised of the intended employment, planned dry-docking and major repairs of the Vessel, as reasonably required. </w:t>
      </w:r>
      <w:r>
        <w:rPr>
          <w:rFonts w:ascii="Times New Roman" w:cs="Times New Roman" w:eastAsia="Times New Roman" w:hAnsi="Times New Roman"/>
          <w:sz w:val="12"/>
          <w:szCs w:val="12"/>
          <w:b w:val="1"/>
          <w:bCs w:val="1"/>
          <w:color w:val="auto"/>
        </w:rPr>
        <w:t>See also Additional Clause 57 (</w:t>
      </w:r>
      <w:r>
        <w:rPr>
          <w:rFonts w:ascii="Times New Roman" w:cs="Times New Roman" w:eastAsia="Times New Roman" w:hAnsi="Times New Roman"/>
          <w:sz w:val="12"/>
          <w:szCs w:val="12"/>
          <w:b w:val="1"/>
          <w:bCs w:val="1"/>
          <w:i w:val="1"/>
          <w:iCs w:val="1"/>
          <w:color w:val="auto"/>
        </w:rPr>
        <w:t>Operational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notifiable events</w:t>
      </w:r>
      <w:r>
        <w:rPr>
          <w:rFonts w:ascii="Times New Roman" w:cs="Times New Roman" w:eastAsia="Times New Roman" w:hAnsi="Times New Roman"/>
          <w:sz w:val="12"/>
          <w:szCs w:val="12"/>
          <w:b w:val="1"/>
          <w:bCs w:val="1"/>
          <w:color w:val="auto"/>
        </w:rPr>
        <w:t>).</w:t>
      </w:r>
    </w:p>
    <w:p>
      <w:pPr>
        <w:ind w:left="428" w:hanging="230"/>
        <w:spacing w:after="0"/>
        <w:tabs>
          <w:tab w:leader="none" w:pos="428" w:val="left"/>
        </w:tabs>
        <w:numPr>
          <w:ilvl w:val="0"/>
          <w:numId w:val="1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Flag and Name of Vessel</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Charterers shall have the liberty to paint the Vessel in their own colours, install and display their funnel insignia and fly their own house flag. The Charterers shall also have the liberty, with the Owners' consent, which shall not be unreasonably withheld, to change the flag and/or the name of the Vessel during the Charter Period. Painting and re-painting, instalment and re-instalment, registration and re-registration, if required by the Owners, shall be at the Charterers' expense and time. </w:t>
      </w:r>
      <w:r>
        <w:rPr>
          <w:rFonts w:ascii="Times New Roman" w:cs="Times New Roman" w:eastAsia="Times New Roman" w:hAnsi="Times New Roman"/>
          <w:sz w:val="12"/>
          <w:szCs w:val="12"/>
          <w:b w:val="1"/>
          <w:bCs w:val="1"/>
          <w:color w:val="auto"/>
          <w:strike w:val="1"/>
        </w:rPr>
        <w:t>See also Additional Clause 39 (</w:t>
      </w:r>
      <w:r>
        <w:rPr>
          <w:rFonts w:ascii="Times New Roman" w:cs="Times New Roman" w:eastAsia="Times New Roman" w:hAnsi="Times New Roman"/>
          <w:sz w:val="12"/>
          <w:szCs w:val="12"/>
          <w:b w:val="1"/>
          <w:bCs w:val="1"/>
          <w:i w:val="1"/>
          <w:iCs w:val="1"/>
          <w:color w:val="auto"/>
          <w:strike w:val="1"/>
        </w:rPr>
        <w:t>Structural changes</w:t>
      </w:r>
      <w:r>
        <w:rPr>
          <w:rFonts w:ascii="Times New Roman" w:cs="Times New Roman" w:eastAsia="Times New Roman" w:hAnsi="Times New Roman"/>
          <w:sz w:val="12"/>
          <w:szCs w:val="12"/>
          <w:color w:val="auto"/>
          <w:strike w:val="1"/>
        </w:rPr>
        <w:t xml:space="preserve"> </w:t>
      </w:r>
      <w:r>
        <w:rPr>
          <w:rFonts w:ascii="Times New Roman" w:cs="Times New Roman" w:eastAsia="Times New Roman" w:hAnsi="Times New Roman"/>
          <w:sz w:val="12"/>
          <w:szCs w:val="12"/>
          <w:b w:val="1"/>
          <w:bCs w:val="1"/>
          <w:color w:val="auto"/>
          <w:strike w:val="1"/>
        </w:rPr>
        <w:t>and alterations), paragraph (p) of Additional Clause 47 and Additional Clause 51 (</w:t>
      </w:r>
      <w:r>
        <w:rPr>
          <w:rFonts w:ascii="Times New Roman" w:cs="Times New Roman" w:eastAsia="Times New Roman" w:hAnsi="Times New Roman"/>
          <w:sz w:val="12"/>
          <w:szCs w:val="12"/>
          <w:b w:val="1"/>
          <w:bCs w:val="1"/>
          <w:i w:val="1"/>
          <w:iCs w:val="1"/>
          <w:color w:val="auto"/>
          <w:strike w:val="1"/>
        </w:rPr>
        <w:t>Name of</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Vessel</w:t>
      </w:r>
      <w:r>
        <w:rPr>
          <w:rFonts w:ascii="Times New Roman" w:cs="Times New Roman" w:eastAsia="Times New Roman" w:hAnsi="Times New Roman"/>
          <w:sz w:val="12"/>
          <w:szCs w:val="12"/>
          <w:b w:val="1"/>
          <w:bCs w:val="1"/>
          <w:color w:val="auto"/>
        </w:rPr>
        <w:t>).</w:t>
      </w:r>
    </w:p>
    <w:p>
      <w:pPr>
        <w:spacing w:after="0" w:line="17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08" w:name="page209"/>
    <w:bookmarkEnd w:id="208"/>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55" w:lineRule="exact"/>
        <w:rPr>
          <w:sz w:val="20"/>
          <w:szCs w:val="20"/>
          <w:color w:val="auto"/>
        </w:rPr>
      </w:pPr>
    </w:p>
    <w:p>
      <w:pPr>
        <w:ind w:left="428" w:hanging="230"/>
        <w:spacing w:after="0"/>
        <w:tabs>
          <w:tab w:leader="none" w:pos="428" w:val="left"/>
        </w:tabs>
        <w:numPr>
          <w:ilvl w:val="0"/>
          <w:numId w:val="1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Changes to the Vessel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u w:val="single" w:color="auto"/>
          <w:color w:val="auto"/>
        </w:rPr>
        <w:t>S</w:t>
      </w:r>
      <w:r>
        <w:rPr>
          <w:rFonts w:ascii="Times New Roman" w:cs="Times New Roman" w:eastAsia="Times New Roman" w:hAnsi="Times New Roman"/>
          <w:sz w:val="12"/>
          <w:szCs w:val="12"/>
          <w:b w:val="1"/>
          <w:bCs w:val="1"/>
          <w:color w:val="auto"/>
        </w:rPr>
        <w:t>ee Additional Clause 39(a))</w:t>
      </w:r>
    </w:p>
    <w:p>
      <w:pPr>
        <w:spacing w:after="0" w:line="20" w:lineRule="exact"/>
        <w:rPr>
          <w:rFonts w:ascii="Times New Roman" w:cs="Times New Roman" w:eastAsia="Times New Roman" w:hAnsi="Times New Roman"/>
          <w:sz w:val="12"/>
          <w:szCs w:val="12"/>
          <w:b w:val="1"/>
          <w:bCs w:val="1"/>
          <w:color w:val="auto"/>
        </w:rPr>
      </w:pPr>
    </w:p>
    <w:p>
      <w:pPr>
        <w:ind w:left="42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Clause 10(a)(ii), the Charterers shall make no structural changes in the Vessel or changes in the machinery, boilers, appurtenances or spare parts thereof without in each instance first securing the Owners' approval thereof. If the Owners so agree, the Charterers shall, if the Owners so require, restore the Vessel to its former condition before the termination of this Charter.</w:t>
      </w:r>
    </w:p>
    <w:p>
      <w:pPr>
        <w:ind w:left="428" w:hanging="230"/>
        <w:spacing w:after="0"/>
        <w:tabs>
          <w:tab w:leader="none" w:pos="42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Use of the Vessel's Outfit, Equipment and Appliances</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have the use of all outfit, equipment, and appliances on board the Vessel at the time of delivery, provided the same or their substantial equivalent shall be returned to the Owners on redelivery in the same good order and condition as when received, ordinary wear and tear excepted. The Charterers shall from time to time during the Charter Period replace such items of equipment as shall be so damaged or worn as to be unfit for use </w:t>
      </w:r>
      <w:r>
        <w:rPr>
          <w:rFonts w:ascii="Times New Roman" w:cs="Times New Roman" w:eastAsia="Times New Roman" w:hAnsi="Times New Roman"/>
          <w:sz w:val="12"/>
          <w:szCs w:val="12"/>
          <w:b w:val="1"/>
          <w:bCs w:val="1"/>
          <w:color w:val="auto"/>
        </w:rPr>
        <w:t>in accordance with the Vessel’s Classification Society’s guidelines</w:t>
      </w:r>
      <w:r>
        <w:rPr>
          <w:rFonts w:ascii="Times New Roman" w:cs="Times New Roman" w:eastAsia="Times New Roman" w:hAnsi="Times New Roman"/>
          <w:sz w:val="12"/>
          <w:szCs w:val="12"/>
          <w:color w:val="auto"/>
        </w:rPr>
        <w:t xml:space="preserve">. The Charterers are to procure that all repairs to or replacement of any damaged, worn or lost parts or equipment be effected in such manner (both as regards workmanship and quality of materials) as not to diminish the value of the Vessel. The Charterers have the right to fit additional equipment at their expense and risk but </w:t>
      </w:r>
      <w:r>
        <w:rPr>
          <w:rFonts w:ascii="Times New Roman" w:cs="Times New Roman" w:eastAsia="Times New Roman" w:hAnsi="Times New Roman"/>
          <w:sz w:val="12"/>
          <w:szCs w:val="12"/>
          <w:b w:val="1"/>
          <w:bCs w:val="1"/>
          <w:color w:val="auto"/>
        </w:rPr>
        <w:t>title to such additional equipment shall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deemed to have automatically passed to the Owners immediately upon such fitting and </w:t>
      </w:r>
      <w:r>
        <w:rPr>
          <w:rFonts w:ascii="Times New Roman" w:cs="Times New Roman" w:eastAsia="Times New Roman" w:hAnsi="Times New Roman"/>
          <w:sz w:val="12"/>
          <w:szCs w:val="12"/>
          <w:color w:val="auto"/>
        </w:rPr>
        <w:t>the Charterers shall</w:t>
      </w:r>
      <w:r>
        <w:rPr>
          <w:rFonts w:ascii="Times New Roman" w:cs="Times New Roman" w:eastAsia="Times New Roman" w:hAnsi="Times New Roman"/>
          <w:sz w:val="12"/>
          <w:szCs w:val="12"/>
          <w:b w:val="1"/>
          <w:bCs w:val="1"/>
          <w:color w:val="auto"/>
        </w:rPr>
        <w:t xml:space="preserve"> at their expenses </w:t>
      </w:r>
      <w:r>
        <w:rPr>
          <w:rFonts w:ascii="Times New Roman" w:cs="Times New Roman" w:eastAsia="Times New Roman" w:hAnsi="Times New Roman"/>
          <w:sz w:val="12"/>
          <w:szCs w:val="12"/>
          <w:color w:val="auto"/>
        </w:rPr>
        <w:t>remove such equipment</w:t>
      </w:r>
      <w:r>
        <w:rPr>
          <w:rFonts w:ascii="Times New Roman" w:cs="Times New Roman" w:eastAsia="Times New Roman" w:hAnsi="Times New Roman"/>
          <w:sz w:val="12"/>
          <w:szCs w:val="12"/>
          <w:b w:val="1"/>
          <w:bCs w:val="1"/>
          <w:color w:val="auto"/>
        </w:rPr>
        <w:t xml:space="preserve"> without damage to the Vessel </w:t>
      </w:r>
      <w:r>
        <w:rPr>
          <w:rFonts w:ascii="Times New Roman" w:cs="Times New Roman" w:eastAsia="Times New Roman" w:hAnsi="Times New Roman"/>
          <w:sz w:val="12"/>
          <w:szCs w:val="12"/>
          <w:color w:val="auto"/>
        </w:rPr>
        <w:t>at the</w:t>
      </w:r>
      <w:r>
        <w:rPr>
          <w:rFonts w:ascii="Times New Roman" w:cs="Times New Roman" w:eastAsia="Times New Roman" w:hAnsi="Times New Roman"/>
          <w:sz w:val="12"/>
          <w:szCs w:val="12"/>
          <w:b w:val="1"/>
          <w:bCs w:val="1"/>
          <w:color w:val="auto"/>
        </w:rPr>
        <w:t xml:space="preserve"> time of redelivery </w:t>
      </w:r>
      <w:r>
        <w:rPr>
          <w:rFonts w:ascii="Times New Roman" w:cs="Times New Roman" w:eastAsia="Times New Roman" w:hAnsi="Times New Roman"/>
          <w:sz w:val="12"/>
          <w:szCs w:val="12"/>
          <w:color w:val="auto"/>
          <w:strike w:val="1"/>
        </w:rPr>
        <w:t>end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strike w:val="1"/>
        </w:rPr>
        <w:t>period</w:t>
      </w:r>
      <w:r>
        <w:rPr>
          <w:rFonts w:ascii="Times New Roman" w:cs="Times New Roman" w:eastAsia="Times New Roman" w:hAnsi="Times New Roman"/>
          <w:sz w:val="12"/>
          <w:szCs w:val="12"/>
          <w:color w:val="auto"/>
        </w:rPr>
        <w:t xml:space="preserve"> if requested by the Owners. Any equipment including radio equipment on hire on the Vessel at time of delivery shall be kept and maintained by the Charterers and the Charterers shall assume the obligations and liabilities of the Owners under any lease contracts in connection therewith and shall </w:t>
      </w:r>
      <w:r>
        <w:rPr>
          <w:rFonts w:ascii="Times New Roman" w:cs="Times New Roman" w:eastAsia="Times New Roman" w:hAnsi="Times New Roman"/>
          <w:sz w:val="12"/>
          <w:szCs w:val="12"/>
          <w:color w:val="auto"/>
          <w:strike w:val="1"/>
        </w:rPr>
        <w:t>reimburse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indemnify</w:t>
      </w:r>
      <w:r>
        <w:rPr>
          <w:rFonts w:ascii="Times New Roman" w:cs="Times New Roman" w:eastAsia="Times New Roman" w:hAnsi="Times New Roman"/>
          <w:sz w:val="12"/>
          <w:szCs w:val="12"/>
          <w:color w:val="auto"/>
        </w:rPr>
        <w:t xml:space="preserve"> the Owners for all expenses incurred in connection therewith, also for any new equipment required in order to comply with radio regulations.</w:t>
      </w:r>
    </w:p>
    <w:p>
      <w:pPr>
        <w:spacing w:after="0" w:line="2"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0"/>
          <w:numId w:val="1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Periodical Dry-Docking</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The Charterers shall dry-dock the Vessel and clean and paint her underwater parts whenever the same </w:t>
      </w:r>
      <w:r>
        <w:rPr>
          <w:rFonts w:ascii="Times New Roman" w:cs="Times New Roman" w:eastAsia="Times New Roman" w:hAnsi="Times New Roman"/>
          <w:sz w:val="12"/>
          <w:szCs w:val="12"/>
          <w:color w:val="auto"/>
          <w:strike w:val="1"/>
        </w:rPr>
        <w:t>may be necessary, but not less than once during the period stated in Box 19 or, if Box 19 has been left blank, every sixty</w:t>
      </w:r>
    </w:p>
    <w:p>
      <w:pPr>
        <w:spacing w:after="0" w:line="6" w:lineRule="exact"/>
        <w:rPr>
          <w:sz w:val="20"/>
          <w:szCs w:val="20"/>
          <w:color w:val="auto"/>
        </w:rPr>
      </w:pPr>
    </w:p>
    <w:p>
      <w:pPr>
        <w:ind w:left="648" w:hanging="223"/>
        <w:spacing w:after="0"/>
        <w:tabs>
          <w:tab w:leader="none" w:pos="648" w:val="left"/>
        </w:tabs>
        <w:numPr>
          <w:ilvl w:val="2"/>
          <w:numId w:val="18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calendar months after delivery or such other period as</w:t>
      </w:r>
      <w:r>
        <w:rPr>
          <w:rFonts w:ascii="Times New Roman" w:cs="Times New Roman" w:eastAsia="Times New Roman" w:hAnsi="Times New Roman"/>
          <w:sz w:val="12"/>
          <w:szCs w:val="12"/>
          <w:color w:val="auto"/>
        </w:rPr>
        <w:t xml:space="preserve"> may be required by the Classification Society or flag State</w:t>
      </w:r>
      <w:r>
        <w:rPr>
          <w:rFonts w:ascii="Times New Roman" w:cs="Times New Roman" w:eastAsia="Times New Roman" w:hAnsi="Times New Roman"/>
          <w:sz w:val="12"/>
          <w:szCs w:val="12"/>
          <w:color w:val="auto"/>
          <w:strike w:val="1"/>
        </w:rPr>
        <w:t>, whichever is shorter</w:t>
      </w:r>
      <w:r>
        <w:rPr>
          <w:rFonts w:ascii="Times New Roman" w:cs="Times New Roman" w:eastAsia="Times New Roman" w:hAnsi="Times New Roman"/>
          <w:sz w:val="12"/>
          <w:szCs w:val="12"/>
          <w:color w:val="auto"/>
        </w:rPr>
        <w:t>.</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1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 (See Additional Clause 40)</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hire due to the Owners punctually in accordance with the terms of this Charter in respect of which time shall be of the essence.</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to the Owners for the hire of the Vessel a lump sum in the amount indicated in Box 22 which shall be payable not later than every thirty (30) running days in advance, the first lump sum being payable on the date and hour of the Vessel's delivery to the Charterers. Hire shall be paid continuously throughout the Charter Period.</w:t>
      </w:r>
    </w:p>
    <w:p>
      <w:pPr>
        <w:ind w:left="468" w:hanging="270"/>
        <w:spacing w:after="0"/>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hire shall be made in cash without discount in the currency and in the manner indicated in Box 25 and at the place mentioned in Box 26.</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Final payment of hire, if for a period of less than thirty (30) running days, shall be calculated proportionally according to the number of days and hours remaining before redelivery and advance payment to be effected accordingly.</w:t>
      </w:r>
    </w:p>
    <w:p>
      <w:pPr>
        <w:ind w:left="468" w:hanging="270"/>
        <w:spacing w:after="0" w:line="250" w:lineRule="auto"/>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 lost or missing, hire shall cease from the date and time when she was lost or last heard of. The date upon which the Vessel is to be treated as lost or missing shall be ten (10) days after the Vessel was last reported or when the Vessel is posted as missing by Lloyd's, whichever occurs first. Any hire paid in advance to be adjusted accordingly.</w:t>
      </w:r>
    </w:p>
    <w:p>
      <w:pPr>
        <w:ind w:left="468" w:right="20" w:hanging="270"/>
        <w:spacing w:after="0" w:line="250" w:lineRule="auto"/>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delay in payment of hire shall entitle the Owners to interest at the rate per annum as agreed in Box 24. If Box 24 has not been filled in, the three months interbank offered rate in London (LIBOR or its successor) for the currency stated in Box 25, as quoted by the British Bankers' Association (BBA) on the date when the hire fell due, increased by 2 per cent., shall apply.</w:t>
      </w:r>
    </w:p>
    <w:p>
      <w:pPr>
        <w:ind w:left="468" w:hanging="270"/>
        <w:spacing w:after="0" w:line="260" w:lineRule="auto"/>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interest due under sub-clause 11(f) shall be made within seven (7) running days of the date of the Owners' invoice specifying the amount payable or, in the absence of an invoice, at the time of the next hire payment date.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Mortgage (See Additional Clause 45)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only to apply if Box 28 has been appropriately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Notwithstanding anything to the contrary in this Charter, no obligations will be imposed on the Charterers as a result of Owners entering into the Finance Documents which are more onerous than those imposed on the Charterers pursuant to this Charter.</w:t>
      </w: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The Owners warrant that they have not effected any mortgage(s) of the Vessel and that they shall not effect any mortgage(s) without the prior consent of the Charterers, which shall not be unreasonably withheld.</w:t>
      </w:r>
    </w:p>
    <w:p>
      <w:pPr>
        <w:spacing w:after="0" w:line="6" w:lineRule="exact"/>
        <w:rPr>
          <w:rFonts w:ascii="Times New Roman" w:cs="Times New Roman" w:eastAsia="Times New Roman" w:hAnsi="Times New Roman"/>
          <w:sz w:val="12"/>
          <w:szCs w:val="12"/>
          <w:b w:val="1"/>
          <w:bCs w:val="1"/>
          <w:color w:val="auto"/>
        </w:rPr>
      </w:pPr>
    </w:p>
    <w:p>
      <w:pPr>
        <w:ind w:left="468" w:hanging="261"/>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*(b) The Vessel chartered under this Charter is financed by a mortgage according to the Financial Instrument. The Charterers undertake to comply, and provide such information and documents to enable the Owners to comply, with all such instructions or directions in regard to the employment, insurances, operation, repairs and maintenance of the Vessel as laid down in the Financial Instrument or as may be directed from time to time during the currency of the Charter by the mortgagee(s) in conformity with the Financial Instrument. The Charterers confirm that, for this purpose, they have acquainted themselves with all relevant terms, conditions and provisions of the Financial Instrument and agree to acknowledge this in writing in any form that may be required by the mortgagee(s). The Owners warrant that they have not effected any mortgage(s) other than stated in Box 28 and that they shall not agree to any amendment of the mortgage(s) referred to in Box 28 or effect any other mortgage(s) without the prior consent of the Charterers, which shall not be unreasonably withheld.</w:t>
      </w:r>
    </w:p>
    <w:p>
      <w:pPr>
        <w:spacing w:after="0" w:line="1"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*(Optional, Clauses 12(a) and 12(b) are alternatives; indicate alternative agreed in Box 28).</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and Repairs (Also see Additional Clause 41)</w:t>
      </w:r>
    </w:p>
    <w:p>
      <w:pPr>
        <w:spacing w:after="0" w:line="20" w:lineRule="exact"/>
        <w:rPr>
          <w:rFonts w:ascii="Times New Roman" w:cs="Times New Roman" w:eastAsia="Times New Roman" w:hAnsi="Times New Roman"/>
          <w:sz w:val="12"/>
          <w:szCs w:val="12"/>
          <w:b w:val="1"/>
          <w:bCs w:val="1"/>
          <w:color w:val="auto"/>
        </w:rPr>
      </w:pPr>
    </w:p>
    <w:p>
      <w:pPr>
        <w:jc w:val="both"/>
        <w:ind w:left="468" w:hanging="270"/>
        <w:spacing w:after="0" w:line="251" w:lineRule="auto"/>
        <w:tabs>
          <w:tab w:leader="none" w:pos="468" w:val="left"/>
        </w:tabs>
        <w:numPr>
          <w:ilvl w:val="1"/>
          <w:numId w:val="1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Vessel shall be kept insured by the Charterers at their expense against hull and machinery, war and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 Such insurances shall be arranged by the Charterers to protect the interests of both the Owners and the Charterers and the mortgagee(s) (if any), and the Charterers shall be at liberty to protect under such insurances the interests of any managers they may appoint. Insurance policies shall cover the Owners and the Charterers according to their respective interests. Subject to the provisions of the Financial Instrument, if any, and the approval of the Owners and the insurers, the Charterers shall effect all insured repairs and shall undertake settlement and reimbursement from the insurers of all costs in connection with such repairs as well as insured charges, expenses and liabilities to the extent of coverage under the insurances herein provided for. The Charterers also to </w:t>
      </w:r>
      <w:r>
        <w:rPr>
          <w:rFonts w:ascii="Times New Roman" w:cs="Times New Roman" w:eastAsia="Times New Roman" w:hAnsi="Times New Roman"/>
          <w:sz w:val="12"/>
          <w:szCs w:val="12"/>
          <w:b w:val="1"/>
          <w:bCs w:val="1"/>
          <w:color w:val="auto"/>
          <w:strike w:val="1"/>
        </w:rPr>
        <w:t>shall</w:t>
      </w:r>
      <w:r>
        <w:rPr>
          <w:rFonts w:ascii="Times New Roman" w:cs="Times New Roman" w:eastAsia="Times New Roman" w:hAnsi="Times New Roman"/>
          <w:sz w:val="12"/>
          <w:szCs w:val="12"/>
          <w:color w:val="auto"/>
          <w:strike w:val="1"/>
        </w:rPr>
        <w:t xml:space="preserve"> remain responsible for and to effect repairs and settlement of costs and expenses incurred thereby in respect of all other repairs not covered by the insurances and/or not exceeding any possible franchise(s) or deductibles provided for in the insurances.All time used for repairs under the provisions of sub clause 13(a) and for repairs of latent defects according to Clause 3(c) above, including any deviation, shall be for the Charterers' account.</w:t>
      </w:r>
    </w:p>
    <w:p>
      <w:pPr>
        <w:spacing w:after="0" w:line="2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09" w:name="page210"/>
    <w:bookmarkEnd w:id="20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13" w:lineRule="exact"/>
        <w:rPr>
          <w:sz w:val="20"/>
          <w:szCs w:val="20"/>
          <w:color w:val="auto"/>
        </w:rPr>
      </w:pPr>
    </w:p>
    <w:p>
      <w:pPr>
        <w:jc w:val="both"/>
        <w:ind w:left="468" w:hanging="270"/>
        <w:spacing w:after="0" w:line="256" w:lineRule="auto"/>
        <w:tabs>
          <w:tab w:leader="none" w:pos="468"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spacing w:after="0" w:line="1"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upon the request of the Owners, provide information and promptly execute such documents as may be </w:t>
      </w:r>
      <w:r>
        <w:rPr>
          <w:rFonts w:ascii="Times New Roman" w:cs="Times New Roman" w:eastAsia="Times New Roman" w:hAnsi="Times New Roman"/>
          <w:sz w:val="12"/>
          <w:szCs w:val="12"/>
          <w:b w:val="1"/>
          <w:bCs w:val="1"/>
          <w:color w:val="auto"/>
        </w:rPr>
        <w:t>reasonably</w:t>
      </w:r>
      <w:r>
        <w:rPr>
          <w:rFonts w:ascii="Times New Roman" w:cs="Times New Roman" w:eastAsia="Times New Roman" w:hAnsi="Times New Roman"/>
          <w:sz w:val="12"/>
          <w:szCs w:val="12"/>
          <w:color w:val="auto"/>
        </w:rPr>
        <w:t xml:space="preserve"> required to enable the Owners to comply with the insurance provisions of the Financial Instrument.</w:t>
      </w:r>
    </w:p>
    <w:p>
      <w:pPr>
        <w:jc w:val="both"/>
        <w:ind w:left="468" w:hanging="270"/>
        <w:spacing w:after="0" w:line="250" w:lineRule="auto"/>
        <w:tabs>
          <w:tab w:leader="none" w:pos="468"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Subject to the provisions of the Financial lnstrument, if any, should the Vessel become an actual, constructive, compromised or agreed total loss under the insurances required under sub-clause 13(a), all insurance payments for such loss shall be paid to the Owners who shall distribute the moneys between the Owners and Charterers according to their respective interests. The Charterers undertake to notify the Owners and the mortgagee(s), if any, of any occurrences in consequence of which the Vessel is likely to become a total loss as defined in this Clause.</w:t>
      </w:r>
    </w:p>
    <w:p>
      <w:pPr>
        <w:ind w:left="468" w:hanging="270"/>
        <w:spacing w:after="0"/>
        <w:tabs>
          <w:tab w:leader="none" w:pos="468"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upon the request of the Charterers, promptly execute such documents as may be required to enable the Charterers to abandon the Vessel to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1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13(a), the value of the Vessel is the sum indicated in Box 29.</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Repairs and Classification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(Optional, only to apply if expressly agreed and stated in Box </w:t>
      </w:r>
      <w:r>
        <w:rPr>
          <w:rFonts w:ascii="Times New Roman" w:cs="Times New Roman" w:eastAsia="Times New Roman" w:hAnsi="Times New Roman"/>
          <w:sz w:val="12"/>
          <w:szCs w:val="12"/>
          <w:b w:val="1"/>
          <w:bCs w:val="1"/>
          <w:color w:val="auto"/>
        </w:rPr>
        <w:t>29,</w:t>
      </w:r>
      <w:r>
        <w:rPr>
          <w:rFonts w:ascii="Times New Roman" w:cs="Times New Roman" w:eastAsia="Times New Roman" w:hAnsi="Times New Roman"/>
          <w:sz w:val="12"/>
          <w:szCs w:val="12"/>
          <w:b w:val="1"/>
          <w:bCs w:val="1"/>
          <w:i w:val="1"/>
          <w:iCs w:val="1"/>
          <w:color w:val="auto"/>
        </w:rPr>
        <w:t xml:space="preserve"> in which event Clause </w:t>
      </w:r>
      <w:r>
        <w:rPr>
          <w:rFonts w:ascii="Times New Roman" w:cs="Times New Roman" w:eastAsia="Times New Roman" w:hAnsi="Times New Roman"/>
          <w:sz w:val="12"/>
          <w:szCs w:val="12"/>
          <w:b w:val="1"/>
          <w:bCs w:val="1"/>
          <w:color w:val="auto"/>
        </w:rPr>
        <w:t>13</w:t>
      </w:r>
      <w:r>
        <w:rPr>
          <w:rFonts w:ascii="Times New Roman" w:cs="Times New Roman" w:eastAsia="Times New Roman" w:hAnsi="Times New Roman"/>
          <w:sz w:val="12"/>
          <w:szCs w:val="12"/>
          <w:b w:val="1"/>
          <w:bCs w:val="1"/>
          <w:i w:val="1"/>
          <w:iCs w:val="1"/>
          <w:color w:val="auto"/>
        </w:rPr>
        <w:t xml:space="preserve"> shall be considered deleted).</w:t>
      </w:r>
    </w:p>
    <w:p>
      <w:pPr>
        <w:spacing w:after="0" w:line="6"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Owners at their expense against hull and machinery and war risks under the form of policy or policies attached hereto. The Owners and/or insurers shall not have any right of recovery or subrogation against the Charterers on account of loss of or any damage to the Vessel or her machinery or appurtenances covered by such insurance, or on account of payments made to discharge claims against or liabilities of the Vessel or the Owners covered by such insurance. Insurance policies shall cover the Owners and the Charterers according to their respective interests.</w:t>
      </w:r>
    </w:p>
    <w:p>
      <w:pPr>
        <w:ind w:left="468"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Charterers at their expense against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w:t>
      </w:r>
    </w:p>
    <w:p>
      <w:pPr>
        <w:ind w:left="468" w:right="20"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that any act or negligence of the Charterers shall vitiate any of the insurance herein provided, the Charterers shall pay to the Owners all losses and indemnify the Owners against all claims and demands which would otherwise have been covered by such insurance.</w:t>
      </w:r>
    </w:p>
    <w:p>
      <w:pPr>
        <w:jc w:val="both"/>
        <w:ind w:left="468" w:right="20"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subject to the approval of the Owners or Owners' Underwriters, effect all insured repairs, and the Charterers shall undertake settlement of all miscellaneous expenses in connection with such repairs as well as all insured charges, expenses and liabilities, to the extent of coverage under the insurances provided for under the provisions of sub-clause 14(a). The Charterers to be secured reimbursement through the Owners' Underwriters for such expenditures upon presentation of accounts.</w:t>
      </w:r>
    </w:p>
    <w:p>
      <w:pPr>
        <w:ind w:left="468" w:right="20"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to remain responsible for and to effect repairs and settlement of costs and expenses incurred thereby in respect of all other repairs not covered by the insurances and/or not exceeding any possible franchise(s) or deductibles provided for in the insurances.</w:t>
      </w:r>
    </w:p>
    <w:p>
      <w:pPr>
        <w:ind w:left="468" w:right="20"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All time used for repairs under the provisions of sub-clauses 14(d) and 14(e) and for repairs of latent defects according to Clause 3 above, including any deviation, shall be for the Charterers' account and shall form part of the Charter Period.</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be responsible for any expenses as are incident to the use and operation of the Vessel for such time as may be required to make such repairs.</w:t>
      </w:r>
    </w:p>
    <w:p>
      <w:pPr>
        <w:spacing w:after="0" w:line="6" w:lineRule="exact"/>
        <w:rPr>
          <w:rFonts w:ascii="Times New Roman" w:cs="Times New Roman" w:eastAsia="Times New Roman" w:hAnsi="Times New Roman"/>
          <w:sz w:val="12"/>
          <w:szCs w:val="12"/>
          <w:color w:val="auto"/>
        </w:rPr>
      </w:pPr>
    </w:p>
    <w:p>
      <w:pPr>
        <w:jc w:val="both"/>
        <w:ind w:left="468" w:right="20"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ind w:left="468" w:hanging="270"/>
        <w:spacing w:after="0" w:line="250" w:lineRule="auto"/>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become an actual, constructive, compromised or agreed total loss under the insurances required under sub-clause 14(a), all insurance payments for such loss shall be paid to the Owners, who shall distribute the moneys between themselves and the Charterers according to their respective interests.</w:t>
      </w:r>
    </w:p>
    <w:p>
      <w:pPr>
        <w:ind w:left="468" w:hanging="270"/>
        <w:spacing w:after="0"/>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Vessel becomes an actual, constructive, compromised or agreed total loss under the insurances arranged by the Owners in accordance with sub-clause 14(a), this Charter shall terminate as of the date of such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upon the request of the Owners, promptly execute such documents as may be required to enable the Owners to abandon the Vessel to the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1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14(a), the value of the Vessel is the sum indicated in Box 29.</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0" w:name="page211"/>
    <w:bookmarkEnd w:id="21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13" w:lineRule="exact"/>
        <w:rPr>
          <w:sz w:val="20"/>
          <w:szCs w:val="20"/>
          <w:color w:val="auto"/>
        </w:rPr>
      </w:pPr>
    </w:p>
    <w:p>
      <w:pPr>
        <w:ind w:left="468" w:right="20" w:hanging="270"/>
        <w:spacing w:after="0" w:line="279" w:lineRule="auto"/>
        <w:tabs>
          <w:tab w:leader="none" w:pos="468" w:val="left"/>
        </w:tabs>
        <w:numPr>
          <w:ilvl w:val="1"/>
          <w:numId w:val="1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Notwithstanding anything contained in sub-clause 10(a), it is agreed that under the provisions of Clause 14, if applicable, the Owners shall keep the Vessel's Class fully up to date with the Classification Society indicated in Box 10 and maintain all other necessary certificates in force at all times.</w:t>
      </w:r>
    </w:p>
    <w:p>
      <w:pPr>
        <w:spacing w:after="0" w:line="107"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(See Additional Clauses 42 and 43)</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At the expiration of the Charter Period the Vessel shall be redelivered by the Charterers to the Owners at a safe and ice-free port or place as indicated in Box 16, in such ready safe berth as the Owners may direct. The Charterers shall give the Owners not less than thirty (30) running days' preliminary notice of expected date, range of ports of redelivery or port or place of redelivery and not less than fourteen (14) running days' definite notice of expected date and port or place of redelivery. Any changes thereafter in the Vessel's position shall be notified immediately to the Owners.</w:t>
      </w: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warrant that they will not permit the Vessel to commence a voyage (including any preceding ballast voyage) which cannot reasonably be expected to be completed in time to allow redelivery of the Vessel within the Charter Period. Notwithstanding the above, should the Charterers fail to redeliver the Vessel within the Charter Period, the Charterers shall pay the daily equivalent to the rate of hire stated in Box 22 plus 10 per cent. or to the market rate, whichever is the higher, for the number of days by which the Charter Period is exceeded. All other terms, conditions and provisions of this Charter shall continue to apply.</w:t>
      </w:r>
    </w:p>
    <w:p>
      <w:pPr>
        <w:ind w:left="168" w:right="3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the provisions of Clause 10, the Vessel shall be redelivered to the Owners in the same or as good structure, state, condition and class as that in which she was delivered, fair wear and tear not affecting class excepted. The Vessel upon redelivery shall have her survey cycles up to date and trading and class certificates valid for at least the number of months agreed in Box 17.</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Non-Lien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Charterers will not suffer, nor permit to be continued, any lien or encumbrance incurred by their agents, which might have priority over the title and interest of the Owners in the Vessel </w:t>
      </w:r>
      <w:r>
        <w:rPr>
          <w:rFonts w:ascii="Times New Roman" w:cs="Times New Roman" w:eastAsia="Times New Roman" w:hAnsi="Times New Roman"/>
          <w:sz w:val="12"/>
          <w:szCs w:val="12"/>
          <w:b w:val="1"/>
          <w:bCs w:val="1"/>
          <w:color w:val="auto"/>
        </w:rPr>
        <w:t>(other than the 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2"/>
          <w:szCs w:val="12"/>
          <w:color w:val="auto"/>
        </w:rPr>
        <w:t>. The Charterers further agree to fasten to the Vessel in a conspicuous place and to keep so fastened during the Charter Period a notice reading as follows:</w:t>
      </w: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Vessel is the property of (name of Owners). It is under charter to (name of Charterers) and by the terms of the Charter Party neither the Charterers nor the Master have any right, power or authority to create, incur or permit to be imposed on the Vessel any lien whatsoever."</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Indemnity (See Additional Clause 58)</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indemnify the Owners against any loss, damage or </w:t>
      </w:r>
      <w:r>
        <w:rPr>
          <w:rFonts w:ascii="Times New Roman" w:cs="Times New Roman" w:eastAsia="Times New Roman" w:hAnsi="Times New Roman"/>
          <w:sz w:val="12"/>
          <w:szCs w:val="12"/>
          <w:b w:val="1"/>
          <w:bCs w:val="1"/>
          <w:color w:val="auto"/>
        </w:rPr>
        <w:t>documented</w:t>
      </w:r>
      <w:r>
        <w:rPr>
          <w:rFonts w:ascii="Times New Roman" w:cs="Times New Roman" w:eastAsia="Times New Roman" w:hAnsi="Times New Roman"/>
          <w:sz w:val="12"/>
          <w:szCs w:val="12"/>
          <w:color w:val="auto"/>
        </w:rPr>
        <w:t xml:space="preserve"> expense incurred by the Owners arising out of or in relation to the operation of the Vessel by the Charterers, and against any lien of whatsoever nature </w:t>
      </w:r>
      <w:r>
        <w:rPr>
          <w:rFonts w:ascii="Times New Roman" w:cs="Times New Roman" w:eastAsia="Times New Roman" w:hAnsi="Times New Roman"/>
          <w:sz w:val="12"/>
          <w:szCs w:val="12"/>
          <w:b w:val="1"/>
          <w:bCs w:val="1"/>
          <w:color w:val="auto"/>
        </w:rPr>
        <w:t>(save for any liens caused directly by the Owners)</w:t>
      </w:r>
      <w:r>
        <w:rPr>
          <w:rFonts w:ascii="Times New Roman" w:cs="Times New Roman" w:eastAsia="Times New Roman" w:hAnsi="Times New Roman"/>
          <w:sz w:val="12"/>
          <w:szCs w:val="12"/>
          <w:color w:val="auto"/>
        </w:rPr>
        <w:t xml:space="preserve"> arising out of an event occurring during the Charter Period. If the Vessel be arrested or otherwise detained by reason of claims or liens arising out of her operation hereunder by the Charterers, the Charterers shall at their own expense take all reasonable steps to secure that within a reasonable time the Vessel is released, including the provision of bail.</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foregoing, the Charterers agree to indemnify the Owners against all consequences or liabilities arising from the Master, officers or agents signing Bills of Lading or other documents.</w:t>
      </w:r>
    </w:p>
    <w:p>
      <w:pPr>
        <w:spacing w:after="0" w:line="6"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Vessel be arrested or otherwise detained by reason of a claim or claims against the Owners </w:t>
      </w:r>
      <w:r>
        <w:rPr>
          <w:rFonts w:ascii="Times New Roman" w:cs="Times New Roman" w:eastAsia="Times New Roman" w:hAnsi="Times New Roman"/>
          <w:sz w:val="12"/>
          <w:szCs w:val="12"/>
          <w:b w:val="1"/>
          <w:bCs w:val="1"/>
          <w:color w:val="auto"/>
        </w:rPr>
        <w:t>which is not attributable to any Obligor</w:t>
      </w:r>
      <w:r>
        <w:rPr>
          <w:rFonts w:ascii="Times New Roman" w:cs="Times New Roman" w:eastAsia="Times New Roman" w:hAnsi="Times New Roman"/>
          <w:sz w:val="12"/>
          <w:szCs w:val="12"/>
          <w:color w:val="auto"/>
        </w:rPr>
        <w:t>, the Owners shall at their own expense take all reasonable steps to secure that within a reasonable time the Vessel is released, including the provision of bail.</w:t>
      </w:r>
    </w:p>
    <w:p>
      <w:pPr>
        <w:ind w:left="46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such circumstances the Owners shall indemnify the Charterers against any loss, damage or expense incurred by the Charterers </w:t>
      </w:r>
      <w:r>
        <w:rPr>
          <w:rFonts w:ascii="Times New Roman" w:cs="Times New Roman" w:eastAsia="Times New Roman" w:hAnsi="Times New Roman"/>
          <w:sz w:val="12"/>
          <w:szCs w:val="12"/>
          <w:color w:val="auto"/>
          <w:strike w:val="1"/>
        </w:rPr>
        <w:t>(including hire paid under this Charter)</w:t>
      </w:r>
      <w:r>
        <w:rPr>
          <w:rFonts w:ascii="Times New Roman" w:cs="Times New Roman" w:eastAsia="Times New Roman" w:hAnsi="Times New Roman"/>
          <w:sz w:val="12"/>
          <w:szCs w:val="12"/>
          <w:color w:val="auto"/>
        </w:rPr>
        <w:t xml:space="preserve"> as a direct consequence of such arrest or detention </w:t>
      </w:r>
      <w:r>
        <w:rPr>
          <w:rFonts w:ascii="Times New Roman" w:cs="Times New Roman" w:eastAsia="Times New Roman" w:hAnsi="Times New Roman"/>
          <w:sz w:val="12"/>
          <w:szCs w:val="12"/>
          <w:b w:val="1"/>
          <w:bCs w:val="1"/>
          <w:color w:val="auto"/>
        </w:rPr>
        <w:t>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for the avoidance of doubt, in such circumstances, the Charterers shall continue to pay Hire.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Lien</w:t>
      </w:r>
    </w:p>
    <w:p>
      <w:pPr>
        <w:spacing w:after="0" w:line="20" w:lineRule="exact"/>
        <w:rPr>
          <w:rFonts w:ascii="Times New Roman" w:cs="Times New Roman" w:eastAsia="Times New Roman" w:hAnsi="Times New Roman"/>
          <w:sz w:val="12"/>
          <w:szCs w:val="12"/>
          <w:b w:val="1"/>
          <w:bCs w:val="1"/>
          <w:color w:val="auto"/>
        </w:rPr>
      </w:pPr>
    </w:p>
    <w:p>
      <w:pPr>
        <w:ind w:left="16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to have a lien upon all cargoes, sub-hires and sub-freights belonging or due to the Charterers or any sub-charterers and any Bill of Lading freight for all claims under this Charter</w:t>
      </w:r>
      <w:r>
        <w:rPr>
          <w:rFonts w:ascii="Times New Roman" w:cs="Times New Roman" w:eastAsia="Times New Roman" w:hAnsi="Times New Roman"/>
          <w:sz w:val="12"/>
          <w:szCs w:val="12"/>
          <w:color w:val="auto"/>
          <w:strike w:val="1"/>
        </w:rPr>
        <w:t>, and the Charterers to have a lien on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Vessel for all moneys paid in advance and not earned</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Salvage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salvage and towage performed by the Vessel shall be for the Charterers' benefit and the cost of repairing damage occasioned thereby shall be borne by the Charterers.</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Wreck Removal</w:t>
      </w:r>
    </w:p>
    <w:p>
      <w:pPr>
        <w:spacing w:after="0" w:line="20"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of the Vessel becoming a wreck or obstruction to navigation the Charterers shall indemnify the Owners against any sums whatsoever which the Owners shall become liable to pay and shall pay in consequence of the Vessel becoming a wreck or obstruction to navigation.</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Average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not contribute to General Average.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Sub-Charter and sale (See Additional Clauses)</w:t>
      </w:r>
    </w:p>
    <w:p>
      <w:pPr>
        <w:spacing w:after="0" w:line="20"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not assign this Charter nor sub-charter the Vessel on a bareboat basis except with the prior consent in writing of the Owners, which shall not be unreasonably withheld, and subject to such terms and conditions as the Owners shall approve.</w:t>
      </w:r>
    </w:p>
    <w:p>
      <w:pPr>
        <w:ind w:left="468" w:right="20" w:hanging="270"/>
        <w:spacing w:after="0" w:line="260" w:lineRule="auto"/>
        <w:tabs>
          <w:tab w:leader="none" w:pos="468" w:val="left"/>
        </w:tabs>
        <w:numPr>
          <w:ilvl w:val="1"/>
          <w:numId w:val="1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sell the Vessel during the currency of this Charter except with the prior written consent of the Charterers, which shall not be unreasonably withheld, and subject to the buyer accepting an assignment of this Charter.</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Contracts of Carriage</w:t>
      </w:r>
    </w:p>
    <w:p>
      <w:pPr>
        <w:spacing w:after="0" w:line="21" w:lineRule="exact"/>
        <w:rPr>
          <w:sz w:val="20"/>
          <w:szCs w:val="20"/>
          <w:color w:val="auto"/>
        </w:rPr>
      </w:pPr>
    </w:p>
    <w:p>
      <w:pPr>
        <w:jc w:val="both"/>
        <w:ind w:left="468" w:right="20"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rPr>
        <w:t>*(a)</w:t>
        <w:tab/>
        <w:t>The Charterers are to procure that all documents issued during the Charter Period evidencing the terms and conditions agreed in respect of carriage of goods shall contain a paramount clause incorporating any legislation relating to carrier's liability for cargo compulsorily applicable in the trade, if no such legislation exists, the documents shall incorporate the Hague-Visby Rules the documents shall also contain the New Jason Clause and the Both-to-Blame Collision Clause.</w:t>
      </w:r>
    </w:p>
    <w:p>
      <w:pPr>
        <w:spacing w:after="0" w:line="1" w:lineRule="exact"/>
        <w:rPr>
          <w:sz w:val="20"/>
          <w:szCs w:val="20"/>
          <w:color w:val="auto"/>
        </w:rPr>
      </w:pPr>
    </w:p>
    <w:p>
      <w:pPr>
        <w:jc w:val="both"/>
        <w:ind w:left="468" w:right="20" w:hanging="260"/>
        <w:spacing w:after="0" w:line="250" w:lineRule="auto"/>
        <w:rPr>
          <w:sz w:val="20"/>
          <w:szCs w:val="20"/>
          <w:color w:val="auto"/>
        </w:rPr>
      </w:pPr>
      <w:r>
        <w:rPr>
          <w:rFonts w:ascii="Times New Roman" w:cs="Times New Roman" w:eastAsia="Times New Roman" w:hAnsi="Times New Roman"/>
          <w:sz w:val="12"/>
          <w:szCs w:val="12"/>
          <w:color w:val="auto"/>
          <w:strike w:val="1"/>
        </w:rPr>
        <w:t>*(b) The Charterers are to procure that all passenger tickets issued during the Charter Period for the carriage of passengers and their luggage under this Charter shall contain a paramount clause incorporating any legislation relating to carrier’s liability for passengers and their luggage compulsorily applicable in the trade; if no such legislation exists, the passenger tickets shall incorporate the Athens Convention Relating to the Carriage of Passengers and their Luggage by Sea, 1974, and any protocol thereto.</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i w:val="1"/>
          <w:iCs w:val="1"/>
          <w:color w:val="auto"/>
        </w:rPr>
        <w:t>*Delete as applicable.</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p>
      <w:pPr>
        <w:ind w:left="168" w:hanging="168"/>
        <w:spacing w:after="0"/>
        <w:tabs>
          <w:tab w:leader="none" w:pos="168" w:val="left"/>
        </w:tabs>
        <w:numPr>
          <w:ilvl w:val="0"/>
          <w:numId w:val="1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Bank Guarantee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(Optional, only to apply if Box 27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undertake to furnish, before delivery of the Vessel, a first class bank guarantee or bond in the sum and at the place as indicated in Box 27 as guarantee for full performance of their obligations under this Charter.</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Requisition/Acquisition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Requisition for Hire of the Vessel by any governmental or other competent authority (hereinafter referred to as "Requisition for Hire") irrespective of the date during the Charter Period when "Requisition for Hire" may occur and irrespective of the length thereof and whether or not it be for an indefinite or a limited period of time, and irrespective of whether it may or will remain in force for the remainder of the Charter Period, this Charter shall not be deemed thereby or thereupon to be frustrated or otherwise terminated and the Charterers shall continue to pay the stipulated hire in the manner provided by this Charter until the time when the Charter would have terminated pursuant to any of the provisions hereof always provided however that in the event of "Requisition for Hire", any Requisition Hire or compensation received or receivable by the Owners shall be payable to the Charterers during the remainder of the Charter Period or the period of the "Requisition for Hire" whichever be the shorter.</w:t>
      </w:r>
    </w:p>
    <w:p>
      <w:pPr>
        <w:spacing w:after="0" w:line="1" w:lineRule="exact"/>
        <w:rPr>
          <w:rFonts w:ascii="Times New Roman" w:cs="Times New Roman" w:eastAsia="Times New Roman" w:hAnsi="Times New Roman"/>
          <w:sz w:val="12"/>
          <w:szCs w:val="12"/>
          <w:color w:val="auto"/>
        </w:rPr>
      </w:pPr>
    </w:p>
    <w:p>
      <w:pPr>
        <w:jc w:val="both"/>
        <w:ind w:left="468" w:right="20" w:hanging="270"/>
        <w:spacing w:after="0" w:line="255"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Owners being deprived of their ownership in the Vessel by any Compulsory Acquisition of the Vessel or requisition for title by any governmental or other competent authority (hereinafter referred to as “Compulsory Acquisition”), then, irrespective of the date during the Charter Period when “Compulsory Acquisition” may occur, this Charter shall be deemed terminated as of the date of such “Compulsory Acquisition”. In such event Charter Hire to be considered as earned and to be paid up to the date and time of such “Compulsory Acquisition”.</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 (See Also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the words 'War Risks" shall include any war (whether actual or threatened), act of war, civil war, hostilities, revolution, rebellion, civil commotion, warlike operations, the laying of mines (whether actual or reported), acts of piracy, acts of terrorists, acts of hostility or malicious damage, blockades (whether imposed against all vessels or imposed selectively against vessels of certain flags or ownership, or against certain cargoes or crews or otherwise howsoever), by any person, body, terrorist or political group, or the Government of any state whatsoever, which may be dangerous or are likely to be or to become dangerous to the Vessel, her cargo, crew or other persons on board the Vessel.</w:t>
      </w:r>
    </w:p>
    <w:p>
      <w:pPr>
        <w:spacing w:after="0" w:line="1" w:lineRule="exact"/>
        <w:rPr>
          <w:rFonts w:ascii="Times New Roman" w:cs="Times New Roman" w:eastAsia="Times New Roman" w:hAnsi="Times New Roman"/>
          <w:sz w:val="12"/>
          <w:szCs w:val="12"/>
          <w:color w:val="auto"/>
        </w:rPr>
      </w:pPr>
    </w:p>
    <w:p>
      <w:pPr>
        <w:jc w:val="both"/>
        <w:ind w:left="468" w:hanging="270"/>
        <w:spacing w:after="0" w:line="250"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Vessel, </w:t>
      </w:r>
      <w:r>
        <w:rPr>
          <w:rFonts w:ascii="Times New Roman" w:cs="Times New Roman" w:eastAsia="Times New Roman" w:hAnsi="Times New Roman"/>
          <w:sz w:val="12"/>
          <w:szCs w:val="12"/>
          <w:b w:val="1"/>
          <w:bCs w:val="1"/>
          <w:color w:val="auto"/>
        </w:rPr>
        <w:t>provided that copies of such applicable additional insurance cover shall be provided to the Owners upon the Owners' reasonable request,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unless the written consent of the Owners be first obtained,</w:t>
      </w:r>
      <w:r>
        <w:rPr>
          <w:rFonts w:ascii="Times New Roman" w:cs="Times New Roman" w:eastAsia="Times New Roman" w:hAnsi="Times New Roman"/>
          <w:sz w:val="12"/>
          <w:szCs w:val="12"/>
          <w:color w:val="auto"/>
        </w:rPr>
        <w:t xml:space="preserve"> shall not continue to or go through any port, place, area or zone (whether of land or sea), or any waterway or canal, where it reasonably appears that the Vessel, her cargo, crew or other persons on board the Vessel, in the reasonable judgement of the Owners, may be, or are likely to be, exposed to War Risks. Should the Vessel be within any such place as aforesaid, which only becomes dangerous, or is likely to be or to become dangerous, after her entry into it, the Owners shall have the right to require the Vessel to leave such area </w:t>
      </w:r>
      <w:r>
        <w:rPr>
          <w:rFonts w:ascii="Times New Roman" w:cs="Times New Roman" w:eastAsia="Times New Roman" w:hAnsi="Times New Roman"/>
          <w:sz w:val="12"/>
          <w:szCs w:val="12"/>
          <w:b w:val="1"/>
          <w:bCs w:val="1"/>
          <w:color w:val="auto"/>
        </w:rPr>
        <w:t>unless copies of such applicable additional insurance cover are provided to the Owners upon the Owners' reasonable request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not load contraband cargo, or to pass through any blockade, whether such blockade be imposed on all vessels, or is imposed selectively in any way whatsoever against vessels of certain flags or ownership, or against certain cargoes or crews or otherwise howsoever, or to proceed to an area where she shall be subject, or is likely to be subject to a belligerent's right of search and/or confiscation.</w:t>
      </w:r>
    </w:p>
    <w:p>
      <w:pPr>
        <w:jc w:val="both"/>
        <w:ind w:left="468" w:right="20" w:hanging="270"/>
        <w:spacing w:after="0" w:line="250"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insurers of the war risks insurance, when Clause 14 is applicable, should require payment of premiums and/or calls because, pursuant to the Charterers' orders, the Vessel is within, or is due to enter and remain within, any area or areas which are specified by such insurers as being subject to additional premiums because of War Risks, then such premiums and/or calls shall be reimbursed by the Charterers to the Owners at the same time as the next payment of hire is due.</w:t>
      </w:r>
    </w:p>
    <w:p>
      <w:pPr>
        <w:ind w:left="468" w:hanging="270"/>
        <w:spacing w:after="0"/>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have the liberty:</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all orders, directions, recommendations or advice as to departure, arrival, routes, sailing in convoy, ports of call, stoppages, destinations, discharge of cargo, delivery, or in any other way whatsoever, which are given by the Government of the Nation under whose flag the Vessel sails, or any other Government, body or group whatsoever acting with the power to compel compliance with their orders or directions;</w:t>
      </w:r>
    </w:p>
    <w:p>
      <w:pPr>
        <w:ind w:left="728" w:hanging="269"/>
        <w:spacing w:after="0"/>
        <w:tabs>
          <w:tab w:leader="none" w:pos="728" w:val="left"/>
        </w:tabs>
        <w:numPr>
          <w:ilvl w:val="2"/>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orders, directions or recommendations of any war risks underwriters who have the authority to give the same under the terms of the war risks insurance;</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terms of any resolution of the Security Council of the United Nations, any directives of the European Community, the effective orders of any other Supranational body which has the right to issue and give the same, and with national laws aimed at enforcing the same to which the Owners are subject, and to obey the orders and directions of those who are charged with their enforcement.</w:t>
      </w:r>
    </w:p>
    <w:p>
      <w:pPr>
        <w:jc w:val="both"/>
        <w:ind w:left="468" w:right="20" w:hanging="270"/>
        <w:spacing w:after="0" w:line="253" w:lineRule="auto"/>
        <w:tabs>
          <w:tab w:leader="none" w:pos="468" w:val="left"/>
        </w:tabs>
        <w:numPr>
          <w:ilvl w:val="1"/>
          <w:numId w:val="1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outbreak of war (whether there be a declaration of war or not) (i) between any two or more of the following countries: the United States of America; Russia; the United Kingdom; France; and the People's Republic of China, (ii) between any two or more of the countries stated in Box 36, both the Owners and the Charterers shall have the right to cancel this Charter, whereupon the Charterers shall redeliver the Vessel to the Owners in accordance with Clause 15, if the Vessel has cargo on board after discharge thereof at destination, or if debarred under this Clause from reaching or entering it at a near, open and safe port as directed by the Owners, or if the Vessel has no cargo on board, at the port at which the Vessel then is or if at sea at a near, open and safe port as directed by the Owners. In all cases</w:t>
      </w:r>
      <w:r>
        <w:rPr>
          <w:rFonts w:ascii="Times New Roman" w:cs="Times New Roman" w:eastAsia="Times New Roman" w:hAnsi="Times New Roman"/>
          <w:sz w:val="12"/>
          <w:szCs w:val="12"/>
          <w:b w:val="1"/>
          <w:bCs w:val="1"/>
          <w:color w:val="auto"/>
          <w:strike w:val="1"/>
        </w:rPr>
        <w:t>,</w:t>
      </w:r>
      <w:r>
        <w:rPr>
          <w:rFonts w:ascii="Times New Roman" w:cs="Times New Roman" w:eastAsia="Times New Roman" w:hAnsi="Times New Roman"/>
          <w:sz w:val="12"/>
          <w:szCs w:val="12"/>
          <w:color w:val="auto"/>
          <w:strike w:val="1"/>
        </w:rPr>
        <w:t xml:space="preserve"> hire shall continue to be paid in accordance with Clause 11 and except as aforesaid all other provisions of this Charter shall apply until redelivery.</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Commission</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to pay a commission at the rate indicated in Box 33 to the Brokers named in Box 33 on any hire paid under the Charter. If no rate is indicated in Box 33, the commission to be paid by the Owners shall cover the actual expenses of the Brokers and a reasonable fee for their work. If the full hire is not paid owing to breach of the Charter by either of the parties the party liable therefor shall indemnify the Brokers against their loss of commission. Should the parties agree to cancel the Charter, the Owners shall indemnify the Brokers against any loss of commission but in such case the commission shall not exceed the brokerage on one year's hire.</w:t>
      </w:r>
    </w:p>
    <w:p>
      <w:pPr>
        <w:spacing w:after="0" w:line="19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2" w:name="page213"/>
    <w:bookmarkEnd w:id="21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p>
      <w:pPr>
        <w:ind w:left="168" w:hanging="168"/>
        <w:spacing w:after="0"/>
        <w:tabs>
          <w:tab w:leader="none" w:pos="168" w:val="left"/>
        </w:tabs>
        <w:numPr>
          <w:ilvl w:val="0"/>
          <w:numId w:val="1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1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Charterers' Default</w:t>
      </w:r>
    </w:p>
    <w:p>
      <w:pPr>
        <w:spacing w:after="0" w:line="6" w:lineRule="exact"/>
        <w:rPr>
          <w:rFonts w:ascii="Times New Roman" w:cs="Times New Roman" w:eastAsia="Times New Roman" w:hAnsi="Times New Roman"/>
          <w:sz w:val="12"/>
          <w:szCs w:val="12"/>
          <w:color w:val="auto"/>
        </w:rPr>
      </w:pP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 entitled to withdraw the Vessel from the service of the Charterers and terminate the Charter with immediate effect by written notice to the Charterers if:</w:t>
      </w:r>
    </w:p>
    <w:p>
      <w:pPr>
        <w:spacing w:after="0" w:line="6" w:lineRule="exact"/>
        <w:rPr>
          <w:rFonts w:ascii="Times New Roman" w:cs="Times New Roman" w:eastAsia="Times New Roman" w:hAnsi="Times New Roman"/>
          <w:sz w:val="12"/>
          <w:szCs w:val="12"/>
          <w:color w:val="auto"/>
        </w:rPr>
      </w:pPr>
    </w:p>
    <w:p>
      <w:pPr>
        <w:jc w:val="both"/>
        <w:ind w:left="728" w:right="20" w:hanging="269"/>
        <w:spacing w:after="0" w:line="250" w:lineRule="auto"/>
        <w:tabs>
          <w:tab w:leader="none" w:pos="728" w:val="left"/>
        </w:tabs>
        <w:numPr>
          <w:ilvl w:val="2"/>
          <w:numId w:val="19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pay hire in accordance with Clause 11. However, where there is a failure to make punctual payment of hire due to oversight, negligence, errors or omissions on the part of the Charterers or their bankers, the Owners shall give the Charterers written notice of the number of clear banking days stated in Box 34 (as recognised at the agreed place of payment) in which to rectify the failure, and when so rectified within such number of days following the Owners' notice, the payment shall stand as regular and punctual. Failure by the Charterers to pay hire within the number of days stated in Box 34 of their receiving the Owners' notice as provided herein, shall entitle the Owners to withdraw the Vessel from the service of the Charterers and terminate the Charter without further notice;</w:t>
      </w:r>
    </w:p>
    <w:p>
      <w:pPr>
        <w:spacing w:after="0" w:line="1"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2"/>
          <w:numId w:val="19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comply with the requirements of:</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19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6 (Trading Restrictions)</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193"/>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13(a) (Insurance and Repairs)</w:t>
      </w:r>
    </w:p>
    <w:p>
      <w:pPr>
        <w:spacing w:after="0" w:line="6" w:lineRule="exact"/>
        <w:rPr>
          <w:sz w:val="20"/>
          <w:szCs w:val="20"/>
          <w:color w:val="auto"/>
        </w:rPr>
      </w:pPr>
    </w:p>
    <w:p>
      <w:pPr>
        <w:ind w:left="728" w:right="20"/>
        <w:spacing w:after="0" w:line="250" w:lineRule="auto"/>
        <w:rPr>
          <w:sz w:val="20"/>
          <w:szCs w:val="20"/>
          <w:color w:val="auto"/>
        </w:rPr>
      </w:pPr>
      <w:r>
        <w:rPr>
          <w:rFonts w:ascii="Times New Roman" w:cs="Times New Roman" w:eastAsia="Times New Roman" w:hAnsi="Times New Roman"/>
          <w:sz w:val="12"/>
          <w:szCs w:val="12"/>
          <w:color w:val="auto"/>
          <w:strike w:val="1"/>
        </w:rPr>
        <w:t>provided that the Owners shall have the option, by written notice to the Charterers, to give the Charterers a specified number of days grace within which to rectify the failure without prejudice to the Owners’ right to withdraw and terminate under this Clause if the Charterers fail to comply with such notice;</w:t>
      </w:r>
    </w:p>
    <w:p>
      <w:pPr>
        <w:spacing w:after="0" w:line="1" w:lineRule="exact"/>
        <w:rPr>
          <w:sz w:val="20"/>
          <w:szCs w:val="20"/>
          <w:color w:val="auto"/>
        </w:rPr>
      </w:pPr>
    </w:p>
    <w:p>
      <w:pPr>
        <w:ind w:left="728" w:right="20" w:hanging="269"/>
        <w:spacing w:after="0" w:line="250" w:lineRule="auto"/>
        <w:tabs>
          <w:tab w:leader="none" w:pos="728" w:val="left"/>
        </w:tabs>
        <w:numPr>
          <w:ilvl w:val="2"/>
          <w:numId w:val="194"/>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rectify any failure to comply with the requirements of sub-clause 10(a)(i) (Maintenance and Repairs) as soon as practically possible after the Owners have requested them in writing so to do and in any event so that the Vessel's insurance cover is not prejudiced.</w:t>
      </w:r>
    </w:p>
    <w:p>
      <w:pPr>
        <w:ind w:left="448" w:hanging="322"/>
        <w:spacing w:after="0"/>
        <w:tabs>
          <w:tab w:leader="none" w:pos="448"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Owners' Default</w:t>
      </w:r>
    </w:p>
    <w:p>
      <w:pPr>
        <w:spacing w:after="0" w:line="6" w:lineRule="exact"/>
        <w:rPr>
          <w:rFonts w:ascii="Times New Roman" w:cs="Times New Roman" w:eastAsia="Times New Roman" w:hAnsi="Times New Roman"/>
          <w:sz w:val="12"/>
          <w:szCs w:val="12"/>
          <w:color w:val="auto"/>
        </w:rPr>
      </w:pPr>
    </w:p>
    <w:p>
      <w:pPr>
        <w:ind w:left="468"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Owners shall by any act or omission be in breach of their obligations under this Charter to the extent that the Charterers are deprived of the use of the Vessel and such breach continues for a period of fourteen (14) running days after written notice thereof has been given by the Charterers to the Owners, the Charterers shall be entitled to terminate this Charter with immediate effect by written notice to the Owners.</w:t>
      </w:r>
    </w:p>
    <w:p>
      <w:pPr>
        <w:ind w:left="448" w:hanging="322"/>
        <w:spacing w:after="0"/>
        <w:tabs>
          <w:tab w:leader="none" w:pos="448" w:val="left"/>
        </w:tabs>
        <w:numPr>
          <w:ilvl w:val="1"/>
          <w:numId w:val="1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Loss of Vessel</w:t>
      </w:r>
    </w:p>
    <w:p>
      <w:pPr>
        <w:spacing w:after="0" w:line="6" w:lineRule="exact"/>
        <w:rPr>
          <w:rFonts w:ascii="Times New Roman" w:cs="Times New Roman" w:eastAsia="Times New Roman" w:hAnsi="Times New Roman"/>
          <w:sz w:val="12"/>
          <w:szCs w:val="12"/>
          <w:color w:val="auto"/>
        </w:rPr>
      </w:pPr>
    </w:p>
    <w:p>
      <w:pPr>
        <w:jc w:val="both"/>
        <w:ind w:left="46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This Charter shall be deemed to be terminated if the Vessel becomes a total loss or is declared as a constructive or compromise or arranged total loss. For the purpose of this sub-clause,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w:t>
      </w:r>
    </w:p>
    <w:p>
      <w:pPr>
        <w:jc w:val="both"/>
        <w:ind w:left="448" w:hanging="322"/>
        <w:spacing w:after="0" w:line="250" w:lineRule="auto"/>
        <w:tabs>
          <w:tab w:leader="none" w:pos="448" w:val="left"/>
        </w:tabs>
        <w:numPr>
          <w:ilvl w:val="1"/>
          <w:numId w:val="19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shall be entitled to terminate this Charter with immediate effect by written notice to the other party in the event of an order being made or resolution passed for the winding up, dissolution, liquidation or bankruptcy of the other party (otherwise than for the purpose of reconstruction or amalgamation) or if a receiver is appointed, or if it suspends payment, ceases to carry on business or makes any special arrangement or composition with its creditors.</w:t>
      </w:r>
    </w:p>
    <w:p>
      <w:pPr>
        <w:ind w:left="448" w:hanging="322"/>
        <w:spacing w:after="0"/>
        <w:tabs>
          <w:tab w:leader="none" w:pos="448" w:val="left"/>
        </w:tabs>
        <w:numPr>
          <w:ilvl w:val="1"/>
          <w:numId w:val="19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termination of this Charter shall be without prejudice to all rights accrued due between the parties prior to the date of termination and to any claim that either party might have.</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1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Repossession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the event of the termination of this Charter in accordance with the applicable provisions of this Charter Clause 28, the Owners shall have the right to repossess the Vessel from the Charterers at her current or next port of call, or at a port or place convenient to them without hindrance or interference by the Charterers, courts or local authorities. Pending physical repossession of the Vessel in accordance with this Clause 29 and the Additional Clauses, the Charterers shall hold the Vessel as gratuitous bailee only to the Owners and the Charterer shall procure that the Master and crew follow the orders and directions of the Owners. The Owners shall arrange for an authorised representative to board the Vessel as soon as reasonably practicable following the termination of the Charter. The Vessel shall be deemed to be repossessed by the Owners from the Charterers upon the boarding of the Vessel by the Owners' representative. All arrangements and expenses relating to the settling of wages, disembarkation and repatriation of the Charterers' Master, officers and crew shall be the sole responsibility of the Charterers.</w:t>
      </w:r>
    </w:p>
    <w:p>
      <w:pPr>
        <w:spacing w:after="0" w:line="121"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19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Resolution (See Additional Clauses)</w:t>
      </w:r>
    </w:p>
    <w:p>
      <w:pPr>
        <w:spacing w:after="0" w:line="21" w:lineRule="exact"/>
        <w:rPr>
          <w:sz w:val="20"/>
          <w:szCs w:val="20"/>
          <w:color w:val="auto"/>
        </w:rPr>
      </w:pPr>
    </w:p>
    <w:p>
      <w:pPr>
        <w:jc w:val="both"/>
        <w:ind w:left="468" w:hanging="259"/>
        <w:spacing w:after="0" w:line="251"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*(a)</w:t>
        <w:tab/>
        <w:t>This Contract shall be governed by and construed in accordance with English law and any dispute arising out of or in connection with this Contract shall be referred to arbitration in London in accordance with the Arbitration Act 1996 or any statutory modification or re-enactment thereof save to the extent necessary to give effect to the provisions of this Clause. The arbitration shall be conducted in accordance with the London Maritime Arbitrators Association (LMAA) Terms current at the time when the arbitration proceedings are commenced. 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 Nothing herein shall prevent the parties agreeing in writing to vary these provisions to provide for the appointment of a sole arbitrator. 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3" w:name="page214"/>
    <w:bookmarkEnd w:id="21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04" w:lineRule="exact"/>
        <w:rPr>
          <w:sz w:val="20"/>
          <w:szCs w:val="20"/>
          <w:color w:val="auto"/>
        </w:rPr>
      </w:pPr>
    </w:p>
    <w:p>
      <w:pPr>
        <w:jc w:val="both"/>
        <w:ind w:left="468" w:hanging="260"/>
        <w:spacing w:after="0" w:line="256" w:lineRule="auto"/>
        <w:rPr>
          <w:sz w:val="20"/>
          <w:szCs w:val="20"/>
          <w:color w:val="auto"/>
        </w:rPr>
      </w:pPr>
      <w:r>
        <w:rPr>
          <w:rFonts w:ascii="Times New Roman" w:cs="Times New Roman" w:eastAsia="Times New Roman" w:hAnsi="Times New Roman"/>
          <w:sz w:val="12"/>
          <w:szCs w:val="12"/>
          <w:color w:val="auto"/>
          <w:strike w:val="1"/>
        </w:rPr>
        <w:t>*(b) This Contract shall be governed by and construed in accordance with Title 9 of the United States Code and the Maritime Law of the United States and any dispute arising out of or in connection with this Contract shall be referred to three persons at New York, one to be appointed by each of the parties hereto, and the third by the two so chosen; their decision or that of any two of them shall be final, and for the purposes of enforcing any award, judgement may be entered on an award by any court of competent jurisdiction. The proceedings shall be conducted in accordance with the rules of the Society of Maritime Arbitrators, Inc.</w:t>
      </w:r>
    </w:p>
    <w:p>
      <w:pPr>
        <w:spacing w:after="0" w:line="1" w:lineRule="exact"/>
        <w:rPr>
          <w:sz w:val="20"/>
          <w:szCs w:val="20"/>
          <w:color w:val="auto"/>
        </w:rPr>
      </w:pPr>
    </w:p>
    <w:p>
      <w:pPr>
        <w:ind w:left="468" w:right="20"/>
        <w:spacing w:after="0" w:line="250" w:lineRule="auto"/>
        <w:rPr>
          <w:sz w:val="20"/>
          <w:szCs w:val="20"/>
          <w:color w:val="auto"/>
        </w:rPr>
      </w:pPr>
      <w:r>
        <w:rPr>
          <w:rFonts w:ascii="Times New Roman" w:cs="Times New Roman" w:eastAsia="Times New Roman" w:hAnsi="Times New Roman"/>
          <w:sz w:val="12"/>
          <w:szCs w:val="12"/>
          <w:color w:val="auto"/>
          <w:strike w:val="1"/>
        </w:rPr>
        <w:t>In cases where neither the claim nor any counterclaim exceeds the sum of US$50,000 (or such other sum as the parties may agree) the arbitration shall be conducted in accordance with the Shortened Arbitration Procedure of the Society of Maritime Arbitrators, Inc. current at the time when the arbitration proceedings are commenced.</w:t>
      </w:r>
    </w:p>
    <w:p>
      <w:pPr>
        <w:spacing w:after="0" w:line="1" w:lineRule="exact"/>
        <w:rPr>
          <w:sz w:val="20"/>
          <w:szCs w:val="20"/>
          <w:color w:val="auto"/>
        </w:rPr>
      </w:pPr>
    </w:p>
    <w:p>
      <w:pPr>
        <w:ind w:left="468"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*(c)</w:t>
        <w:tab/>
        <w:t>This Contract shall be governed by and construed in accordance with the laws of the place mutually agreed by the parties and any dispute arising out of or in connection with this Contract shall be referred to arbitration at a mutually agreed place, subject to the procedures applicable there.</w:t>
      </w:r>
    </w:p>
    <w:p>
      <w:pPr>
        <w:spacing w:after="0" w:line="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strike w:val="1"/>
        </w:rPr>
        <w:t>*(d) Notwithstanding (a), (b) or (c) above, the parties may agree at any time to refer to mediation any difference and/or dispute arising out of or in connection with this Contract.</w:t>
      </w:r>
    </w:p>
    <w:p>
      <w:pPr>
        <w:spacing w:after="0" w:line="6"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strike w:val="1"/>
        </w:rPr>
        <w:t>In the case of a dispute in respect of which arbitration has been commenced under (a), (b) or (c) above, the following shall apply:-</w:t>
      </w:r>
    </w:p>
    <w:p>
      <w:pPr>
        <w:spacing w:after="0" w:line="6" w:lineRule="exact"/>
        <w:rPr>
          <w:sz w:val="20"/>
          <w:szCs w:val="20"/>
          <w:color w:val="auto"/>
        </w:rPr>
      </w:pPr>
    </w:p>
    <w:p>
      <w:pPr>
        <w:ind w:left="728" w:right="20" w:hanging="269"/>
        <w:spacing w:after="0" w:line="250" w:lineRule="auto"/>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at any time and from time to time elect to refer the dispute or part of the dispute to mediation by service on the other party of a written notice (the "Mediation Notice") calling on the other party to agree to mediation.</w:t>
      </w:r>
    </w:p>
    <w:p>
      <w:pPr>
        <w:jc w:val="both"/>
        <w:ind w:left="728" w:right="20" w:hanging="269"/>
        <w:spacing w:after="0" w:line="250" w:lineRule="auto"/>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ind w:left="728" w:hanging="269"/>
        <w:spacing w:after="0"/>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other party does not agree to mediate, that fact may be brought to the attention of the Tribunal and may be taken into account by the Tribunal when allocating the costs of the arbitration as between the parties.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shall not affect the right of either party to seek such relief or take such steps as it considers necessary to protect its interest.</w:t>
      </w:r>
    </w:p>
    <w:p>
      <w:pPr>
        <w:spacing w:after="0" w:line="6" w:lineRule="exact"/>
        <w:rPr>
          <w:rFonts w:ascii="Times New Roman" w:cs="Times New Roman" w:eastAsia="Times New Roman" w:hAnsi="Times New Roman"/>
          <w:sz w:val="12"/>
          <w:szCs w:val="12"/>
          <w:color w:val="auto"/>
          <w:strike w:val="1"/>
        </w:rPr>
      </w:pPr>
    </w:p>
    <w:p>
      <w:pPr>
        <w:ind w:left="728" w:right="20" w:hanging="269"/>
        <w:spacing w:after="0" w:line="250" w:lineRule="auto"/>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ind w:left="728" w:hanging="269"/>
        <w:spacing w:after="0"/>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Unless otherwise agreed or specified in the mediation terms, each party shall bear its own costs incurred in the mediation and the parties shall share equally the mediator’s costs and expenses.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197"/>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process shall be without prejudice and confidential and no information or documents disclosed during it shall be revealed to the Tribunal except to the extent that they are disclosable under the law and</w:t>
      </w:r>
    </w:p>
    <w:p>
      <w:pPr>
        <w:spacing w:after="0" w:line="4"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strike w:val="1"/>
        </w:rPr>
        <w:t>procedure governing the arbitration.</w:t>
      </w:r>
    </w:p>
    <w:p>
      <w:pPr>
        <w:ind w:left="168"/>
        <w:spacing w:after="0" w:line="219" w:lineRule="auto"/>
        <w:rPr>
          <w:sz w:val="20"/>
          <w:szCs w:val="20"/>
          <w:color w:val="auto"/>
        </w:rPr>
      </w:pPr>
      <w:r>
        <w:rPr>
          <w:rFonts w:ascii="Times New Roman" w:cs="Times New Roman" w:eastAsia="Times New Roman" w:hAnsi="Times New Roman"/>
          <w:sz w:val="12"/>
          <w:szCs w:val="12"/>
          <w:b w:val="1"/>
          <w:bCs w:val="1"/>
          <w:i w:val="1"/>
          <w:iCs w:val="1"/>
          <w:color w:val="auto"/>
          <w:strike w:val="1"/>
        </w:rPr>
        <w:t>(Note: The parties should be aware that the mediation process may not necessarily interrupt time limits.)</w:t>
      </w:r>
    </w:p>
    <w:p>
      <w:pPr>
        <w:ind w:left="208" w:right="4540" w:hanging="46"/>
        <w:spacing w:after="0" w:line="258" w:lineRule="auto"/>
        <w:tabs>
          <w:tab w:leader="none" w:pos="433" w:val="left"/>
        </w:tabs>
        <w:numPr>
          <w:ilvl w:val="1"/>
          <w:numId w:val="1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If Box 35 in Part I is not appropriately filled in, sub-clause 30(a) of this Clause shall apply. Sub-clause 30(d) shall apply in all cases. </w:t>
      </w:r>
      <w:r>
        <w:rPr>
          <w:rFonts w:ascii="Times New Roman" w:cs="Times New Roman" w:eastAsia="Times New Roman" w:hAnsi="Times New Roman"/>
          <w:sz w:val="12"/>
          <w:szCs w:val="12"/>
          <w:i w:val="1"/>
          <w:iCs w:val="1"/>
          <w:color w:val="auto"/>
          <w:strike w:val="1"/>
        </w:rPr>
        <w:t xml:space="preserve">* Sub-clauses 30(a), 30(b) and 30(c) are alternatives; indicate alternative agreed in Box </w:t>
      </w:r>
      <w:r>
        <w:rPr>
          <w:rFonts w:ascii="Times New Roman" w:cs="Times New Roman" w:eastAsia="Times New Roman" w:hAnsi="Times New Roman"/>
          <w:sz w:val="12"/>
          <w:szCs w:val="12"/>
          <w:color w:val="auto"/>
          <w:strike w:val="1"/>
        </w:rPr>
        <w:t>35.</w:t>
      </w:r>
    </w:p>
    <w:p>
      <w:pPr>
        <w:spacing w:after="0" w:line="11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1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2"/>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notice to be given by either party to the other party shall be in writing and may be sent by fax, telex, registered or recorded mail or by personal service.</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2"/>
          <w:numId w:val="1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address of the Parties for service of such communication shall be as stated in Boxes 3 and 4 respectively</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4" w:name="page215"/>
    <w:bookmarkEnd w:id="21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PART III</w:t>
      </w:r>
    </w:p>
    <w:p>
      <w:pPr>
        <w:spacing w:after="0" w:line="6" w:lineRule="exact"/>
        <w:rPr>
          <w:sz w:val="20"/>
          <w:szCs w:val="20"/>
          <w:color w:val="auto"/>
        </w:rPr>
      </w:pPr>
    </w:p>
    <w:p>
      <w:pPr>
        <w:ind w:left="3928"/>
        <w:spacing w:after="0"/>
        <w:rPr>
          <w:sz w:val="20"/>
          <w:szCs w:val="20"/>
          <w:color w:val="auto"/>
        </w:rPr>
      </w:pPr>
      <w:r>
        <w:rPr>
          <w:rFonts w:ascii="Arial" w:cs="Arial" w:eastAsia="Arial" w:hAnsi="Arial"/>
          <w:sz w:val="12"/>
          <w:szCs w:val="12"/>
          <w:color w:val="auto"/>
        </w:rPr>
        <w:t>PROVISIONS TO APPLY FOR NEWBUILDING VESSELS ONLY</w:t>
      </w:r>
    </w:p>
    <w:p>
      <w:pPr>
        <w:ind w:left="39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215265</wp:posOffset>
            </wp:positionV>
            <wp:extent cx="708660" cy="3257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5">
                      <a:extLst>
                        <a:ext uri="{28A0092B-C50C-407E-A947-70E740481C1C}"/>
                      </a:extLst>
                    </a:blip>
                    <a:srcRect/>
                    <a:stretch>
                      <a:fillRect/>
                    </a:stretch>
                  </pic:blipFill>
                  <pic:spPr bwMode="auto">
                    <a:xfrm>
                      <a:off x="0" y="0"/>
                      <a:ext cx="7086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 w:hanging="168"/>
        <w:spacing w:after="0"/>
        <w:tabs>
          <w:tab w:leader="none" w:pos="168" w:val="left"/>
        </w:tabs>
        <w:numPr>
          <w:ilvl w:val="0"/>
          <w:numId w:val="200"/>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Specifications and Building Contract</w:t>
      </w:r>
    </w:p>
    <w:p>
      <w:pPr>
        <w:spacing w:after="0" w:line="20" w:lineRule="exact"/>
        <w:rPr>
          <w:rFonts w:ascii="Times New Roman" w:cs="Times New Roman" w:eastAsia="Times New Roman" w:hAnsi="Times New Roman"/>
          <w:sz w:val="12"/>
          <w:szCs w:val="12"/>
          <w:b w:val="1"/>
          <w:bCs w:val="1"/>
          <w:color w:val="auto"/>
          <w:strike w:val="1"/>
        </w:rPr>
      </w:pPr>
    </w:p>
    <w:p>
      <w:pPr>
        <w:ind w:left="468" w:right="20" w:hanging="270"/>
        <w:spacing w:after="0" w:line="250" w:lineRule="auto"/>
        <w:tabs>
          <w:tab w:leader="none" w:pos="468" w:val="left"/>
        </w:tabs>
        <w:numPr>
          <w:ilvl w:val="1"/>
          <w:numId w:val="20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constructed in accordance with the Building Contract (hereafter called “the Building Contract”) as annexed to this Charter, made between the Builders and the Owners and in accordance with the specifications and plans annexed thereto, such Building Contract, specifications and plans having been counter-signed as approved by the Charterers.</w:t>
      </w:r>
    </w:p>
    <w:p>
      <w:pPr>
        <w:ind w:left="468" w:hanging="270"/>
        <w:spacing w:after="0"/>
        <w:tabs>
          <w:tab w:leader="none" w:pos="468" w:val="left"/>
        </w:tabs>
        <w:numPr>
          <w:ilvl w:val="1"/>
          <w:numId w:val="20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No change shall be made in the Building Contract or in the specifications or plans of the Vessel as approved by the Charterers as aforesaid, without the Charterers’ consent.</w:t>
      </w:r>
    </w:p>
    <w:p>
      <w:pPr>
        <w:spacing w:after="0" w:line="6" w:lineRule="exact"/>
        <w:rPr>
          <w:rFonts w:ascii="Times New Roman" w:cs="Times New Roman" w:eastAsia="Times New Roman" w:hAnsi="Times New Roman"/>
          <w:sz w:val="12"/>
          <w:szCs w:val="12"/>
          <w:color w:val="auto"/>
          <w:strike w:val="1"/>
        </w:rPr>
      </w:pPr>
    </w:p>
    <w:p>
      <w:pPr>
        <w:ind w:left="468" w:right="20" w:hanging="270"/>
        <w:spacing w:after="0" w:line="250" w:lineRule="auto"/>
        <w:tabs>
          <w:tab w:leader="none" w:pos="468" w:val="left"/>
        </w:tabs>
        <w:numPr>
          <w:ilvl w:val="1"/>
          <w:numId w:val="20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shall have the right to send their representative to the Builders’ Yard to inspect the Vessel during the course of her construction to satisfy themselves that construction is in accordance with such approved specifications and plans as referred to under sub-clause (a) of this Clause.</w:t>
      </w:r>
    </w:p>
    <w:p>
      <w:pPr>
        <w:jc w:val="both"/>
        <w:ind w:left="468" w:right="20" w:hanging="270"/>
        <w:spacing w:after="0" w:line="250" w:lineRule="auto"/>
        <w:tabs>
          <w:tab w:leader="none" w:pos="468" w:val="left"/>
        </w:tabs>
        <w:numPr>
          <w:ilvl w:val="1"/>
          <w:numId w:val="20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built in accordance with the Building Contract and shall be of the description set out therein. Subject to the provisions of sub-clause 2(c)(ii) hereunder, the Charterers shall be bound to accept the Vessel from the Owners, completed and constructed in accordance with the Building Contract, on the date of delivery by the Builders. The Charterers undertake that having accepted the Vessel they will not thereafter raise any claims against the Owners in respect of the Vessel’s performance or specification or defects, if any. Nevertheless, in respect of any repairs, replacements or defects which appear within the first 12 months from delivery by the Builders, the Owners shall endeavour to compel the Builders to repair, replace or remedy any defects or to recover from the Builders any expenditure incurred in carrying out such repairs, replacements or remedies. However, the Owners’ liability to the Charterers shall be limited to the extent the Owners have a valid claim against the Builders under the guarantee clause of the Building Contract (a copy whereof has been supplied to the Charterers). The Charterer shall be bound to accept such sums as the Owners are reasonably able to recover under this Clause and shall make no further claim on the Owners for the difference between the amount(s) so recovered and the actual expenditure on repairs, replacement or remedying defects or for any loss of time incurred.</w:t>
      </w:r>
    </w:p>
    <w:p>
      <w:pPr>
        <w:spacing w:after="0" w:line="1" w:lineRule="exact"/>
        <w:rPr>
          <w:rFonts w:ascii="Times New Roman" w:cs="Times New Roman" w:eastAsia="Times New Roman" w:hAnsi="Times New Roman"/>
          <w:sz w:val="12"/>
          <w:szCs w:val="12"/>
          <w:color w:val="auto"/>
          <w:strike w:val="1"/>
        </w:rPr>
      </w:pPr>
    </w:p>
    <w:p>
      <w:pPr>
        <w:ind w:left="468"/>
        <w:spacing w:after="0" w:line="260" w:lineRule="auto"/>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physical defects or deficiencies shall accrue to the amount of the party stated in Box 41(a) or if not filled in shall be shared equally between the parties. The costs of pursuing a claim or claims against the Builders under this Clause (including any liability to the Builders) shall be borne by the party stated in Box 41(b)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200"/>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Time and Place of Delivery</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strike w:val="1"/>
        </w:rPr>
        <w:t>(a)</w:t>
      </w:r>
    </w:p>
    <w:p>
      <w:pPr>
        <w:spacing w:after="0" w:line="139" w:lineRule="exact"/>
        <w:rPr>
          <w:sz w:val="20"/>
          <w:szCs w:val="20"/>
          <w:color w:val="auto"/>
        </w:rPr>
      </w:pPr>
    </w:p>
    <w:p>
      <w:pPr>
        <w:jc w:val="both"/>
        <w:ind w:left="328" w:hanging="265"/>
        <w:spacing w:after="0" w:line="253" w:lineRule="auto"/>
        <w:tabs>
          <w:tab w:leader="none" w:pos="328" w:val="left"/>
        </w:tabs>
        <w:numPr>
          <w:ilvl w:val="1"/>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Subject to the Vessel having completed her acceptance trials including trials of cargo equipment in accordance with the Building Contract and specifications to the satisfaction of the Charterers, the Owners shall give and the Charterers shall take delivery of the Vessel afloat when ready for delivery and properly documented at the Builders’ Yard or some other safe and readily accessible dock, wharf or place as may be agreed between the parties hereto and the Builders. Under the Building Contract the Builders have estimated that the Vessel will be ready for delivery to the Owners as therein provided by the delivery date for the purpose of this Charter shall be the date when the Vessel is in fact ready for delivery by the Builders after completion of trials whether that be before or after as indicated in the Building Contract. The Charterers shall not be entitled to refuse acceptance of delivery of the Vessel and upon and after such acceptance subject to Clause 1(d), the Charterers shall not be entitled to make any claim against the Owners in respect of any conditions, representations or warranties, whether express or implied as to the seaworthiness of the Vessel or in respect of delay in delivery.</w:t>
      </w:r>
    </w:p>
    <w:p>
      <w:pPr>
        <w:spacing w:after="0" w:line="2" w:lineRule="exact"/>
        <w:rPr>
          <w:rFonts w:ascii="Times New Roman" w:cs="Times New Roman" w:eastAsia="Times New Roman" w:hAnsi="Times New Roman"/>
          <w:sz w:val="12"/>
          <w:szCs w:val="12"/>
          <w:color w:val="auto"/>
          <w:strike w:val="1"/>
        </w:rPr>
      </w:pPr>
    </w:p>
    <w:p>
      <w:pPr>
        <w:ind w:left="328" w:right="20" w:hanging="265"/>
        <w:spacing w:after="0" w:line="250" w:lineRule="auto"/>
        <w:tabs>
          <w:tab w:leader="none" w:pos="328" w:val="left"/>
        </w:tabs>
        <w:numPr>
          <w:ilvl w:val="1"/>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other than a default by the Owners under the Building Contract, the Builders become entitled under that Contract not to deliver the Vessel to the Owners, the Owner shall upon giving to the Charterers written notice of Builders becoming so entitled, be excused from giving delivery of the Vessel to the Charterers and upon receipt of such notice by the Charterers this Charter shall cease to have effect.</w:t>
      </w:r>
    </w:p>
    <w:p>
      <w:pPr>
        <w:ind w:left="328" w:hanging="265"/>
        <w:spacing w:after="0"/>
        <w:tabs>
          <w:tab w:leader="none" w:pos="328" w:val="left"/>
        </w:tabs>
        <w:numPr>
          <w:ilvl w:val="1"/>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the Owners become entitled under the Building Contract to reject the Vessel the Owners shall, before exercising such right of rejection, consult the Charterers and thereupon</w:t>
      </w:r>
    </w:p>
    <w:p>
      <w:pPr>
        <w:spacing w:after="0" w:line="6" w:lineRule="exact"/>
        <w:rPr>
          <w:rFonts w:ascii="Times New Roman" w:cs="Times New Roman" w:eastAsia="Times New Roman" w:hAnsi="Times New Roman"/>
          <w:sz w:val="12"/>
          <w:szCs w:val="12"/>
          <w:color w:val="auto"/>
          <w:strike w:val="1"/>
        </w:rPr>
      </w:pPr>
    </w:p>
    <w:p>
      <w:pPr>
        <w:ind w:left="588" w:right="20" w:hanging="264"/>
        <w:spacing w:after="0" w:line="250" w:lineRule="auto"/>
        <w:tabs>
          <w:tab w:leader="none" w:pos="588" w:val="left"/>
        </w:tabs>
        <w:numPr>
          <w:ilvl w:val="2"/>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do not wish to take delivery of the Vessel they shall inform the Owners within seven (7) running days by notice in writing and upon receipt by the Owners of such notice this Charter shall cease to have effect; or</w:t>
      </w:r>
    </w:p>
    <w:p>
      <w:pPr>
        <w:ind w:left="588" w:right="20" w:hanging="264"/>
        <w:spacing w:after="0" w:line="250" w:lineRule="auto"/>
        <w:tabs>
          <w:tab w:leader="none" w:pos="588" w:val="left"/>
        </w:tabs>
        <w:numPr>
          <w:ilvl w:val="2"/>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wish to take delivery of the Vessel they may by notice in writing within seven (7) running days require the Owners to negotiate with the Builders as to the terms on which delivery should be taken and/or refrain from exercising their right to rejection and upon receipt of such notice the Owners shall commence such negotiations and/or take delivery of the Vessel from the Builders and deliver her to the Charterers.</w:t>
      </w:r>
    </w:p>
    <w:p>
      <w:pPr>
        <w:ind w:left="588" w:hanging="264"/>
        <w:spacing w:after="0"/>
        <w:tabs>
          <w:tab w:leader="none" w:pos="588" w:val="left"/>
        </w:tabs>
        <w:numPr>
          <w:ilvl w:val="2"/>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In no circumstances shall the Charterers be entitled to reject the Vessel unless the Owners are able to reject the Vessel from the Builders;</w:t>
      </w:r>
    </w:p>
    <w:p>
      <w:pPr>
        <w:spacing w:after="0" w:line="6" w:lineRule="exact"/>
        <w:rPr>
          <w:rFonts w:ascii="Times New Roman" w:cs="Times New Roman" w:eastAsia="Times New Roman" w:hAnsi="Times New Roman"/>
          <w:sz w:val="12"/>
          <w:szCs w:val="12"/>
          <w:color w:val="auto"/>
          <w:strike w:val="1"/>
        </w:rPr>
      </w:pPr>
    </w:p>
    <w:p>
      <w:pPr>
        <w:ind w:left="588" w:hanging="264"/>
        <w:spacing w:after="0"/>
        <w:tabs>
          <w:tab w:leader="none" w:pos="588" w:val="left"/>
        </w:tabs>
        <w:numPr>
          <w:ilvl w:val="2"/>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this Charter terminates under sub-clause (b) or (c) of this Clause, the Owners shall thereafter not be liable to the Charterers for any claim under or arising out of this Charter or its termination.</w:t>
      </w:r>
    </w:p>
    <w:p>
      <w:pPr>
        <w:spacing w:after="0" w:line="6" w:lineRule="exact"/>
        <w:rPr>
          <w:rFonts w:ascii="Times New Roman" w:cs="Times New Roman" w:eastAsia="Times New Roman" w:hAnsi="Times New Roman"/>
          <w:sz w:val="12"/>
          <w:szCs w:val="12"/>
          <w:color w:val="auto"/>
          <w:strike w:val="1"/>
        </w:rPr>
      </w:pPr>
    </w:p>
    <w:p>
      <w:pPr>
        <w:ind w:left="328" w:right="20" w:hanging="265"/>
        <w:spacing w:after="0" w:line="260" w:lineRule="auto"/>
        <w:tabs>
          <w:tab w:leader="none" w:pos="328" w:val="left"/>
        </w:tabs>
        <w:numPr>
          <w:ilvl w:val="1"/>
          <w:numId w:val="20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delay in delivery under the Building Contract and any costs incurred in pursuing a claim therefor shall accrue to the account of the party stated in Box 41(c)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202"/>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Guarantee Works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If not otherwise agreed, the Owners authorise the Charterers to arrange for the guarantee works to be performed in accordance with the building contract terms, and hire to continue during the period of guarantee works. The Charterers have to advise the Owners about the performance to the extent the Owners may request.</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5" w:name="page216"/>
    <w:bookmarkEnd w:id="21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PART III</w:t>
      </w:r>
    </w:p>
    <w:p>
      <w:pPr>
        <w:spacing w:after="0" w:line="6" w:lineRule="exact"/>
        <w:rPr>
          <w:sz w:val="20"/>
          <w:szCs w:val="20"/>
          <w:color w:val="auto"/>
        </w:rPr>
      </w:pPr>
    </w:p>
    <w:p>
      <w:pPr>
        <w:ind w:left="3928"/>
        <w:spacing w:after="0"/>
        <w:rPr>
          <w:sz w:val="20"/>
          <w:szCs w:val="20"/>
          <w:color w:val="auto"/>
        </w:rPr>
      </w:pPr>
      <w:r>
        <w:rPr>
          <w:rFonts w:ascii="Arial" w:cs="Arial" w:eastAsia="Arial" w:hAnsi="Arial"/>
          <w:sz w:val="12"/>
          <w:szCs w:val="12"/>
          <w:color w:val="auto"/>
        </w:rPr>
        <w:t>PROVISIONS TO APPLY FOR NEWBUILDING VESSELS ONLY</w:t>
      </w:r>
    </w:p>
    <w:p>
      <w:pPr>
        <w:ind w:left="39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37)</w:t>
      </w:r>
    </w:p>
    <w:p>
      <w:pPr>
        <w:spacing w:after="0" w:line="307" w:lineRule="exact"/>
        <w:rPr>
          <w:sz w:val="20"/>
          <w:szCs w:val="20"/>
          <w:color w:val="auto"/>
        </w:rPr>
      </w:pPr>
    </w:p>
    <w:p>
      <w:pPr>
        <w:ind w:left="168" w:hanging="168"/>
        <w:spacing w:after="0"/>
        <w:tabs>
          <w:tab w:leader="none" w:pos="168" w:val="left"/>
        </w:tabs>
        <w:numPr>
          <w:ilvl w:val="0"/>
          <w:numId w:val="203"/>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Name of Vessel</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name of the Vessel shall be mutually agreed between the Owners and the Charterers and the Vessel shall be painted in the colours, display the funnel insignia and fly the house flag as required by the Charterers.</w:t>
      </w:r>
    </w:p>
    <w:p>
      <w:pPr>
        <w:spacing w:after="0" w:line="135"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203"/>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Survey on Redelivery</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Owners and the Charterers shall appoint surveyors for the purpose of determining and agreeing in writing the condition of the Vessel at the time of re-delivery.</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Without prejudice to Clause 15 (Part II), the Charterers shall bear all survey expenses and all other costs, if any, including the cost of docking and undocking, if required, as well as all repair costs incurred. The Charterers shall also bear all loss of time spent in connection with any docking and undocking as well as repairs, which shall be paid at the date of hire per day or pro rata.</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6" w:name="page217"/>
    <w:bookmarkEnd w:id="21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ind w:left="5000"/>
        <w:spacing w:after="0"/>
        <w:rPr>
          <w:sz w:val="20"/>
          <w:szCs w:val="20"/>
          <w:color w:val="auto"/>
        </w:rPr>
      </w:pPr>
      <w:r>
        <w:rPr>
          <w:rFonts w:ascii="Arial" w:cs="Arial" w:eastAsia="Arial" w:hAnsi="Arial"/>
          <w:sz w:val="12"/>
          <w:szCs w:val="12"/>
          <w:color w:val="auto"/>
        </w:rPr>
        <w:t>PART IV</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HIRE/PURCHASE AGREEMENT</w:t>
      </w:r>
    </w:p>
    <w:p>
      <w:pPr>
        <w:jc w:val="center"/>
        <w:ind w:righ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42)</w:t>
      </w:r>
    </w:p>
    <w:p>
      <w:pPr>
        <w:spacing w:after="0" w:line="31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On expiration of this Charter and provided the Charterers have fulfilled their obligations according to Part I and II as well as Part III, if applicable, it is agreed, that on payment of the final payment of hire as per Clause 11 the Charterers have purchased the Vessel with everything belonging to her and the Vessel is fully paid for.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strike w:val="1"/>
        </w:rPr>
        <w:t>In the following paragraphs the Owners are referred to as the Sellers and the Charterers as the Buyers.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Vessel shall be delivered by the Sellers and taken over by the Buyers on expiration of the Charter.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strike w:val="1"/>
        </w:rPr>
        <w:t>The Sellers guarantee that the Vessel, at the time of delivery, is free from all encumbrances and maritime liens or any debts whatsoever other than those arising from anything done or not done by the Buyers or any existing mortgage agreed not to be paid off by the time of delivery. Should any claims, which have been incurred prior to the time of delivery be made against the Vessel, the Sellers hereby undertake to indemnify the Buyers against all consequences of such claims to the extent it can be proved that the Sellers are responsible for such claims. Any taxes, notarial, consular and other charges and expenses connected with the purchase and registration under Buyers' flag, shall be for Buyers' account. Any taxes, consular and other charges and expenses connected with closing of the Sellers' register, shall be for Sellers' account.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In exchange for payment of the last month's hire instalment the Sellers shall furnish the Buyers with a Bill of Sale duly attested and legalized, together with a certificate setting out the registered encumbrances, if any. On delivery of the Vessel the Sellers shall provide for deletion of the Vessel from the Ship's Register and deliver a certificate of deletion to the Buyers.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Sellers shall, at the time of delivery, hand to the Buyers all classification certificates (for hull, engines, anchors, chains etc), as well as all plans which may be in Sellers’ possession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Wireless Installation and Nautical Instruments, unless on hire, shall be included in the sale without any extra payment.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The Vessel with everything belonging to her shall be at Sellers' risk and expense until she is delivered to the Buyers, subject to the conditions of this Contract and the Vessel with everything belonging to her shall be delivered and taken over as she is at the time of delivery, after which the Sellers shall have no responsibility for possible faults or deficiencies of any description.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strike w:val="1"/>
        </w:rPr>
        <w:t>The Buyers undertake to pay for the repatriation of the Master, officers and other personnel if appointed by the Sellers to the port where the Vessel entered the Bareboat Charter as per Clause 3 (Part II) or to pay the equivalent cost for their journey to any other place.</w:t>
      </w:r>
    </w:p>
    <w:p>
      <w:pPr>
        <w:spacing w:after="0" w:line="18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17" w:name="page218"/>
    <w:bookmarkEnd w:id="21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ind w:left="4428"/>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ind w:left="5448"/>
        <w:spacing w:after="0"/>
        <w:rPr>
          <w:sz w:val="20"/>
          <w:szCs w:val="20"/>
          <w:color w:val="auto"/>
        </w:rPr>
      </w:pPr>
      <w:r>
        <w:rPr>
          <w:rFonts w:ascii="Arial" w:cs="Arial" w:eastAsia="Arial" w:hAnsi="Arial"/>
          <w:sz w:val="12"/>
          <w:szCs w:val="12"/>
          <w:color w:val="auto"/>
        </w:rPr>
        <w:t>PART V</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PROVISIONS TO APPLY FOR VESSELS REGISTERED IN A BAREBOAT CHARTER REGISTRY</w:t>
      </w:r>
    </w:p>
    <w:p>
      <w:pPr>
        <w:jc w:val="center"/>
        <w:ind w:righ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6452235</wp:posOffset>
            </wp:positionH>
            <wp:positionV relativeFrom="paragraph">
              <wp:posOffset>203835</wp:posOffset>
            </wp:positionV>
            <wp:extent cx="708660" cy="3257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79">
                      <a:extLst>
                        <a:ext uri="{28A0092B-C50C-407E-A947-70E740481C1C}"/>
                      </a:extLst>
                    </a:blip>
                    <a:srcRect/>
                    <a:stretch>
                      <a:fillRect/>
                    </a:stretch>
                  </pic:blipFill>
                  <pic:spPr bwMode="auto">
                    <a:xfrm>
                      <a:off x="0" y="0"/>
                      <a:ext cx="7086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168" w:hanging="168"/>
        <w:spacing w:after="0"/>
        <w:tabs>
          <w:tab w:leader="none" w:pos="168" w:val="left"/>
        </w:tabs>
        <w:numPr>
          <w:ilvl w:val="0"/>
          <w:numId w:val="204"/>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Definitions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For the purpose of this PART V, the following terms shall have the meanings hereby assigned to them:</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Bareboat Charter Registry</w:t>
      </w:r>
      <w:r>
        <w:rPr>
          <w:rFonts w:ascii="Times New Roman" w:cs="Times New Roman" w:eastAsia="Times New Roman" w:hAnsi="Times New Roman"/>
          <w:sz w:val="12"/>
          <w:szCs w:val="12"/>
          <w:color w:val="auto"/>
          <w:strike w:val="1"/>
        </w:rPr>
        <w:t>" shall mean the registry of the State whose flag the Vessel will fly and in which the Charterers are registered as the bareboat charterers during the period of the Bareboat Charter.</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Underlying Registry</w:t>
      </w:r>
      <w:r>
        <w:rPr>
          <w:rFonts w:ascii="Times New Roman" w:cs="Times New Roman" w:eastAsia="Times New Roman" w:hAnsi="Times New Roman"/>
          <w:sz w:val="12"/>
          <w:szCs w:val="12"/>
          <w:color w:val="auto"/>
          <w:strike w:val="1"/>
        </w:rPr>
        <w:t>” shall mean the registry of the State in which the Owners of the Vessel are registered as Owners and to which jurisdiction and control of the Vessel will revert upon termination of the Bareboat Charter Registration.</w:t>
      </w:r>
    </w:p>
    <w:p>
      <w:pPr>
        <w:spacing w:after="0" w:line="118"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204"/>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Mortgage</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Vessel chartered under this Charter is financed by a mortgage and the provisions of Clause 12(b) (Part II) shall apply.</w:t>
      </w:r>
    </w:p>
    <w:p>
      <w:pPr>
        <w:spacing w:after="0" w:line="135" w:lineRule="exact"/>
        <w:rPr>
          <w:rFonts w:ascii="Times New Roman" w:cs="Times New Roman" w:eastAsia="Times New Roman" w:hAnsi="Times New Roman"/>
          <w:sz w:val="12"/>
          <w:szCs w:val="12"/>
          <w:b w:val="1"/>
          <w:bCs w:val="1"/>
          <w:color w:val="auto"/>
          <w:strike w:val="1"/>
        </w:rPr>
      </w:pPr>
    </w:p>
    <w:p>
      <w:pPr>
        <w:ind w:left="128" w:hanging="128"/>
        <w:spacing w:after="0"/>
        <w:tabs>
          <w:tab w:leader="none" w:pos="128" w:val="left"/>
        </w:tabs>
        <w:numPr>
          <w:ilvl w:val="0"/>
          <w:numId w:val="2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strike w:val="1"/>
        </w:rPr>
        <w:t>Termination of Charter by Default</w:t>
      </w:r>
    </w:p>
    <w:p>
      <w:pPr>
        <w:spacing w:after="0" w:line="21" w:lineRule="exact"/>
        <w:rPr>
          <w:sz w:val="20"/>
          <w:szCs w:val="20"/>
          <w:color w:val="auto"/>
        </w:rPr>
      </w:pPr>
    </w:p>
    <w:p>
      <w:pPr>
        <w:ind w:left="168"/>
        <w:spacing w:after="0" w:line="250" w:lineRule="auto"/>
        <w:rPr>
          <w:sz w:val="20"/>
          <w:szCs w:val="20"/>
          <w:color w:val="auto"/>
        </w:rPr>
      </w:pPr>
      <w:r>
        <w:rPr>
          <w:rFonts w:ascii="Times New Roman" w:cs="Times New Roman" w:eastAsia="Times New Roman" w:hAnsi="Times New Roman"/>
          <w:sz w:val="12"/>
          <w:szCs w:val="12"/>
          <w:color w:val="auto"/>
          <w:strike w:val="1"/>
        </w:rPr>
        <w:t>If the Vessel chartered under this Charter is registered in a Bareboat Charter Registry as stated in Box 44, and if the Owners shall default in the payment of any amounts due under the mortgage(s) specified in Box 28, the Charterers shall, if so required by the mortgagee, direct the Owners to re-register the Vessel in the Underlying Registry as shown in Box 45.</w:t>
      </w:r>
    </w:p>
    <w:p>
      <w:pPr>
        <w:spacing w:after="0" w:line="1"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In the event of the Vessel being deleted from the Bareboat Charter Registry as stated in Box 44, due to a default by the Owners in the payment of any amounts due under the mortgage(s), the Charterers shall have the right to terminate this Charter forthwith and without prejudice to any other claim they may have against the Owners under this Charter.</w:t>
      </w:r>
    </w:p>
    <w:p>
      <w:pPr>
        <w:spacing w:after="0" w:line="1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5140" w:type="dxa"/>
            <w:vAlign w:val="bottom"/>
          </w:tcPr>
          <w:p>
            <w:pPr>
              <w:jc w:val="right"/>
              <w:spacing w:after="0"/>
              <w:rPr>
                <w:sz w:val="20"/>
                <w:szCs w:val="20"/>
                <w:color w:val="auto"/>
              </w:rPr>
            </w:pPr>
            <w:r>
              <w:rPr>
                <w:rFonts w:ascii="Arial" w:cs="Arial" w:eastAsia="Arial" w:hAnsi="Arial"/>
                <w:sz w:val="10"/>
                <w:szCs w:val="10"/>
                <w:b w:val="1"/>
                <w:bCs w:val="1"/>
                <w:color w:val="auto"/>
              </w:rPr>
              <w:t>ISTANBUL EXPRESS</w:t>
            </w:r>
          </w:p>
        </w:tc>
      </w:tr>
      <w:tr>
        <w:trPr>
          <w:trHeight w:val="131"/>
        </w:trPr>
        <w:tc>
          <w:tcPr>
            <w:tcW w:w="1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5140" w:type="dxa"/>
            <w:vAlign w:val="bottom"/>
          </w:tcPr>
          <w:p>
            <w:pPr>
              <w:jc w:val="right"/>
              <w:spacing w:after="0"/>
              <w:rPr>
                <w:sz w:val="20"/>
                <w:szCs w:val="20"/>
                <w:color w:val="auto"/>
              </w:rPr>
            </w:pPr>
            <w:r>
              <w:rPr>
                <w:rFonts w:ascii="Arial" w:cs="Arial" w:eastAsia="Arial" w:hAnsi="Arial"/>
                <w:sz w:val="10"/>
                <w:szCs w:val="10"/>
                <w:b w:val="1"/>
                <w:bCs w:val="1"/>
                <w:color w:val="auto"/>
              </w:rPr>
              <w:t>Bareboat Charter Additional Clauses</w:t>
            </w:r>
          </w:p>
        </w:tc>
      </w:tr>
      <w:tr>
        <w:trPr>
          <w:trHeight w:val="437"/>
        </w:trPr>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CONTENTS</w:t>
            </w:r>
          </w:p>
        </w:tc>
        <w:tc>
          <w:tcPr>
            <w:tcW w:w="5140" w:type="dxa"/>
            <w:vAlign w:val="bottom"/>
          </w:tcPr>
          <w:p>
            <w:pPr>
              <w:spacing w:after="0"/>
              <w:rPr>
                <w:sz w:val="24"/>
                <w:szCs w:val="24"/>
                <w:color w:val="auto"/>
              </w:rPr>
            </w:pP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32.</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Definitions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33.</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Interpretations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34.</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Background</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35.</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Delivery</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36.</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Conditions precedent and conditions subsequent</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37.</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Bunkers and luboils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38.</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maintenance and operation</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39.</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Structural changes and alterations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40.</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Hire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41.</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42.</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43.</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 conditions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44.</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Diver’s inspection at redelivery</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45.</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Owners’ mortgage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46.</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Financial covenants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47.</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representations and warranties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48.</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undertakings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49.</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Terminations Events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50.</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Sub-chartering and assignment</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51.</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Vessel</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52.</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Transfer of title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53.</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Total Loss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54.</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Appointment of Approved Manager</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55.</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Fees and expenses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56.</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Stamp duties and Taxies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59"/>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57.</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Operational notifiable events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522"/>
        </w:trPr>
        <w:tc>
          <w:tcPr>
            <w:tcW w:w="1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98" w:right="299" w:bottom="1440" w:gutter="0" w:footer="0" w:header="0"/>
        </w:sectPr>
      </w:pPr>
    </w:p>
    <w:bookmarkStart w:id="219" w:name="page220"/>
    <w:bookmarkEnd w:id="2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3920" w:type="dxa"/>
            <w:vAlign w:val="bottom"/>
          </w:tcPr>
          <w:p>
            <w:pPr>
              <w:jc w:val="right"/>
              <w:spacing w:after="0"/>
              <w:rPr>
                <w:sz w:val="20"/>
                <w:szCs w:val="20"/>
                <w:color w:val="auto"/>
              </w:rPr>
            </w:pPr>
            <w:r>
              <w:rPr>
                <w:rFonts w:ascii="Arial" w:cs="Arial" w:eastAsia="Arial" w:hAnsi="Arial"/>
                <w:sz w:val="10"/>
                <w:szCs w:val="10"/>
                <w:b w:val="1"/>
                <w:bCs w:val="1"/>
                <w:color w:val="auto"/>
              </w:rPr>
              <w:t>ISTANBUL EXPRESS</w:t>
            </w:r>
          </w:p>
        </w:tc>
      </w:tr>
      <w:tr>
        <w:trPr>
          <w:trHeight w:val="131"/>
        </w:trPr>
        <w:tc>
          <w:tcPr>
            <w:tcW w:w="18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3920" w:type="dxa"/>
            <w:vAlign w:val="bottom"/>
          </w:tcPr>
          <w:p>
            <w:pPr>
              <w:jc w:val="right"/>
              <w:spacing w:after="0"/>
              <w:rPr>
                <w:sz w:val="20"/>
                <w:szCs w:val="20"/>
                <w:color w:val="auto"/>
              </w:rPr>
            </w:pPr>
            <w:r>
              <w:rPr>
                <w:rFonts w:ascii="Arial" w:cs="Arial" w:eastAsia="Arial" w:hAnsi="Arial"/>
                <w:sz w:val="10"/>
                <w:szCs w:val="10"/>
                <w:b w:val="1"/>
                <w:bCs w:val="1"/>
                <w:color w:val="auto"/>
              </w:rPr>
              <w:t>Bareboat Charter Additional Clauses</w:t>
            </w:r>
          </w:p>
        </w:tc>
      </w:tr>
      <w:tr>
        <w:trPr>
          <w:trHeight w:val="401"/>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58.</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indemnities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59.</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assurances and undertakings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60.</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Cumulative rights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61.</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waiver</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62.</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Entire agreement</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63.</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Invalidity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64.</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English language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65.</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partnership</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66.</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Notices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67.</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Conflicts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68.</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Survival of Charterers’ obligations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69.</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Counterparts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70.</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Third Parties Act</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71.</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Waiver of immunity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72.</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FATCA</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73.</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74.</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Arbitration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75.</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Confidentiality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76.</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Assignment and Transfer</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77.</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Financing Charter</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44"/>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1 FORM OF PROTOCOL OF DELIVERY AND ACCEPTANCE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w:t>
            </w:r>
          </w:p>
        </w:tc>
      </w:tr>
      <w:tr>
        <w:trPr>
          <w:trHeight w:val="144"/>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2 FORM OF TITLE TRANSFER PROTOCOL OF DELIVERY AND ACCEPTANCE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w:t>
            </w:r>
          </w:p>
        </w:tc>
      </w:tr>
      <w:tr>
        <w:trPr>
          <w:trHeight w:val="159"/>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3 RELATED CHARTER AND RELEVANT INFORMATION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r>
      <w:tr>
        <w:trPr>
          <w:trHeight w:val="450"/>
        </w:trPr>
        <w:tc>
          <w:tcPr>
            <w:tcW w:w="18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98" w:right="299" w:bottom="1440" w:gutter="0" w:footer="0" w:header="0"/>
        </w:sectPr>
      </w:pPr>
    </w:p>
    <w:bookmarkStart w:id="220" w:name="page221"/>
    <w:bookmarkEnd w:id="22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b w:val="1"/>
          <w:bCs w:val="1"/>
          <w:color w:val="auto"/>
        </w:rPr>
        <w:t>ADDITIONAL CLAUSES</w:t>
      </w:r>
    </w:p>
    <w:p>
      <w:pPr>
        <w:spacing w:after="0" w:line="21" w:lineRule="exact"/>
        <w:rPr>
          <w:sz w:val="20"/>
          <w:szCs w:val="20"/>
          <w:color w:val="auto"/>
        </w:rPr>
      </w:pPr>
    </w:p>
    <w:p>
      <w:pPr>
        <w:jc w:val="center"/>
        <w:ind w:right="52"/>
        <w:spacing w:after="0"/>
        <w:rPr>
          <w:sz w:val="20"/>
          <w:szCs w:val="20"/>
          <w:color w:val="auto"/>
        </w:rPr>
      </w:pPr>
      <w:r>
        <w:rPr>
          <w:rFonts w:ascii="Times New Roman" w:cs="Times New Roman" w:eastAsia="Times New Roman" w:hAnsi="Times New Roman"/>
          <w:sz w:val="12"/>
          <w:szCs w:val="12"/>
          <w:b w:val="1"/>
          <w:bCs w:val="1"/>
          <w:u w:val="single" w:color="auto"/>
          <w:color w:val="auto"/>
        </w:rPr>
        <w:t>TO BIMCO STANDARD BAREBOAT CHARTER FOR "ISTANBUL EXPRESS"</w:t>
      </w:r>
    </w:p>
    <w:p>
      <w:pPr>
        <w:spacing w:after="0" w:line="279" w:lineRule="exact"/>
        <w:rPr>
          <w:sz w:val="20"/>
          <w:szCs w:val="20"/>
          <w:color w:val="auto"/>
        </w:rPr>
      </w:pPr>
    </w:p>
    <w:p>
      <w:pPr>
        <w:ind w:left="428" w:hanging="428"/>
        <w:spacing w:after="0"/>
        <w:tabs>
          <w:tab w:leader="none" w:pos="428" w:val="left"/>
        </w:tabs>
        <w:numPr>
          <w:ilvl w:val="0"/>
          <w:numId w:val="2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Charter:</w:t>
      </w:r>
    </w:p>
    <w:p>
      <w:pPr>
        <w:spacing w:after="0" w:line="146"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 ABN AMRO Bank N.V. at Gustav Mahlerlaan 10, Postbus 283, 1000 EA Amsterdam (BIC: ABNANL2A) or such other first-class international bank or financial institution as nominated by the Charterers and approved by the Owners in writing from time to time (acting reasonably).</w:t>
      </w:r>
    </w:p>
    <w:p>
      <w:pPr>
        <w:spacing w:after="0" w:line="103" w:lineRule="exact"/>
        <w:rPr>
          <w:rFonts w:ascii="Times New Roman" w:cs="Times New Roman" w:eastAsia="Times New Roman" w:hAnsi="Times New Roman"/>
          <w:sz w:val="12"/>
          <w:szCs w:val="12"/>
          <w:b w:val="1"/>
          <w:bCs w:val="1"/>
          <w:color w:val="auto"/>
        </w:rPr>
      </w:pPr>
    </w:p>
    <w:p>
      <w:pPr>
        <w:ind w:left="428"/>
        <w:spacing w:after="0" w:line="286"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the deed of charge or pledge or other legal instrument executed or to be executed by the Charterers in Agreed Form in favour of the Security Trustee conferring a Security Interest over the Earnings Account and all amounts from time to time standing to the credit to the Earnings Account.</w:t>
      </w:r>
    </w:p>
    <w:p>
      <w:pPr>
        <w:spacing w:after="0" w:line="103"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Actual Delivery Date</w:t>
      </w:r>
      <w:r>
        <w:rPr>
          <w:rFonts w:ascii="Times New Roman" w:cs="Times New Roman" w:eastAsia="Times New Roman" w:hAnsi="Times New Roman"/>
          <w:sz w:val="12"/>
          <w:szCs w:val="12"/>
          <w:color w:val="auto"/>
        </w:rPr>
        <w:t>" means the date of delivery of the Vessel by the Owners to the Charterers under this Charter.</w:t>
      </w:r>
    </w:p>
    <w:p>
      <w:pPr>
        <w:spacing w:after="0" w:line="150" w:lineRule="exact"/>
        <w:rPr>
          <w:rFonts w:ascii="Times New Roman" w:cs="Times New Roman" w:eastAsia="Times New Roman" w:hAnsi="Times New Roman"/>
          <w:sz w:val="12"/>
          <w:szCs w:val="12"/>
          <w:b w:val="1"/>
          <w:bCs w:val="1"/>
          <w:color w:val="auto"/>
        </w:rPr>
      </w:pPr>
    </w:p>
    <w:p>
      <w:pPr>
        <w:ind w:left="428" w:right="3200"/>
        <w:spacing w:after="0" w:line="50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 "</w:t>
      </w:r>
      <w:r>
        <w:rPr>
          <w:rFonts w:ascii="Times New Roman" w:cs="Times New Roman" w:eastAsia="Times New Roman" w:hAnsi="Times New Roman"/>
          <w:sz w:val="12"/>
          <w:szCs w:val="12"/>
          <w:b w:val="1"/>
          <w:bCs w:val="1"/>
          <w:color w:val="auto"/>
        </w:rPr>
        <w:t>Agreed Form</w:t>
      </w:r>
      <w:r>
        <w:rPr>
          <w:rFonts w:ascii="Times New Roman" w:cs="Times New Roman" w:eastAsia="Times New Roman" w:hAnsi="Times New Roman"/>
          <w:sz w:val="12"/>
          <w:szCs w:val="12"/>
          <w:color w:val="auto"/>
        </w:rPr>
        <w:t>" means in relation to any document, that document in the form approved in writing by the Owners and agreed with the Charterers.</w:t>
      </w:r>
    </w:p>
    <w:p>
      <w:pPr>
        <w:spacing w:after="0" w:line="1"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 Term</w:t>
      </w:r>
      <w:r>
        <w:rPr>
          <w:rFonts w:ascii="Times New Roman" w:cs="Times New Roman" w:eastAsia="Times New Roman" w:hAnsi="Times New Roman"/>
          <w:sz w:val="12"/>
          <w:szCs w:val="12"/>
          <w:color w:val="auto"/>
        </w:rPr>
        <w:t>" means the period commencing on the date of this Charter and terminating on the later of:</w:t>
      </w:r>
    </w:p>
    <w:p>
      <w:pPr>
        <w:spacing w:after="0" w:line="154" w:lineRule="exact"/>
        <w:rPr>
          <w:rFonts w:ascii="Times New Roman" w:cs="Times New Roman" w:eastAsia="Times New Roman" w:hAnsi="Times New Roman"/>
          <w:sz w:val="12"/>
          <w:szCs w:val="12"/>
          <w:b w:val="1"/>
          <w:bCs w:val="1"/>
          <w:color w:val="auto"/>
        </w:rPr>
      </w:pPr>
    </w:p>
    <w:p>
      <w:pPr>
        <w:ind w:left="848" w:hanging="416"/>
        <w:spacing w:after="0"/>
        <w:tabs>
          <w:tab w:leader="none" w:pos="848" w:val="left"/>
        </w:tabs>
        <w:numPr>
          <w:ilvl w:val="1"/>
          <w:numId w:val="2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the Charter Period; and</w:t>
      </w:r>
    </w:p>
    <w:p>
      <w:pPr>
        <w:spacing w:after="0" w:line="150" w:lineRule="exact"/>
        <w:rPr>
          <w:rFonts w:ascii="Times New Roman" w:cs="Times New Roman" w:eastAsia="Times New Roman" w:hAnsi="Times New Roman"/>
          <w:sz w:val="12"/>
          <w:szCs w:val="12"/>
          <w:color w:val="auto"/>
        </w:rPr>
      </w:pPr>
    </w:p>
    <w:p>
      <w:pPr>
        <w:ind w:left="848" w:hanging="416"/>
        <w:spacing w:after="0" w:line="327" w:lineRule="auto"/>
        <w:tabs>
          <w:tab w:leader="none" w:pos="848" w:val="left"/>
        </w:tabs>
        <w:numPr>
          <w:ilvl w:val="1"/>
          <w:numId w:val="20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date on which all money of any nature owed by the Obligors to the Owners under the Transaction Documents or otherwise in connection with the Vessel have been paid in full to the Owners and no obligations of the Obligors of any nature to the Owners or otherwise in connection with the Transaction Documents, the Related Transaction Documents or with the Vessel or the Related Vessels remain unperformed or undischarged.</w:t>
      </w:r>
    </w:p>
    <w:p>
      <w:pPr>
        <w:spacing w:after="0" w:line="8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Anniversary</w:t>
      </w:r>
      <w:r>
        <w:rPr>
          <w:rFonts w:ascii="Times New Roman" w:cs="Times New Roman" w:eastAsia="Times New Roman" w:hAnsi="Times New Roman"/>
          <w:sz w:val="12"/>
          <w:szCs w:val="12"/>
          <w:color w:val="auto"/>
        </w:rPr>
        <w:t>" means each anniversary of the Actual Delivery Date.</w:t>
      </w:r>
    </w:p>
    <w:p>
      <w:pPr>
        <w:spacing w:after="0" w:line="150" w:lineRule="exact"/>
        <w:rPr>
          <w:sz w:val="20"/>
          <w:szCs w:val="20"/>
          <w:color w:val="auto"/>
        </w:rPr>
      </w:pPr>
    </w:p>
    <w:p>
      <w:pPr>
        <w:jc w:val="both"/>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Anti-Money Laundering Laws</w:t>
      </w:r>
      <w:r>
        <w:rPr>
          <w:rFonts w:ascii="Times New Roman" w:cs="Times New Roman" w:eastAsia="Times New Roman" w:hAnsi="Times New Roman"/>
          <w:sz w:val="12"/>
          <w:szCs w:val="12"/>
          <w:color w:val="auto"/>
        </w:rPr>
        <w:t>" means all applicable financial record-keeping and reporting requirements, anti-money laundering statutes (including all applicable rules and regulations thereunder) and all applicable related or similar laws, rules, regulations or guidelines, of all applicable jurisdictions including and without limitation, the United States of America, the European Union and the People’s Republic of China and which in each case are:</w:t>
      </w:r>
    </w:p>
    <w:p>
      <w:pPr>
        <w:spacing w:after="0" w:line="107" w:lineRule="exact"/>
        <w:rPr>
          <w:sz w:val="20"/>
          <w:szCs w:val="20"/>
          <w:color w:val="auto"/>
        </w:rPr>
      </w:pPr>
    </w:p>
    <w:p>
      <w:pPr>
        <w:ind w:left="848" w:hanging="416"/>
        <w:spacing w:after="0"/>
        <w:tabs>
          <w:tab w:leader="none" w:pos="848"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and</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0"/>
          <w:numId w:val="2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Trustee conduct business; or Security Interest to which any Obligor, the Owners or the Security Trustee is subjected or subject to.</w:t>
      </w:r>
    </w:p>
    <w:p>
      <w:pPr>
        <w:spacing w:after="0" w:line="146" w:lineRule="exact"/>
        <w:rPr>
          <w:sz w:val="20"/>
          <w:szCs w:val="20"/>
          <w:color w:val="auto"/>
        </w:rPr>
      </w:pPr>
    </w:p>
    <w:p>
      <w:pPr>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Anti-Terrorism Financing Laws</w:t>
      </w:r>
      <w:r>
        <w:rPr>
          <w:rFonts w:ascii="Times New Roman" w:cs="Times New Roman" w:eastAsia="Times New Roman" w:hAnsi="Times New Roman"/>
          <w:sz w:val="12"/>
          <w:szCs w:val="12"/>
          <w:color w:val="auto"/>
        </w:rPr>
        <w:t>" means all applicable anti-terrorism laws, statutes (including all applicable rules and regulations thereunder) and all applicable related or similar rules, regulations, guidelines, of any applicable jurisdiction, including and not limited to the United States of America or the People’s Republic of China which are:</w:t>
      </w:r>
    </w:p>
    <w:p>
      <w:pPr>
        <w:spacing w:after="0" w:line="107" w:lineRule="exact"/>
        <w:rPr>
          <w:sz w:val="20"/>
          <w:szCs w:val="20"/>
          <w:color w:val="auto"/>
        </w:rPr>
      </w:pPr>
    </w:p>
    <w:p>
      <w:pPr>
        <w:ind w:left="5608" w:right="3920" w:hanging="5176"/>
        <w:spacing w:after="0" w:line="812" w:lineRule="auto"/>
        <w:tabs>
          <w:tab w:leader="none" w:pos="843" w:val="left"/>
        </w:tabs>
        <w:numPr>
          <w:ilvl w:val="0"/>
          <w:numId w:val="2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7178040" cy="571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21" w:name="page222"/>
    <w:bookmarkEnd w:id="22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420" w:hanging="416"/>
        <w:spacing w:after="0"/>
        <w:tabs>
          <w:tab w:leader="none" w:pos="42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Security Trustee conducts business;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which any Obligor, the Owners or the Security Trustee is subjected or subject 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Insurer</w:t>
      </w:r>
      <w:r>
        <w:rPr>
          <w:rFonts w:ascii="Times New Roman" w:cs="Times New Roman" w:eastAsia="Times New Roman" w:hAnsi="Times New Roman"/>
          <w:sz w:val="12"/>
          <w:szCs w:val="12"/>
          <w:color w:val="auto"/>
        </w:rPr>
        <w:t>" means, in respect of the Vessel, a first-class international insurance broker, underwriter or association acceptable to the Owners (acting reasonably).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technical management of the Vessel, TECHNOMAR SHIPPING INC., a company incorporated and existing under the laws of the Republic of Liberia with Registration Number C-76029 and having its registered office at 80 Broad Street, Monrovia, Liberia;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commercial management of the Vessel, CONCHART COMMERCIAL INC., a company incorporate and existing under the laws of the Republic of the Marshall Islands having its registered address at Trust Company Complex, Ajeltake Road, Ajeltake Island, Majuro, Republic of the Marshall Islands MH 96960;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first class reputable ship technical and/or commercial manager acceptable to the Owners.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each of BRS Shipbrokers, MB Shipbrokers, Kontiki Shipbrokers, Howe Robinson and any other reputable and independent ship brokers proposed by the Charterers and approved by the Owners (acting reasonably).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 has the meaning given to the term in Clause 55(a)(a)(a), being a sum of US$445,000 (Dollars Four Hundred Forty Five Thousand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or registration.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 all costs, losses, premiums or penalties incurred by the Owners as a result of (i) the receipt by the Owners of any payment under or in relation to the Transaction Documents on a day other than the due date for payment of the sum in question and/or (ii) the Termination Payment Date does not fall on a Hire Payment Date (in each case, including any Break Costs incurred under the Finance Documents.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Sunday) on which banks and financial markets are open for business:</w:t>
      </w:r>
    </w:p>
    <w:p>
      <w:pPr>
        <w:spacing w:after="0" w:line="154" w:lineRule="exact"/>
        <w:rPr>
          <w:sz w:val="20"/>
          <w:szCs w:val="20"/>
          <w:color w:val="auto"/>
        </w:rPr>
      </w:pPr>
    </w:p>
    <w:p>
      <w:pPr>
        <w:ind w:left="440" w:hanging="436"/>
        <w:spacing w:after="0"/>
        <w:tabs>
          <w:tab w:leader="none" w:pos="44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date for payment, in Amsterdam, Athens, Beijing and New York;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all other purposes, in Beijing and Athens.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"Business Ethics Laws" </w:t>
      </w:r>
      <w:r>
        <w:rPr>
          <w:rFonts w:ascii="Times New Roman" w:cs="Times New Roman" w:eastAsia="Times New Roman" w:hAnsi="Times New Roman"/>
          <w:sz w:val="12"/>
          <w:szCs w:val="12"/>
          <w:color w:val="auto"/>
        </w:rPr>
        <w:t>means any laws, regulations and/or other legally binding requirements or determinations in relation to bribery, corruption, fraud, money-laundering, terrorism, collusion bid-rigging or anti-trust, human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rights violations (including forced labour and human trafficking) which are applicable to an Obligor or to any jurisdiction where activities are performed and which shall include: (i) the United Kingdom Bribery Act 2010, (ii) the United States Foreign Corrupt Practices Act 1977 and (iii) Prevention of Bribery Ordinance (Cap. 201) of the Laws of Hong Kong.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Cancellation Date</w:t>
      </w:r>
      <w:r>
        <w:rPr>
          <w:rFonts w:ascii="Times New Roman" w:cs="Times New Roman" w:eastAsia="Times New Roman" w:hAnsi="Times New Roman"/>
          <w:sz w:val="12"/>
          <w:szCs w:val="12"/>
          <w:color w:val="auto"/>
        </w:rPr>
        <w:t>" means 31 January 2025 or such later date as the Owners may in their sole discretion approve in writing.</w:t>
      </w:r>
    </w:p>
    <w:p>
      <w:pPr>
        <w:spacing w:after="0" w:line="1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22" w:name="page223"/>
    <w:bookmarkEnd w:id="22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has the meaning given to such term in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Group</w:t>
      </w:r>
      <w:r>
        <w:rPr>
          <w:rFonts w:ascii="Times New Roman" w:cs="Times New Roman" w:eastAsia="Times New Roman" w:hAnsi="Times New Roman"/>
          <w:sz w:val="12"/>
          <w:szCs w:val="12"/>
          <w:color w:val="auto"/>
        </w:rPr>
        <w:t>" means the Charterers, the Charter Guarantor and, the Subsidiaries of each of them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the deed of guarantee and indemnity executed or to be executed by the Charter Guarantor in favour of the Security Trustee in the Agreed Form.</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means GLOBAL SHIP LEASE, INC., a corporation incorporated and existing under the laws of the Republic of Marshall Islands with corporation number 28891 and having its registered office at Trust Company Complex, Ajeltake Road, Ajeltake Island, Majuro, Republic of the Marshall Islands MH 96960, being the sole member and manager of the Charterers.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 Change of Control Event</w:t>
      </w:r>
      <w:r>
        <w:rPr>
          <w:rFonts w:ascii="Times New Roman" w:cs="Times New Roman" w:eastAsia="Times New Roman" w:hAnsi="Times New Roman"/>
          <w:sz w:val="12"/>
          <w:szCs w:val="12"/>
          <w:color w:val="auto"/>
        </w:rPr>
        <w:t>" means any of the following events:</w:t>
      </w:r>
    </w:p>
    <w:p>
      <w:pPr>
        <w:spacing w:after="0" w:line="154" w:lineRule="exact"/>
        <w:rPr>
          <w:sz w:val="20"/>
          <w:szCs w:val="20"/>
          <w:color w:val="auto"/>
        </w:rPr>
      </w:pPr>
    </w:p>
    <w:p>
      <w:pPr>
        <w:ind w:left="420" w:hanging="416"/>
        <w:spacing w:after="0"/>
        <w:tabs>
          <w:tab w:leader="none" w:pos="4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is not or ceases to be a wholly-owned direct or indirect Subsidiary of the Charter Guarantor;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own at least 1 per cent. of the shares in the Charter Guarantor (either directly or through one or more of his affiliates);</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Charter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15 per cent. of the shares in the Charter Guarantor, other than Mr George Giouroukos (either directly or through one or more of his affiliates).</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"Charter Period" </w:t>
      </w:r>
      <w:r>
        <w:rPr>
          <w:rFonts w:ascii="Times New Roman" w:cs="Times New Roman" w:eastAsia="Times New Roman" w:hAnsi="Times New Roman"/>
          <w:sz w:val="12"/>
          <w:szCs w:val="12"/>
          <w:color w:val="auto"/>
        </w:rPr>
        <w:t>means, subject to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Clauses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the period of One Hundred Twenty (120) months commencing from the Actual Delivery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"Charterers' Assignment" </w:t>
      </w:r>
      <w:r>
        <w:rPr>
          <w:rFonts w:ascii="Times New Roman" w:cs="Times New Roman" w:eastAsia="Times New Roman" w:hAnsi="Times New Roman"/>
          <w:sz w:val="12"/>
          <w:szCs w:val="12"/>
          <w:color w:val="auto"/>
        </w:rPr>
        <w:t>means the deed of assignment executed or to be executed (as the case may be) by the Charterers in favour of the Security Trustee in the Agreed Form in relation to certain of the Charterers'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interest in and to (among other things) the (a) the Earnings, (b) the Insurances, and (c) the Requisition Compensation and (d) the Initial Sub-Charter and any other Sub-Charter (if any) which have a duration of twelve (12) months or more (including any option to renew or extend).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"Classification Society" </w:t>
      </w:r>
      <w:r>
        <w:rPr>
          <w:rFonts w:ascii="Times New Roman" w:cs="Times New Roman" w:eastAsia="Times New Roman" w:hAnsi="Times New Roman"/>
          <w:sz w:val="12"/>
          <w:szCs w:val="12"/>
          <w:color w:val="auto"/>
        </w:rPr>
        <w:t>means the vessel classification society referred to in Box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 or such other reputable classification society which is a member of the International Association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Classification Societies as the Charterers may select and the Owners may approve from time to time (acting reasonably).</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Co-Assured Undertakings</w:t>
      </w:r>
      <w:r>
        <w:rPr>
          <w:rFonts w:ascii="Times New Roman" w:cs="Times New Roman" w:eastAsia="Times New Roman" w:hAnsi="Times New Roman"/>
          <w:sz w:val="12"/>
          <w:szCs w:val="12"/>
          <w:color w:val="auto"/>
        </w:rPr>
        <w:t>" means an undertaking in respect of the Insurances by a party named as an assured or co-assured (as the case may be) on any of the Insurances (other than the Charterers, the Approved Managers, the Owners and the Finance Parties) in favour of the Owners and the Security Trustee.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Debt</w:t>
      </w:r>
      <w:r>
        <w:rPr>
          <w:rFonts w:ascii="Times New Roman" w:cs="Times New Roman" w:eastAsia="Times New Roman" w:hAnsi="Times New Roman"/>
          <w:sz w:val="12"/>
          <w:szCs w:val="12"/>
          <w:color w:val="auto"/>
        </w:rPr>
        <w:t>" means the aggregate from time to time of all sums of any nature (together with all accrued unpaid interest on any of those sums) payable by any Obligor to the Owners under all or any of the Transaction Documents.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Interest Rate</w:t>
      </w:r>
      <w:r>
        <w:rPr>
          <w:rFonts w:ascii="Times New Roman" w:cs="Times New Roman" w:eastAsia="Times New Roman" w:hAnsi="Times New Roman"/>
          <w:sz w:val="12"/>
          <w:szCs w:val="12"/>
          <w:color w:val="auto"/>
        </w:rPr>
        <w:t>" means a rate equivalent to the applicable Interest Rate plus [two per cent. (2%) per annum (on a 360-day year basis).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Termination</w:t>
      </w:r>
      <w:r>
        <w:rPr>
          <w:rFonts w:ascii="Times New Roman" w:cs="Times New Roman" w:eastAsia="Times New Roman" w:hAnsi="Times New Roman"/>
          <w:sz w:val="12"/>
          <w:szCs w:val="12"/>
          <w:color w:val="auto"/>
        </w:rPr>
        <w:t>" means a termination of the Charter Period pursuant to the provisions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23" w:name="page224"/>
    <w:bookmarkEnd w:id="22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Delivery Costs</w:t>
      </w:r>
      <w:r>
        <w:rPr>
          <w:rFonts w:ascii="Times New Roman" w:cs="Times New Roman" w:eastAsia="Times New Roman" w:hAnsi="Times New Roman"/>
          <w:sz w:val="12"/>
          <w:szCs w:val="12"/>
          <w:color w:val="auto"/>
        </w:rPr>
        <w:t>" means the aggregate amount of all documented charges, fees, costs (including legal fees) and expenses whatsoever (with the only exception of the MOA Purchase Price) reasonably incurred and/or arising out of and/or in relation to:</w:t>
      </w:r>
    </w:p>
    <w:p>
      <w:pPr>
        <w:spacing w:after="0" w:line="107" w:lineRule="exact"/>
        <w:rPr>
          <w:sz w:val="20"/>
          <w:szCs w:val="20"/>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taking delivery of the Vessel under the MOA;</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by the Owners to the Charterers under this Charter;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all hires, freights, pool income and other sums payable to or for the account of the Charterers in respect of the Vessel including (without limitation) all remuneration for salvage and towage services, demurrage and detention moneys, contributions in general average, compensation in respect of any requisition for hire, and damages and other payments (whether awarded by any court or arbitral tribunal or by agreement or otherwise) for breach, termination or variation of any contract for the operation, employment or use of the Vessel.</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xml:space="preserve">" means the account in the name of the Charterers (IBAN: </w:t>
      </w:r>
      <w:r>
        <w:rPr>
          <w:rFonts w:ascii="Times New Roman" w:cs="Times New Roman" w:eastAsia="Times New Roman" w:hAnsi="Times New Roman"/>
          <w:sz w:val="12"/>
          <w:szCs w:val="12"/>
          <w:b w:val="1"/>
          <w:bCs w:val="1"/>
          <w:color w:val="auto"/>
        </w:rPr>
        <w:t>NL42ABNA0139181709</w:t>
      </w:r>
      <w:r>
        <w:rPr>
          <w:rFonts w:ascii="Times New Roman" w:cs="Times New Roman" w:eastAsia="Times New Roman" w:hAnsi="Times New Roman"/>
          <w:sz w:val="12"/>
          <w:szCs w:val="12"/>
          <w:color w:val="auto"/>
        </w:rPr>
        <w:t>) opened with the Account Bank and subject to the Account Security acceptable to the Owners, and includes any sub-account thereof and such account which is designated by the Owners as the earnings account for the purposes of this Charter.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person which arises out of an Environmental Incident which relates to any Environmental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Environmentally Sensitive Material from the Vessel; or</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from a vessel other than the Vessel and which involves a collision between the Vessel and such other vessel or some other incident of navigation or operation, in either case, in connection with which the Vessel is actually arrested, attached, detained or injuncted and/or the Vessel and/or the Owners and/or the Charterers and/or any Approved Manager and/or any operator or manager of the Vessel is at fault or otherwise liable to any legal action; or</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2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otherwise than from the Vessel and in connection with which the Vessel is actually arrested and/or where the Owners and/or the Charterers and/or any Approved Manager and/or any operator or manager of the Vessel is at fault or otherwise liable to any legal action.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law or regulation having the force of law applicable to the Vessel or the use and employment of the Vessel by the Owners and the Charterers relating to pollution or protection of the environment, to the carriage of Environmentally Sensitive Material or to actual releases of Environmentally Sensitive Material.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Permits</w:t>
      </w:r>
      <w:r>
        <w:rPr>
          <w:rFonts w:ascii="Times New Roman" w:cs="Times New Roman" w:eastAsia="Times New Roman" w:hAnsi="Times New Roman"/>
          <w:sz w:val="12"/>
          <w:szCs w:val="12"/>
          <w:color w:val="auto"/>
        </w:rPr>
        <w:t>" means any permit and other authorisation and the filing of any notification, report or assessment required under any Environmental Law for the operation of the Vessel.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oil, oil products and any other substance (including any chemical, gas or other hazardous or noxious substance) which is polluting, toxic or hazardous.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ETS Mandate Letter</w:t>
      </w:r>
      <w:r>
        <w:rPr>
          <w:rFonts w:ascii="Times New Roman" w:cs="Times New Roman" w:eastAsia="Times New Roman" w:hAnsi="Times New Roman"/>
          <w:sz w:val="12"/>
          <w:szCs w:val="12"/>
          <w:color w:val="auto"/>
        </w:rPr>
        <w:t>" means the mandate letter in respect of the Vessel addressed to the relevant entities charged with administering compliance with the EU-ETS Regulations and duly executed by the Owners and the Charterers and the Approved Manager nominated by the Charterers, mandating the Approved Manager as nominated by the Charterers and approved by the Owners as the party required to comply with and be responsible for compliance with the EU-ETS Regulations in place of the Owners.</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24" w:name="page225"/>
    <w:bookmarkEnd w:id="22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EU-ETS Regulations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left="440" w:hanging="434"/>
        <w:spacing w:after="0" w:line="265" w:lineRule="auto"/>
        <w:tabs>
          <w:tab w:leader="none" w:pos="440"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EU Emissions Trading Scheme (Directive 2003/87/EC establishing a system for greenhouse gas emission allowance trading within the Union and Decision (EU) 2015/1814 concerning the establishment and operation of a market stability reserve for the Union greenhouse gas emission trading system as amended by Directive (EU) 2023/959 of the European Parliament and of the Council of 10 May 2023) and the Commission Implementing Regulation (EU) 2023/2599 of 22 November 2023 as the same may be amended, supplemented, superseded or readopted from time to time (whether with or without modifications); and</w:t>
      </w:r>
    </w:p>
    <w:p>
      <w:pPr>
        <w:spacing w:after="0" w:line="118"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implementing the above Directive and/or Implementing Regulation.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 any facility agreement, security document, fee letter and any other document designated as such by the Finance Parties and the Owners, and which have been or may be (as the case may be) entered into between the Finance Parties and the Owners for the purpose of, among other things, financing or (as the case may be) refinancing all or any part of the Outstanding Principal.</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any bank or financial institution which is or will be party to a Finance Document (other than the Owners and other entities which may have agreed or be intended as debtors and/or obligors thereunder) and "</w:t>
      </w:r>
      <w:r>
        <w:rPr>
          <w:rFonts w:ascii="Times New Roman" w:cs="Times New Roman" w:eastAsia="Times New Roman" w:hAnsi="Times New Roman"/>
          <w:sz w:val="12"/>
          <w:szCs w:val="12"/>
          <w:b w:val="1"/>
          <w:bCs w:val="1"/>
          <w:color w:val="auto"/>
        </w:rPr>
        <w:t>Finance Parties</w:t>
      </w:r>
      <w:r>
        <w:rPr>
          <w:rFonts w:ascii="Times New Roman" w:cs="Times New Roman" w:eastAsia="Times New Roman" w:hAnsi="Times New Roman"/>
          <w:sz w:val="12"/>
          <w:szCs w:val="12"/>
          <w:color w:val="auto"/>
        </w:rPr>
        <w:t>" means two or more of them.</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respect of:</w:t>
      </w:r>
    </w:p>
    <w:p>
      <w:pPr>
        <w:spacing w:after="0" w:line="154" w:lineRule="exact"/>
        <w:rPr>
          <w:sz w:val="20"/>
          <w:szCs w:val="20"/>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lease or hire purchase contract which would, in accordance with GAAP, be treated as a balance sheet liability;</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hire purchase agreement) of a type not referred to in any other paragraph of this definition having the commercial effect of a borrowing;</w:t>
      </w:r>
    </w:p>
    <w:p>
      <w:pPr>
        <w:spacing w:after="0" w:line="78" w:lineRule="exact"/>
        <w:rPr>
          <w:rFonts w:ascii="Times New Roman" w:cs="Times New Roman" w:eastAsia="Times New Roman" w:hAnsi="Times New Roman"/>
          <w:sz w:val="12"/>
          <w:szCs w:val="12"/>
          <w:color w:val="auto"/>
        </w:rPr>
      </w:pPr>
    </w:p>
    <w:p>
      <w:pPr>
        <w:ind w:left="460" w:right="20" w:hanging="436"/>
        <w:spacing w:after="0" w:line="279" w:lineRule="auto"/>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39"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respect of a guarantee, indemnity, bond, standby or documentary letter of credit or any other instrument issued by a bank or financial institution; and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2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guarantee or indemnity for any of the items referred to in paragraphs (a) to (h) above.</w:t>
      </w:r>
    </w:p>
    <w:p>
      <w:pPr>
        <w:spacing w:after="0" w:line="1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25" w:name="page226"/>
    <w:bookmarkEnd w:id="22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Institution</w:t>
      </w:r>
      <w:r>
        <w:rPr>
          <w:rFonts w:ascii="Times New Roman" w:cs="Times New Roman" w:eastAsia="Times New Roman" w:hAnsi="Times New Roman"/>
          <w:sz w:val="12"/>
          <w:szCs w:val="12"/>
          <w:color w:val="auto"/>
        </w:rPr>
        <w:t>" means any bank or financial institution, trust, fund, leasing company or other entity which is regularly engaged in or established for the purpose of making, purchasing or investing in loans, securities or other financial assets.</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Hire</w:t>
      </w:r>
      <w:r>
        <w:rPr>
          <w:rFonts w:ascii="Times New Roman" w:cs="Times New Roman" w:eastAsia="Times New Roman" w:hAnsi="Times New Roman"/>
          <w:sz w:val="12"/>
          <w:szCs w:val="12"/>
          <w:color w:val="auto"/>
        </w:rPr>
        <w:t>" means in respect of each Hire Payment Date, an amount of US$862,500 (Dollars Eight Hundred Sixty Two Thousand Five Hundred Only).</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"GAAP" </w:t>
      </w:r>
      <w:r>
        <w:rPr>
          <w:rFonts w:ascii="Times New Roman" w:cs="Times New Roman" w:eastAsia="Times New Roman" w:hAnsi="Times New Roman"/>
          <w:sz w:val="12"/>
          <w:szCs w:val="12"/>
          <w:color w:val="auto"/>
        </w:rPr>
        <w:t>means generally accepted accounting principles in the United States or the International Financial Reporting Standards (IFRS), issued by the International Accounting Standards Board, in either case as in effect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to time.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w:t>
      </w:r>
      <w:r>
        <w:rPr>
          <w:rFonts w:ascii="Times New Roman" w:cs="Times New Roman" w:eastAsia="Times New Roman" w:hAnsi="Times New Roman"/>
          <w:sz w:val="12"/>
          <w:szCs w:val="12"/>
          <w:color w:val="auto"/>
        </w:rPr>
        <w:t>" means, in relation to each Hire Period, the aggregate amount of (A) the Fixed Hire and (B) the Variable Hire for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Payment Date</w:t>
      </w:r>
      <w:r>
        <w:rPr>
          <w:rFonts w:ascii="Times New Roman" w:cs="Times New Roman" w:eastAsia="Times New Roman" w:hAnsi="Times New Roman"/>
          <w:sz w:val="12"/>
          <w:szCs w:val="12"/>
          <w:color w:val="auto"/>
        </w:rPr>
        <w:t>" means in relation to the Hire for each Hire Period, the last day of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Period</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first Hire Period, the period commencing on the MOA Payment Date and ending on the last day of three (3) months of the Actual Delivery Date; and</w:t>
      </w:r>
    </w:p>
    <w:p>
      <w:pPr>
        <w:spacing w:after="0" w:line="150" w:lineRule="exact"/>
        <w:rPr>
          <w:rFonts w:ascii="Times New Roman" w:cs="Times New Roman" w:eastAsia="Times New Roman" w:hAnsi="Times New Roman"/>
          <w:sz w:val="12"/>
          <w:szCs w:val="12"/>
          <w:color w:val="auto"/>
        </w:rPr>
      </w:pPr>
    </w:p>
    <w:p>
      <w:pPr>
        <w:ind w:left="440" w:hanging="425"/>
        <w:spacing w:after="0" w:line="279" w:lineRule="auto"/>
        <w:tabs>
          <w:tab w:leader="none" w:pos="440" w:val="left"/>
        </w:tabs>
        <w:numPr>
          <w:ilvl w:val="0"/>
          <w:numId w:val="2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each and every successive Hire Period, each and every consecutive three (3)-month period during the Charter Period commencing forthwith upon the expiration of the immediately previous Hire Period, provided that the last and final Hire Period shall end on the last day of the Charter Period.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respect of which it is a Subsidiary.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Hong Kong</w:t>
      </w:r>
      <w:r>
        <w:rPr>
          <w:rFonts w:ascii="Times New Roman" w:cs="Times New Roman" w:eastAsia="Times New Roman" w:hAnsi="Times New Roman"/>
          <w:sz w:val="12"/>
          <w:szCs w:val="12"/>
          <w:color w:val="auto"/>
        </w:rPr>
        <w:t>" means the Hong Kong Special Administrative Region of The People's Republic of China.</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IAPPC</w:t>
      </w:r>
      <w:r>
        <w:rPr>
          <w:rFonts w:ascii="Times New Roman" w:cs="Times New Roman" w:eastAsia="Times New Roman" w:hAnsi="Times New Roman"/>
          <w:sz w:val="12"/>
          <w:szCs w:val="12"/>
          <w:color w:val="auto"/>
        </w:rPr>
        <w:t>" means a valid international air pollution prevention certificate for the Vessel issued under Annex VI (Regulations for the Prevention of Air Pollution from Ships) to the International Convention for the Prevention of Pollution from Ships 1973 (as modified in 1978 and 1997).</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Indemnitee</w:t>
      </w:r>
      <w:r>
        <w:rPr>
          <w:rFonts w:ascii="Times New Roman" w:cs="Times New Roman" w:eastAsia="Times New Roman" w:hAnsi="Times New Roman"/>
          <w:sz w:val="12"/>
          <w:szCs w:val="12"/>
          <w:color w:val="auto"/>
        </w:rPr>
        <w:t>" has the meaning given to such term in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Sellers</w:t>
      </w:r>
      <w:r>
        <w:rPr>
          <w:rFonts w:ascii="Times New Roman" w:cs="Times New Roman" w:eastAsia="Times New Roman" w:hAnsi="Times New Roman"/>
          <w:sz w:val="12"/>
          <w:szCs w:val="12"/>
          <w:color w:val="auto"/>
        </w:rPr>
        <w:t>" means Minsheng Zhi Jing (Tianjin) Shipping Leasing Company Limited, a company incorporated and existing under the laws of the People’s Republic of China and having its registered office at Room 202, No.6262, Australia Road, Dongjiang Free Trade Pilot Zone, Tianjin (DJBS Free Trade Zone Branch No. 2514), China.</w:t>
      </w:r>
    </w:p>
    <w:p>
      <w:pPr>
        <w:spacing w:after="0" w:line="10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w:t>
      </w:r>
      <w:r>
        <w:rPr>
          <w:rFonts w:ascii="Times New Roman" w:cs="Times New Roman" w:eastAsia="Times New Roman" w:hAnsi="Times New Roman"/>
          <w:sz w:val="12"/>
          <w:szCs w:val="12"/>
          <w:color w:val="auto"/>
        </w:rPr>
        <w:t>" means the time charterparty dated 15 December 2020 in respect of the Vessel with the Initial Sub-Charterers as charterers, as amened, supplemented and novated from time to time, in particular, pursuant to the Initial Sub-Charter Novation Agreement.</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 Novation Agreement</w:t>
      </w:r>
      <w:r>
        <w:rPr>
          <w:rFonts w:ascii="Times New Roman" w:cs="Times New Roman" w:eastAsia="Times New Roman" w:hAnsi="Times New Roman"/>
          <w:sz w:val="12"/>
          <w:szCs w:val="12"/>
          <w:color w:val="auto"/>
        </w:rPr>
        <w:t>" means the novation agreement dated 29 November 2024 to the Initial Sub-Charter entered into by and between the Initial Sub-Charterers as charterers, the Initial Sellers as original owners and the Charterers as new owners, whereby subject and pursuant to the terms and conditions therein contained, with effect from the time and date of delivery of the Vessel by the Initial Sellers to the Charterers (i.e., 11 December 2024) under a memorandum of agreement dated 29 November 2024, all the rights and obligations of the Initial Sellers (as owners) under the Initial Sub-Charter have been novated to and assumed by the Charterers.</w:t>
      </w:r>
    </w:p>
    <w:p>
      <w:pPr>
        <w:spacing w:after="0" w:line="11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26" w:name="page227"/>
    <w:bookmarkEnd w:id="22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Sub-Charterers</w:t>
      </w:r>
      <w:r>
        <w:rPr>
          <w:rFonts w:ascii="Times New Roman" w:cs="Times New Roman" w:eastAsia="Times New Roman" w:hAnsi="Times New Roman"/>
          <w:sz w:val="12"/>
          <w:szCs w:val="12"/>
          <w:color w:val="auto"/>
        </w:rPr>
        <w:t>" means Hapag-Lloyd Aktiengesellschaft of Ballindamm 25, Hamburg, Germany.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Innocent Owners' Interest Insurances</w:t>
      </w:r>
      <w:r>
        <w:rPr>
          <w:rFonts w:ascii="Times New Roman" w:cs="Times New Roman" w:eastAsia="Times New Roman" w:hAnsi="Times New Roman"/>
          <w:sz w:val="12"/>
          <w:szCs w:val="12"/>
          <w:color w:val="auto"/>
        </w:rPr>
        <w:t>" means all policies and contracts of innocent owners' interest insurance and innocent owners' additional perils insurance from time to time taken out by the Owners in relation to the Vessel.</w:t>
      </w:r>
    </w:p>
    <w:p>
      <w:pPr>
        <w:spacing w:after="0" w:line="103"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all policies and contracts of insurance which are from time to time taken out or entered into by the Charterers in respect of the Vessel or her earnings or otherwise in connection with the Vessel or her earnings.</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"Interest Rate" </w:t>
      </w:r>
      <w:r>
        <w:rPr>
          <w:rFonts w:ascii="Times New Roman" w:cs="Times New Roman" w:eastAsia="Times New Roman" w:hAnsi="Times New Roman"/>
          <w:sz w:val="12"/>
          <w:szCs w:val="12"/>
          <w:color w:val="auto"/>
        </w:rPr>
        <w:t>means the rate of interest applicable for each Hire Period and any other period for which an interest rate is to be determined is the percentage rate per annum which is the aggregate of:</w:t>
      </w:r>
    </w:p>
    <w:p>
      <w:pPr>
        <w:spacing w:after="0" w:line="154" w:lineRule="exact"/>
        <w:rPr>
          <w:sz w:val="20"/>
          <w:szCs w:val="20"/>
          <w:color w:val="auto"/>
        </w:rPr>
      </w:pPr>
    </w:p>
    <w:p>
      <w:pPr>
        <w:ind w:left="385" w:hanging="376"/>
        <w:spacing w:after="0"/>
        <w:tabs>
          <w:tab w:leader="none" w:pos="385"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Reference Rate; and</w:t>
      </w:r>
    </w:p>
    <w:p>
      <w:pPr>
        <w:spacing w:after="0" w:line="150" w:lineRule="exact"/>
        <w:rPr>
          <w:rFonts w:ascii="Times New Roman" w:cs="Times New Roman" w:eastAsia="Times New Roman" w:hAnsi="Times New Roman"/>
          <w:sz w:val="12"/>
          <w:szCs w:val="12"/>
          <w:color w:val="auto"/>
        </w:rPr>
      </w:pPr>
    </w:p>
    <w:p>
      <w:pPr>
        <w:ind w:left="385" w:hanging="376"/>
        <w:spacing w:after="0"/>
        <w:tabs>
          <w:tab w:leader="none" w:pos="385" w:val="left"/>
        </w:tabs>
        <w:numPr>
          <w:ilvl w:val="0"/>
          <w:numId w:val="2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Interpolated Term SOFR</w:t>
      </w:r>
      <w:r>
        <w:rPr>
          <w:rFonts w:ascii="Times New Roman" w:cs="Times New Roman" w:eastAsia="Times New Roman" w:hAnsi="Times New Roman"/>
          <w:sz w:val="12"/>
          <w:szCs w:val="12"/>
          <w:color w:val="auto"/>
        </w:rPr>
        <w:t>" means, in relation to any Outstanding Principal, the rate (rounded to the same number of decimal places as Term SOFR) which results from interpolating on a linear basis between:</w:t>
      </w:r>
    </w:p>
    <w:p>
      <w:pPr>
        <w:spacing w:after="0" w:line="154" w:lineRule="exact"/>
        <w:rPr>
          <w:sz w:val="20"/>
          <w:szCs w:val="20"/>
          <w:color w:val="auto"/>
        </w:rPr>
      </w:pPr>
    </w:p>
    <w:p>
      <w:pPr>
        <w:ind w:left="345" w:hanging="343"/>
        <w:spacing w:after="0"/>
        <w:tabs>
          <w:tab w:leader="none" w:pos="345"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longest period (for which Term SOFR is available) which is less than three (3) months; or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such Term SOFR is available for a period less than three (3) months, SOFR for the day which is three (3) US Government Securities Business Days before the Quotation Day;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shortest period (for which Term SOFR is available) which exceeds three (3) months.</w:t>
      </w:r>
    </w:p>
    <w:p>
      <w:pPr>
        <w:spacing w:after="0" w:line="146"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(including the guidelines on its implementation), adopted by the International Maritime Organisation Assembly as Resolutions A.741 (18) (as amended by MSC 104 (73)) and A.913(22) (superseding Resolution A.788 (19)), as the same may be amended, supplemented or superseded from time to time (and the terms "safety management system", "Safety Management Certificate" and "Document of Compliance" have the same meanings as are given to them in the ISM Code).</w:t>
      </w:r>
    </w:p>
    <w:p>
      <w:pPr>
        <w:spacing w:after="0" w:line="1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"ISPS Code" </w:t>
      </w:r>
      <w:r>
        <w:rPr>
          <w:rFonts w:ascii="Times New Roman" w:cs="Times New Roman" w:eastAsia="Times New Roman" w:hAnsi="Times New Roman"/>
          <w:sz w:val="12"/>
          <w:szCs w:val="12"/>
          <w:color w:val="auto"/>
        </w:rPr>
        <w:t>means the International Ship and Port Facility Security Code adopted by the International Maritime Organisation (as the same may be amended, supplemented or superseded from time to time).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"ISSC" </w:t>
      </w:r>
      <w:r>
        <w:rPr>
          <w:rFonts w:ascii="Times New Roman" w:cs="Times New Roman" w:eastAsia="Times New Roman" w:hAnsi="Times New Roman"/>
          <w:sz w:val="12"/>
          <w:szCs w:val="12"/>
          <w:color w:val="auto"/>
        </w:rPr>
        <w:t>means a valid and current International Ship Security Certificate issued under the ISPS Code.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Opinions</w:t>
      </w:r>
      <w:r>
        <w:rPr>
          <w:rFonts w:ascii="Times New Roman" w:cs="Times New Roman" w:eastAsia="Times New Roman" w:hAnsi="Times New Roman"/>
          <w:sz w:val="12"/>
          <w:szCs w:val="12"/>
          <w:color w:val="auto"/>
        </w:rPr>
        <w:t>" means the legal opinions provided to the Owners under Clause 36.(b)(vi)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right="20" w:hanging="425"/>
        <w:spacing w:after="0" w:line="279" w:lineRule="auto"/>
        <w:tabs>
          <w:tab w:leader="none" w:pos="425"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1"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2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the Legal Opinions.</w:t>
      </w:r>
    </w:p>
    <w:p>
      <w:pPr>
        <w:spacing w:after="0" w:line="150" w:lineRule="exact"/>
        <w:rPr>
          <w:sz w:val="20"/>
          <w:szCs w:val="20"/>
          <w:color w:val="auto"/>
        </w:rPr>
      </w:pPr>
    </w:p>
    <w:p>
      <w:pPr>
        <w:jc w:val="center"/>
        <w:ind w:right="435"/>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227" w:name="page228"/>
    <w:bookmarkEnd w:id="22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"Manager's Undertakings" </w:t>
      </w:r>
      <w:r>
        <w:rPr>
          <w:rFonts w:ascii="Times New Roman" w:cs="Times New Roman" w:eastAsia="Times New Roman" w:hAnsi="Times New Roman"/>
          <w:sz w:val="12"/>
          <w:szCs w:val="12"/>
          <w:color w:val="auto"/>
        </w:rPr>
        <w:t>means the deed of undertaking executed or to be executed by each Approved Manager in favour of the Owners and the Security Trustee in the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two point five per cent. (2.5%) per annum.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the Market Value determined pursuant to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 material adverse effect on:</w:t>
      </w:r>
    </w:p>
    <w:p>
      <w:pPr>
        <w:spacing w:after="0" w:line="154" w:lineRule="exact"/>
        <w:rPr>
          <w:sz w:val="20"/>
          <w:szCs w:val="20"/>
          <w:color w:val="auto"/>
        </w:rPr>
      </w:pPr>
    </w:p>
    <w:p>
      <w:pPr>
        <w:ind w:left="440" w:hanging="436"/>
        <w:spacing w:after="0"/>
        <w:tabs>
          <w:tab w:leader="none" w:pos="44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financial condition of the Charter Group taken as a whole;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Obligor to perform its or his obligations under the Transaction Documents to which it is a party; or</w:t>
      </w:r>
    </w:p>
    <w:p>
      <w:pPr>
        <w:spacing w:after="0" w:line="150" w:lineRule="exact"/>
        <w:rPr>
          <w:rFonts w:ascii="Times New Roman" w:cs="Times New Roman" w:eastAsia="Times New Roman" w:hAnsi="Times New Roman"/>
          <w:sz w:val="12"/>
          <w:szCs w:val="12"/>
          <w:color w:val="auto"/>
        </w:rPr>
      </w:pPr>
    </w:p>
    <w:p>
      <w:pPr>
        <w:ind w:right="640" w:firstLine="4"/>
        <w:spacing w:after="0" w:line="497" w:lineRule="auto"/>
        <w:tabs>
          <w:tab w:leader="none" w:pos="439" w:val="left"/>
        </w:tabs>
        <w:numPr>
          <w:ilvl w:val="0"/>
          <w:numId w:val="2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or ranking of any Security Interest granted pursuant to any of the Transaction Documents or the rights or remedies of the Owners or the Security Trustee under any Transaction Document.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has the meaning given to such term in Clause 34 (</w:t>
      </w:r>
      <w:r>
        <w:rPr>
          <w:rFonts w:ascii="Times New Roman" w:cs="Times New Roman" w:eastAsia="Times New Roman" w:hAnsi="Times New Roman"/>
          <w:sz w:val="12"/>
          <w:szCs w:val="12"/>
          <w:i w:val="1"/>
          <w:iCs w:val="1"/>
          <w:color w:val="auto"/>
        </w:rPr>
        <w:t>Background</w:t>
      </w:r>
      <w:r>
        <w:rPr>
          <w:rFonts w:ascii="Times New Roman" w:cs="Times New Roman" w:eastAsia="Times New Roman" w:hAnsi="Times New Roman"/>
          <w:sz w:val="12"/>
          <w:szCs w:val="12"/>
          <w:color w:val="auto"/>
        </w:rPr>
        <w:t>).</w:t>
      </w:r>
    </w:p>
    <w:p>
      <w:pPr>
        <w:ind w:right="80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MOA Payment Date</w:t>
      </w:r>
      <w:r>
        <w:rPr>
          <w:rFonts w:ascii="Times New Roman" w:cs="Times New Roman" w:eastAsia="Times New Roman" w:hAnsi="Times New Roman"/>
          <w:sz w:val="12"/>
          <w:szCs w:val="12"/>
          <w:color w:val="auto"/>
        </w:rPr>
        <w:t>" means the date on which the Owners remit the MOA Purchase Price to the client account of the Escrow Agent (as defined in the MOA) pursuant to Clause 3.2 (</w:t>
      </w:r>
      <w:r>
        <w:rPr>
          <w:rFonts w:ascii="Times New Roman" w:cs="Times New Roman" w:eastAsia="Times New Roman" w:hAnsi="Times New Roman"/>
          <w:sz w:val="12"/>
          <w:szCs w:val="12"/>
          <w:i w:val="1"/>
          <w:iCs w:val="1"/>
          <w:color w:val="auto"/>
        </w:rPr>
        <w:t>Preposition</w:t>
      </w:r>
      <w:r>
        <w:rPr>
          <w:rFonts w:ascii="Times New Roman" w:cs="Times New Roman" w:eastAsia="Times New Roman" w:hAnsi="Times New Roman"/>
          <w:sz w:val="12"/>
          <w:szCs w:val="12"/>
          <w:color w:val="auto"/>
        </w:rPr>
        <w:t>) of the MOA. "</w:t>
      </w:r>
      <w:r>
        <w:rPr>
          <w:rFonts w:ascii="Times New Roman" w:cs="Times New Roman" w:eastAsia="Times New Roman" w:hAnsi="Times New Roman"/>
          <w:sz w:val="12"/>
          <w:szCs w:val="12"/>
          <w:b w:val="1"/>
          <w:bCs w:val="1"/>
          <w:color w:val="auto"/>
        </w:rPr>
        <w:t>MOA Purchase Price</w:t>
      </w:r>
      <w:r>
        <w:rPr>
          <w:rFonts w:ascii="Times New Roman" w:cs="Times New Roman" w:eastAsia="Times New Roman" w:hAnsi="Times New Roman"/>
          <w:sz w:val="12"/>
          <w:szCs w:val="12"/>
          <w:color w:val="auto"/>
        </w:rPr>
        <w:t>" means the purchase price as stated in clause 1 (</w:t>
      </w:r>
      <w:r>
        <w:rPr>
          <w:rFonts w:ascii="Times New Roman" w:cs="Times New Roman" w:eastAsia="Times New Roman" w:hAnsi="Times New Roman"/>
          <w:sz w:val="12"/>
          <w:szCs w:val="12"/>
          <w:i w:val="1"/>
          <w:iCs w:val="1"/>
          <w:color w:val="auto"/>
        </w:rPr>
        <w:t>Purchase price</w:t>
      </w:r>
      <w:r>
        <w:rPr>
          <w:rFonts w:ascii="Times New Roman" w:cs="Times New Roman" w:eastAsia="Times New Roman" w:hAnsi="Times New Roman"/>
          <w:sz w:val="12"/>
          <w:szCs w:val="12"/>
          <w:color w:val="auto"/>
        </w:rPr>
        <w:t>) of the MOA, being US$44,500,000 (Dollars Forty Four Million Five Hundred Thousand Only).</w:t>
      </w:r>
    </w:p>
    <w:p>
      <w:pPr>
        <w:spacing w:after="0" w:line="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period starting on one day in a calendar month and ending on the numerically corresponding day in the next calendar month, except that if there is no numerically corresponding day in the calendar month in which that period is to end, that period shall end on the last day in that calendar month.</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Mortgagees' Interest Insurances</w:t>
      </w:r>
      <w:r>
        <w:rPr>
          <w:rFonts w:ascii="Times New Roman" w:cs="Times New Roman" w:eastAsia="Times New Roman" w:hAnsi="Times New Roman"/>
          <w:sz w:val="12"/>
          <w:szCs w:val="12"/>
          <w:color w:val="auto"/>
        </w:rPr>
        <w:t>" means all policies and contracts of mortgagees' interest insurance, mortgagees’ additional perils insurance taken out by any Finance Party in relation to the Vessel.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Obligors</w:t>
      </w:r>
      <w:r>
        <w:rPr>
          <w:rFonts w:ascii="Times New Roman" w:cs="Times New Roman" w:eastAsia="Times New Roman" w:hAnsi="Times New Roman"/>
          <w:sz w:val="12"/>
          <w:szCs w:val="12"/>
          <w:color w:val="auto"/>
        </w:rPr>
        <w:t>" means the Charterers, the Charter Guarantor and the Related Charterers.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Principal</w:t>
      </w:r>
      <w:r>
        <w:rPr>
          <w:rFonts w:ascii="Times New Roman" w:cs="Times New Roman" w:eastAsia="Times New Roman" w:hAnsi="Times New Roman"/>
          <w:sz w:val="12"/>
          <w:szCs w:val="12"/>
          <w:color w:val="auto"/>
        </w:rPr>
        <w:t>" means an amount equal to the MOA Purchase Price, being US$44,500,000 (Dollars Forty Four Million Five Hundred Thousand Only).</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Outstanding Principal</w:t>
      </w:r>
      <w:r>
        <w:rPr>
          <w:rFonts w:ascii="Times New Roman" w:cs="Times New Roman" w:eastAsia="Times New Roman" w:hAnsi="Times New Roman"/>
          <w:sz w:val="12"/>
          <w:szCs w:val="12"/>
          <w:color w:val="auto"/>
        </w:rPr>
        <w:t>" means, at any relevant time during the Agreement Term, an amount equal to the Original Principal as may be reduced by payment of Fixed Hire in accordance with Clause 40(a)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and prepayment of the Purchase Obligation Price in accordance with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 Account</w:t>
      </w:r>
      <w:r>
        <w:rPr>
          <w:rFonts w:ascii="Times New Roman" w:cs="Times New Roman" w:eastAsia="Times New Roman" w:hAnsi="Times New Roman"/>
          <w:sz w:val="12"/>
          <w:szCs w:val="12"/>
          <w:color w:val="auto"/>
        </w:rPr>
        <w:t>" means, subject to Clause 40(d) (</w:t>
      </w:r>
      <w:r>
        <w:rPr>
          <w:rFonts w:ascii="Times New Roman" w:cs="Times New Roman" w:eastAsia="Times New Roman" w:hAnsi="Times New Roman"/>
          <w:sz w:val="12"/>
          <w:szCs w:val="12"/>
          <w:i w:val="1"/>
          <w:iCs w:val="1"/>
          <w:color w:val="auto"/>
        </w:rPr>
        <w:t>Payment account information</w:t>
      </w:r>
      <w:r>
        <w:rPr>
          <w:rFonts w:ascii="Times New Roman" w:cs="Times New Roman" w:eastAsia="Times New Roman" w:hAnsi="Times New Roman"/>
          <w:sz w:val="12"/>
          <w:szCs w:val="12"/>
          <w:color w:val="auto"/>
        </w:rPr>
        <w:t>), the Owner’s bank account described in Box 26 (</w:t>
      </w:r>
      <w:r>
        <w:rPr>
          <w:rFonts w:ascii="Times New Roman" w:cs="Times New Roman" w:eastAsia="Times New Roman" w:hAnsi="Times New Roman"/>
          <w:sz w:val="12"/>
          <w:szCs w:val="12"/>
          <w:i w:val="1"/>
          <w:iCs w:val="1"/>
          <w:color w:val="auto"/>
        </w:rPr>
        <w:t>Place of payment; also state beneficiary and bank account</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each of the Owners and the Charterers.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"Perfection Requirements" </w:t>
      </w:r>
      <w:r>
        <w:rPr>
          <w:rFonts w:ascii="Times New Roman" w:cs="Times New Roman" w:eastAsia="Times New Roman" w:hAnsi="Times New Roman"/>
          <w:sz w:val="12"/>
          <w:szCs w:val="12"/>
          <w:color w:val="auto"/>
        </w:rPr>
        <w:t>means any authorisation, consent, approval, resolution, licence, exemption, filing, notarisation, lodgement or registration for the relevant Transaction Documents set out as perfection requirements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(howsoever described) for such Transaction Documents in any legal opinion referred to under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28" w:name="page229"/>
    <w:bookmarkEnd w:id="228"/>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Protocol of 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pursuant to any Finance Document or otherwise created with the prior written consent of the Owners;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unpaid master's, officer's and crew's wages in accordance with usual maritime practice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salvage;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master's disbursements incurred in the ordinary course of trading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(i) by operation of law or (ii) otherwise in the ordinary course of operation, repair or maintenance of the Vessel and not as a result of any default or omission of any Obligor not exceeding an aggregate amount of US$1,500,000 (Dollars One Million Five Hundred Thousand); or</w:t>
      </w:r>
    </w:p>
    <w:p>
      <w:pPr>
        <w:spacing w:after="0" w:line="111"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2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in favour of a plaintiff or defendant in any action of the court or tribunal before whom such action is brought as security for costs and expenses where the Owners are prosecuting or defending such action in good faith by appropriate steps.</w:t>
      </w:r>
    </w:p>
    <w:p>
      <w:pPr>
        <w:spacing w:after="0" w:line="107"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Termination Event</w:t>
      </w:r>
      <w:r>
        <w:rPr>
          <w:rFonts w:ascii="Times New Roman" w:cs="Times New Roman" w:eastAsia="Times New Roman" w:hAnsi="Times New Roman"/>
          <w:sz w:val="12"/>
          <w:szCs w:val="12"/>
          <w:color w:val="auto"/>
        </w:rPr>
        <w:t>" means, an event or circumstance specified in Clause 49 (</w:t>
      </w:r>
      <w:r>
        <w:rPr>
          <w:rFonts w:ascii="Times New Roman" w:cs="Times New Roman" w:eastAsia="Times New Roman" w:hAnsi="Times New Roman"/>
          <w:sz w:val="12"/>
          <w:szCs w:val="12"/>
          <w:i w:val="1"/>
          <w:iCs w:val="1"/>
          <w:color w:val="auto"/>
        </w:rPr>
        <w:t>Termination Event</w:t>
      </w:r>
      <w:r>
        <w:rPr>
          <w:rFonts w:ascii="Times New Roman" w:cs="Times New Roman" w:eastAsia="Times New Roman" w:hAnsi="Times New Roman"/>
          <w:sz w:val="12"/>
          <w:szCs w:val="12"/>
          <w:color w:val="auto"/>
        </w:rPr>
        <w:t>) which would, with the expiry of any applicable grace period, the giving of any notice, the lapse of time, a determination under the Transaction Documents or any combination of the foregoing, be a Termination Event.</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PRC</w:t>
      </w:r>
      <w:r>
        <w:rPr>
          <w:rFonts w:ascii="Times New Roman" w:cs="Times New Roman" w:eastAsia="Times New Roman" w:hAnsi="Times New Roman"/>
          <w:sz w:val="12"/>
          <w:szCs w:val="12"/>
          <w:color w:val="auto"/>
        </w:rPr>
        <w:t>" means the People's Republic of China.</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Obligation Price</w:t>
      </w:r>
      <w:r>
        <w:rPr>
          <w:rFonts w:ascii="Times New Roman" w:cs="Times New Roman" w:eastAsia="Times New Roman" w:hAnsi="Times New Roman"/>
          <w:sz w:val="12"/>
          <w:szCs w:val="12"/>
          <w:color w:val="auto"/>
        </w:rPr>
        <w:t>" means the amount due and payable by the Charterers to the Owners pursuant to paragraph (c)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an amount of US$10,000,000 (Dollars Ten Million only).</w:t>
      </w:r>
    </w:p>
    <w:p>
      <w:pPr>
        <w:spacing w:after="0" w:line="150" w:lineRule="exact"/>
        <w:rPr>
          <w:sz w:val="20"/>
          <w:szCs w:val="20"/>
          <w:color w:val="auto"/>
        </w:rPr>
      </w:pPr>
    </w:p>
    <w:p>
      <w:pPr>
        <w:ind w:left="20" w:right="20"/>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Date</w:t>
      </w:r>
      <w:r>
        <w:rPr>
          <w:rFonts w:ascii="Times New Roman" w:cs="Times New Roman" w:eastAsia="Times New Roman" w:hAnsi="Times New Roman"/>
          <w:sz w:val="12"/>
          <w:szCs w:val="12"/>
          <w:color w:val="auto"/>
        </w:rPr>
        <w:t>" means any Hire Payment Date as specified in the Purchase Option Notice served in accordance with paragraph (a)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which shall be a Business Day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 has the meaning given to such term in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Fee</w:t>
      </w:r>
      <w:r>
        <w:rPr>
          <w:rFonts w:ascii="Times New Roman" w:cs="Times New Roman" w:eastAsia="Times New Roman" w:hAnsi="Times New Roman"/>
          <w:sz w:val="12"/>
          <w:szCs w:val="12"/>
          <w:color w:val="auto"/>
        </w:rPr>
        <w:t>" means an amount equal to five per cent. (5%) of the Outstanding Principal as at the Purchase Option Date.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Price</w:t>
      </w:r>
      <w:r>
        <w:rPr>
          <w:rFonts w:ascii="Times New Roman" w:cs="Times New Roman" w:eastAsia="Times New Roman" w:hAnsi="Times New Roman"/>
          <w:sz w:val="12"/>
          <w:szCs w:val="12"/>
          <w:color w:val="auto"/>
        </w:rPr>
        <w:t>" means the amount due and payable by the Charterers to the Owners pursuant to paragraph (b)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the aggregate of:</w:t>
      </w:r>
    </w:p>
    <w:p>
      <w:pPr>
        <w:spacing w:after="0" w:line="154" w:lineRule="exact"/>
        <w:rPr>
          <w:sz w:val="20"/>
          <w:szCs w:val="20"/>
          <w:color w:val="auto"/>
        </w:rPr>
      </w:pPr>
    </w:p>
    <w:p>
      <w:pPr>
        <w:ind w:left="440" w:hanging="416"/>
        <w:spacing w:after="0"/>
        <w:tabs>
          <w:tab w:leader="none" w:pos="440"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Purchase Option Date;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Purchase Option Fee;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the Purchase Option Date (inclusive); and</w:t>
      </w:r>
    </w:p>
    <w:p>
      <w:pPr>
        <w:spacing w:after="0" w:line="148" w:lineRule="exact"/>
        <w:rPr>
          <w:rFonts w:ascii="Times New Roman" w:cs="Times New Roman" w:eastAsia="Times New Roman" w:hAnsi="Times New Roman"/>
          <w:sz w:val="12"/>
          <w:szCs w:val="12"/>
          <w:color w:val="auto"/>
        </w:rPr>
      </w:pPr>
    </w:p>
    <w:p>
      <w:pPr>
        <w:ind w:left="5200" w:right="220" w:hanging="5176"/>
        <w:spacing w:after="0" w:line="533" w:lineRule="auto"/>
        <w:tabs>
          <w:tab w:leader="none" w:pos="435" w:val="left"/>
        </w:tabs>
        <w:numPr>
          <w:ilvl w:val="0"/>
          <w:numId w:val="2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legal costs and expenses and other reasonable documented costs and expenses incurred by the Owners relating to exercise by the Charterers of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-106045</wp:posOffset>
            </wp:positionV>
            <wp:extent cx="7178040"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29" w:name="page230"/>
    <w:bookmarkEnd w:id="22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3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Quotation Day</w:t>
      </w:r>
      <w:r>
        <w:rPr>
          <w:rFonts w:ascii="Times New Roman" w:cs="Times New Roman" w:eastAsia="Times New Roman" w:hAnsi="Times New Roman"/>
          <w:sz w:val="12"/>
          <w:szCs w:val="12"/>
          <w:color w:val="auto"/>
        </w:rPr>
        <w:t>" means, in relation to any Hire Period and any other period for which an interest rate is to be determined, three (3) US Government Securities Business Days before the first day of that Hire Period (as the case may be) (unless the Owners, in their reasonable opinion, consider market practice differs in the relevant syndicated loan market, in which case the Quotation Day will be determined by the Owners in accordance with that market practice).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Rate</w:t>
      </w:r>
      <w:r>
        <w:rPr>
          <w:rFonts w:ascii="Times New Roman" w:cs="Times New Roman" w:eastAsia="Times New Roman" w:hAnsi="Times New Roman"/>
          <w:sz w:val="12"/>
          <w:szCs w:val="12"/>
          <w:color w:val="auto"/>
        </w:rPr>
        <w:t>" means, in relation to any Outstanding Principal:</w:t>
      </w:r>
    </w:p>
    <w:p>
      <w:pPr>
        <w:spacing w:after="0" w:line="154" w:lineRule="exact"/>
        <w:rPr>
          <w:sz w:val="20"/>
          <w:szCs w:val="20"/>
          <w:color w:val="auto"/>
        </w:rPr>
      </w:pPr>
    </w:p>
    <w:p>
      <w:pPr>
        <w:ind w:left="440" w:hanging="425"/>
        <w:spacing w:after="0"/>
        <w:tabs>
          <w:tab w:leader="none" w:pos="440"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a period of three (3) months; or</w:t>
      </w:r>
    </w:p>
    <w:p>
      <w:pPr>
        <w:spacing w:after="0" w:line="14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2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otherwise determined pursuant to Clause 40(l)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if, in either case, that rate is less than zero, the Reference Rate shall be deemed to be zero.</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Costs</w:t>
      </w:r>
      <w:r>
        <w:rPr>
          <w:rFonts w:ascii="Times New Roman" w:cs="Times New Roman" w:eastAsia="Times New Roman" w:hAnsi="Times New Roman"/>
          <w:sz w:val="12"/>
          <w:szCs w:val="12"/>
          <w:color w:val="auto"/>
        </w:rPr>
        <w:t>" means any documented costs and expenses (including fees and taxes) in respect of:</w:t>
      </w:r>
    </w:p>
    <w:p>
      <w:pPr>
        <w:spacing w:after="0" w:line="154" w:lineRule="exact"/>
        <w:rPr>
          <w:sz w:val="20"/>
          <w:szCs w:val="20"/>
          <w:color w:val="auto"/>
        </w:rPr>
      </w:pPr>
    </w:p>
    <w:p>
      <w:pPr>
        <w:ind w:left="440" w:hanging="434"/>
        <w:spacing w:after="0"/>
        <w:tabs>
          <w:tab w:leader="none" w:pos="44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(or, as the case may be, any re-registration) of title to the Vessel in the Owners’ name;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of the Owners as a foreign maritime entity (or similar) under the laws of the flag state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financing charter recordation in respect of this Charter with the shipping registry or other competent authority of the flag state or other relevant jurisdiction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registration in the name of the Charterers with the shipping registry or other competent authority of the flag state or other relevant jurisdiction (if applicable);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of any of the aforementioned registrations and recordation on the Actual Delivery Date and for the duration of the Charter Period,</w:t>
      </w:r>
    </w:p>
    <w:p>
      <w:pPr>
        <w:spacing w:after="0" w:line="15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and without prejudice to the generality of the foregoing, the Registration Costs shall include all documented costs and expenses (including, not limited to, notarisation and legalisation or apostille cost and reasonable legal fees) incurred by the Owners in preparing and provision of instruments and documents required for effecting, maintaining and perfecting the aforesaid registration and recordation and all fees and charges and tonnage tax charged by the relevant ship registry or other authorities.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an Obligor:</w:t>
      </w:r>
    </w:p>
    <w:p>
      <w:pPr>
        <w:spacing w:after="0" w:line="154" w:lineRule="exact"/>
        <w:rPr>
          <w:sz w:val="20"/>
          <w:szCs w:val="20"/>
          <w:color w:val="auto"/>
        </w:rPr>
      </w:pPr>
    </w:p>
    <w:p>
      <w:pPr>
        <w:ind w:left="440" w:hanging="434"/>
        <w:spacing w:after="0"/>
        <w:tabs>
          <w:tab w:leader="none" w:pos="440"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jurisdiction of incorporation or formation (as the case may be);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subject to or intended to be subject to a Security Document to be executed by it is situated;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principally conducts its business;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30" w:name="page231"/>
    <w:bookmarkEnd w:id="23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25"/>
        <w:spacing w:after="0" w:line="283" w:lineRule="auto"/>
        <w:tabs>
          <w:tab w:leader="none" w:pos="440"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bareboat charter party entered into or to be entered into the same day as this Charter or at any time after the date hereof, the details of which are listed in </w:t>
      </w:r>
      <w:r>
        <w:rPr>
          <w:rFonts w:ascii="Times New Roman" w:cs="Times New Roman" w:eastAsia="Times New Roman" w:hAnsi="Times New Roman"/>
          <w:sz w:val="12"/>
          <w:szCs w:val="12"/>
          <w:u w:val="single" w:color="auto"/>
          <w:color w:val="auto"/>
        </w:rPr>
        <w:t>Schedule 3</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i w:val="1"/>
          <w:iCs w:val="1"/>
          <w:color w:val="auto"/>
        </w:rPr>
        <w:t>Related Charter and 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information</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2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party of any ship which may be entered into from time to time between the Owners or any Affiliate of the Owners (as owners) and a member of the Charter Group (as charterers).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means the charterers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means the owners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Transaction Document</w:t>
      </w:r>
      <w:r>
        <w:rPr>
          <w:rFonts w:ascii="Times New Roman" w:cs="Times New Roman" w:eastAsia="Times New Roman" w:hAnsi="Times New Roman"/>
          <w:sz w:val="12"/>
          <w:szCs w:val="12"/>
          <w:color w:val="auto"/>
        </w:rPr>
        <w:t>" means any "Transaction Document" as defined in each Related Charter.</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means all compensation or other money which may from time to time be payable to the Charterers as a result of the Vessel being requisitioned for title or in any other way compulsorily acquired (other than by way of requisition for hire).</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Countries</w:t>
      </w:r>
      <w:r>
        <w:rPr>
          <w:rFonts w:ascii="Times New Roman" w:cs="Times New Roman" w:eastAsia="Times New Roman" w:hAnsi="Times New Roman"/>
          <w:sz w:val="12"/>
          <w:szCs w:val="12"/>
          <w:color w:val="auto"/>
        </w:rPr>
        <w:t>" means those countries subject to country-wide or territory-wide Sanctions and/or trade embargoes, in particular but not limited to pursuant to the U.S.'s Office of Foreign Asset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at the date of this Charter, Cuba, Crimea, Iran, North Korea and Syria and any additional countries based on respective country-wide or territory-wide Sanctions being imposed by OFAC or any of the regulative bodies referred to in the definition of Restricted Person.</w:t>
      </w:r>
    </w:p>
    <w:p>
      <w:pPr>
        <w:spacing w:after="0" w:line="11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Person</w:t>
      </w:r>
      <w:r>
        <w:rPr>
          <w:rFonts w:ascii="Times New Roman" w:cs="Times New Roman" w:eastAsia="Times New Roman" w:hAnsi="Times New Roman"/>
          <w:sz w:val="12"/>
          <w:szCs w:val="12"/>
          <w:color w:val="auto"/>
        </w:rPr>
        <w:t>" means a person or entity that is (a) listed on, or owned or controlled by a person listed on, or acting on behalf of a person listed on, any Sanctions List; (b) a national of, incorporated under the laws of, or owned 50% or more or (directly or indirectly) controlled by, or acting on behalf of, a person organised under the laws of a country or territory that is a Restricted Country; or (c) otherwise a target of Sanctions ("</w:t>
      </w:r>
      <w:r>
        <w:rPr>
          <w:rFonts w:ascii="Times New Roman" w:cs="Times New Roman" w:eastAsia="Times New Roman" w:hAnsi="Times New Roman"/>
          <w:sz w:val="12"/>
          <w:szCs w:val="12"/>
          <w:b w:val="1"/>
          <w:bCs w:val="1"/>
          <w:color w:val="auto"/>
        </w:rPr>
        <w:t>target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signifying a person with whom a US person or other national of Sanctions Authority would be prohibited or restricted by law from engaging in trade, business or other activities); provided that provided that,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case of a person or entity that is targeted only by "sectoral sanctions," or other Sanctions that do not generally prohibit transactions with such person, such person or entity shall be a Restricted Person with respect to a transaction only to the extent that a Party or any other person or entity organised or resident in the jurisdiction of a Sanctions Authority would be prohibited by the law of any such applicable jurisdiction from entering into, directly or indirectly, such transaction with such person.</w:t>
      </w:r>
    </w:p>
    <w:p>
      <w:pPr>
        <w:spacing w:after="0" w:line="121"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the sanctions, embargoes, freezing provisions, prohibitions or other restrictions relating to trading, doing business, investment, exporting, financing or making assets available (or other activities similar to or connected with any of the foregoing):</w:t>
      </w:r>
    </w:p>
    <w:p>
      <w:pPr>
        <w:spacing w:after="0" w:line="107" w:lineRule="exact"/>
        <w:rPr>
          <w:sz w:val="20"/>
          <w:szCs w:val="20"/>
          <w:color w:val="auto"/>
        </w:rPr>
      </w:pPr>
    </w:p>
    <w:p>
      <w:pPr>
        <w:jc w:val="both"/>
        <w:ind w:left="440" w:hanging="434"/>
        <w:spacing w:after="0" w:line="265" w:lineRule="auto"/>
        <w:tabs>
          <w:tab w:leader="none" w:pos="440"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imposed by law or regulation of (i) the United States government; (ii) the United Nations; (iii) the European Union; (iv) the People's Republic of China; (v) the United Kingdom; or (vi) the United Nations Security Council, the Office of Foreign Assets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the United States Department of State, the Council of the European Union, the European Commission, and His Majesty's Treasury ("</w:t>
      </w:r>
      <w:r>
        <w:rPr>
          <w:rFonts w:ascii="Times New Roman" w:cs="Times New Roman" w:eastAsia="Times New Roman" w:hAnsi="Times New Roman"/>
          <w:sz w:val="12"/>
          <w:szCs w:val="12"/>
          <w:b w:val="1"/>
          <w:bCs w:val="1"/>
          <w:color w:val="auto"/>
        </w:rPr>
        <w:t>HMT</w:t>
      </w:r>
      <w:r>
        <w:rPr>
          <w:rFonts w:ascii="Times New Roman" w:cs="Times New Roman" w:eastAsia="Times New Roman" w:hAnsi="Times New Roman"/>
          <w:sz w:val="12"/>
          <w:szCs w:val="12"/>
          <w:color w:val="auto"/>
        </w:rPr>
        <w:t>") (together, the "</w:t>
      </w:r>
      <w:r>
        <w:rPr>
          <w:rFonts w:ascii="Times New Roman" w:cs="Times New Roman" w:eastAsia="Times New Roman" w:hAnsi="Times New Roman"/>
          <w:sz w:val="12"/>
          <w:szCs w:val="12"/>
          <w:b w:val="1"/>
          <w:bCs w:val="1"/>
          <w:color w:val="auto"/>
        </w:rPr>
        <w:t>Sanctions Authorities</w:t>
      </w:r>
      <w:r>
        <w:rPr>
          <w:rFonts w:ascii="Times New Roman" w:cs="Times New Roman" w:eastAsia="Times New Roman" w:hAnsi="Times New Roman"/>
          <w:sz w:val="12"/>
          <w:szCs w:val="12"/>
          <w:color w:val="auto"/>
        </w:rPr>
        <w:t>"); or</w:t>
      </w:r>
    </w:p>
    <w:p>
      <w:pPr>
        <w:spacing w:after="0" w:line="118" w:lineRule="exact"/>
        <w:rPr>
          <w:rFonts w:ascii="Times New Roman" w:cs="Times New Roman" w:eastAsia="Times New Roman" w:hAnsi="Times New Roman"/>
          <w:sz w:val="12"/>
          <w:szCs w:val="12"/>
          <w:color w:val="auto"/>
        </w:rPr>
      </w:pPr>
    </w:p>
    <w:p>
      <w:pPr>
        <w:ind w:left="440" w:right="20" w:hanging="425"/>
        <w:spacing w:after="0" w:line="279" w:lineRule="auto"/>
        <w:tabs>
          <w:tab w:leader="none" w:pos="440" w:val="left"/>
        </w:tabs>
        <w:numPr>
          <w:ilvl w:val="0"/>
          <w:numId w:val="2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imposed by any law or regulation by which any Obligor is bound (which shall include without limitation, any extra-territorial sanctions imposed by law or regulation of the United States of America) or as regards a regulation, compliance with which is reasonable in the ordinary course of business of any Obligor,</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against any state, natural or legal person, body or entity.</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"Sanctions List" </w:t>
      </w:r>
      <w:r>
        <w:rPr>
          <w:rFonts w:ascii="Times New Roman" w:cs="Times New Roman" w:eastAsia="Times New Roman" w:hAnsi="Times New Roman"/>
          <w:sz w:val="12"/>
          <w:szCs w:val="12"/>
          <w:color w:val="auto"/>
        </w:rPr>
        <w:t>means the "Specially Designated Nationals and Blocked Persons" list maintained by the OFAC, the Consolidated List of Financial Sanctions Targets and the Investment Ban List maintained by HMT,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list maintained by, or public announcement of Sanctions designation made by, any of the Sanctions Authorities.</w:t>
      </w:r>
    </w:p>
    <w:p>
      <w:pPr>
        <w:spacing w:after="0" w:line="10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31" w:name="page232"/>
    <w:bookmarkEnd w:id="23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Documents</w:t>
      </w:r>
      <w:r>
        <w:rPr>
          <w:rFonts w:ascii="Times New Roman" w:cs="Times New Roman" w:eastAsia="Times New Roman" w:hAnsi="Times New Roman"/>
          <w:sz w:val="12"/>
          <w:szCs w:val="12"/>
          <w:color w:val="auto"/>
        </w:rPr>
        <w:t>" means, in relation to the Vessel, the following:</w:t>
      </w:r>
    </w:p>
    <w:p>
      <w:pPr>
        <w:spacing w:after="0" w:line="154" w:lineRule="exact"/>
        <w:rPr>
          <w:sz w:val="20"/>
          <w:szCs w:val="20"/>
          <w:color w:val="auto"/>
        </w:rPr>
      </w:pPr>
    </w:p>
    <w:p>
      <w:pPr>
        <w:ind w:left="440" w:hanging="425"/>
        <w:spacing w:after="0"/>
        <w:tabs>
          <w:tab w:leader="none" w:pos="440"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Account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Assignment;</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 under any Related Charter; and</w:t>
      </w:r>
    </w:p>
    <w:p>
      <w:pPr>
        <w:spacing w:after="0" w:line="78" w:lineRule="exact"/>
        <w:rPr>
          <w:rFonts w:ascii="Times New Roman" w:cs="Times New Roman" w:eastAsia="Times New Roman" w:hAnsi="Times New Roman"/>
          <w:sz w:val="12"/>
          <w:szCs w:val="12"/>
          <w:color w:val="auto"/>
        </w:rPr>
      </w:pPr>
    </w:p>
    <w:p>
      <w:pPr>
        <w:ind w:left="20" w:right="6380" w:hanging="5"/>
        <w:spacing w:after="0" w:line="405" w:lineRule="auto"/>
        <w:tabs>
          <w:tab w:leader="none" w:pos="443" w:val="left"/>
        </w:tabs>
        <w:numPr>
          <w:ilvl w:val="0"/>
          <w:numId w:val="2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designated by the Owners and the Charterers as a Security Document; and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 any one of them.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Interest</w:t>
      </w:r>
      <w:r>
        <w:rPr>
          <w:rFonts w:ascii="Times New Roman" w:cs="Times New Roman" w:eastAsia="Times New Roman" w:hAnsi="Times New Roman"/>
          <w:sz w:val="12"/>
          <w:szCs w:val="12"/>
          <w:color w:val="auto"/>
        </w:rPr>
        <w:t>" means a mortgage, charge (whether fixed or floating), pledge, lien, hypothecation, assignment, trust arrangement, title retention or other security interest or arrangement of any kind whatsoever.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 Deed</w:t>
      </w:r>
      <w:r>
        <w:rPr>
          <w:rFonts w:ascii="Times New Roman" w:cs="Times New Roman" w:eastAsia="Times New Roman" w:hAnsi="Times New Roman"/>
          <w:sz w:val="12"/>
          <w:szCs w:val="12"/>
          <w:color w:val="auto"/>
        </w:rPr>
        <w:t>" means the deed executed or to be executed by (amongst others) the Security Trustee, the Owners, the Related Owners, the Charterers, the Related Charterers and the Charter Guarantor.</w:t>
      </w:r>
    </w:p>
    <w:p>
      <w:pPr>
        <w:spacing w:after="0" w:line="15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means OCEAN RAINBOW SHIPPING LIMITED, a company incorporated and existing under the laws of Hong Kong with Business Registration Number 62836611 and having its registered office at Units 904-907, 9/F Dah Sing Financial Centre, 248 Queen's Road East, Wanchai, Hong Kong, China.</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Settlement Date</w:t>
      </w:r>
      <w:r>
        <w:rPr>
          <w:rFonts w:ascii="Times New Roman" w:cs="Times New Roman" w:eastAsia="Times New Roman" w:hAnsi="Times New Roman"/>
          <w:sz w:val="12"/>
          <w:szCs w:val="12"/>
          <w:color w:val="auto"/>
        </w:rPr>
        <w:t>" means, following a Total Loss of the Vessel, the earliest of:</w:t>
      </w:r>
    </w:p>
    <w:p>
      <w:pPr>
        <w:spacing w:after="0" w:line="154" w:lineRule="exact"/>
        <w:rPr>
          <w:sz w:val="20"/>
          <w:szCs w:val="20"/>
          <w:color w:val="auto"/>
        </w:rPr>
      </w:pPr>
    </w:p>
    <w:p>
      <w:pPr>
        <w:ind w:left="440" w:hanging="416"/>
        <w:spacing w:after="0"/>
        <w:tabs>
          <w:tab w:leader="none" w:pos="440"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which falls One Hundred (100) days after the date of occurrence of the Total Loss or, if such date is not a Business Day, the immediately preceding Business Day;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Owners receive the Total Loss Proceeds in respect of the Total Loss;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2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expiry date of the Charter Period.</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 Security</w:t>
      </w:r>
      <w:r>
        <w:rPr>
          <w:rFonts w:ascii="Times New Roman" w:cs="Times New Roman" w:eastAsia="Times New Roman" w:hAnsi="Times New Roman"/>
          <w:sz w:val="12"/>
          <w:szCs w:val="12"/>
          <w:color w:val="auto"/>
        </w:rPr>
        <w:t>" means the deed of charge or pledge over all the limited liability company interests in the Charterers executed or (as the case may be) to be executed by the Charter Guarantor as chargor in favour of the Security Trustee.</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Management Agreement</w:t>
      </w:r>
      <w:r>
        <w:rPr>
          <w:rFonts w:ascii="Times New Roman" w:cs="Times New Roman" w:eastAsia="Times New Roman" w:hAnsi="Times New Roman"/>
          <w:sz w:val="12"/>
          <w:szCs w:val="12"/>
          <w:color w:val="auto"/>
        </w:rPr>
        <w:t>" means any agreement made or to be made between the Charterers and any Approved Manager in respect of the technical and/or commercial management of the Vessel on such terms and conditions reasonably acceptable to the Owner.</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w:t>
      </w:r>
      <w:r>
        <w:rPr>
          <w:rFonts w:ascii="Times New Roman" w:cs="Times New Roman" w:eastAsia="Times New Roman" w:hAnsi="Times New Roman"/>
          <w:sz w:val="12"/>
          <w:szCs w:val="12"/>
          <w:color w:val="auto"/>
        </w:rPr>
        <w:t>" means, any charterparty in respect of the Vessel entered into by the Charterers (as disponent owners) for the employment of the Vessel.</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Sub-Charterers</w:t>
      </w:r>
      <w:r>
        <w:rPr>
          <w:rFonts w:ascii="Times New Roman" w:cs="Times New Roman" w:eastAsia="Times New Roman" w:hAnsi="Times New Roman"/>
          <w:sz w:val="12"/>
          <w:szCs w:val="12"/>
          <w:color w:val="auto"/>
        </w:rPr>
        <w:t>" means, in respect of the Vessel, any sub-charterers which are or will be parties to a Sub-Charter.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in relation to any company or corporation, a company or corporation:</w:t>
      </w:r>
    </w:p>
    <w:p>
      <w:pPr>
        <w:spacing w:after="0" w:line="154" w:lineRule="exact"/>
        <w:rPr>
          <w:sz w:val="20"/>
          <w:szCs w:val="20"/>
          <w:color w:val="auto"/>
        </w:rPr>
      </w:pPr>
    </w:p>
    <w:p>
      <w:pPr>
        <w:ind w:left="440" w:hanging="434"/>
        <w:spacing w:after="0"/>
        <w:tabs>
          <w:tab w:leader="none" w:pos="440" w:val="left"/>
        </w:tabs>
        <w:numPr>
          <w:ilvl w:val="0"/>
          <w:numId w:val="2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controlled, directly or indirectly, by the first mentioned company or corporation;</w:t>
      </w:r>
    </w:p>
    <w:p>
      <w:pPr>
        <w:spacing w:after="0" w:line="15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32" w:name="page233"/>
    <w:bookmarkEnd w:id="23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440" w:hanging="434"/>
        <w:spacing w:after="0"/>
        <w:tabs>
          <w:tab w:leader="none" w:pos="440"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than half the issued equity share capital of which is beneficially owned, directly or indirectly, by the first mentioned company or corporation; or</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2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Subsidiary of another Subsidiary of the first mentioned company or corporation,</w:t>
      </w:r>
    </w:p>
    <w:p>
      <w:pPr>
        <w:spacing w:after="0" w:line="150"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0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other than taxes imposed on the overall net income of the Owners, their Holding Company, their group and/or the Finance Parties, any FATCA Deduction, any present and future tax (including, without limitation, value added tax, consumption tax or any other tax in respect of added value or any income), levy, impost, duty or other charge or withholding of any nature (including any penalty or interest payable in connection with any failure to pay or any delay in paying any of the same); and "</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shall be construed accordingly.</w:t>
      </w:r>
    </w:p>
    <w:p>
      <w:pPr>
        <w:spacing w:after="0" w:line="114"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w:t>
      </w:r>
      <w:r>
        <w:rPr>
          <w:rFonts w:ascii="Times New Roman" w:cs="Times New Roman" w:eastAsia="Times New Roman" w:hAnsi="Times New Roman"/>
          <w:sz w:val="12"/>
          <w:szCs w:val="12"/>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Event</w:t>
      </w:r>
      <w:r>
        <w:rPr>
          <w:rFonts w:ascii="Times New Roman" w:cs="Times New Roman" w:eastAsia="Times New Roman" w:hAnsi="Times New Roman"/>
          <w:sz w:val="12"/>
          <w:szCs w:val="12"/>
          <w:color w:val="auto"/>
        </w:rPr>
        <w:t>" means each of the events specified in paragraph (a)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Notice</w:t>
      </w:r>
      <w:r>
        <w:rPr>
          <w:rFonts w:ascii="Times New Roman" w:cs="Times New Roman" w:eastAsia="Times New Roman" w:hAnsi="Times New Roman"/>
          <w:sz w:val="12"/>
          <w:szCs w:val="12"/>
          <w:color w:val="auto"/>
        </w:rPr>
        <w:t>" has the meaning given to such term in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and Clause 49(b) (</w:t>
      </w:r>
      <w:r>
        <w:rPr>
          <w:rFonts w:ascii="Times New Roman" w:cs="Times New Roman" w:eastAsia="Times New Roman" w:hAnsi="Times New Roman"/>
          <w:sz w:val="12"/>
          <w:szCs w:val="12"/>
          <w:i w:val="1"/>
          <w:iCs w:val="1"/>
          <w:color w:val="auto"/>
        </w:rPr>
        <w:t>Owners' options after occurrence of a Termination Event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Payment Date</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16"/>
        <w:spacing w:after="0"/>
        <w:tabs>
          <w:tab w:leader="none" w:pos="44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right="20" w:hanging="416"/>
        <w:spacing w:after="0" w:line="283" w:lineRule="auto"/>
        <w:tabs>
          <w:tab w:leader="none" w:pos="44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Default Termination, fifteen (15) days after the date on which the Termination Notice is served on the Charterers pursuant to paragraph (b)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in respect of such Default Termination;</w:t>
      </w:r>
    </w:p>
    <w:p>
      <w:pPr>
        <w:spacing w:after="0" w:line="108"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2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Total Loss Termination, the Settlement Date in respect of the Total Loss which gives rise to such Total Loss Termination.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Sum</w:t>
      </w:r>
      <w:r>
        <w:rPr>
          <w:rFonts w:ascii="Times New Roman" w:cs="Times New Roman" w:eastAsia="Times New Roman" w:hAnsi="Times New Roman"/>
          <w:sz w:val="12"/>
          <w:szCs w:val="12"/>
          <w:color w:val="auto"/>
        </w:rPr>
        <w:t>" means an amount representing the Owners' losses as a result of the early termination of this Charter prior to the expiry of the Charter Period, which both parties acknowledge as a genuine and reasonable pre-estimate of the Owners' losses in the event of such termination and shall consist of the following:</w:t>
      </w:r>
    </w:p>
    <w:p>
      <w:pPr>
        <w:spacing w:after="0" w:line="107" w:lineRule="exact"/>
        <w:rPr>
          <w:sz w:val="20"/>
          <w:szCs w:val="20"/>
          <w:color w:val="auto"/>
        </w:rPr>
      </w:pPr>
    </w:p>
    <w:p>
      <w:pPr>
        <w:ind w:left="440" w:hanging="416"/>
        <w:spacing w:after="0"/>
        <w:tabs>
          <w:tab w:leader="none" w:pos="440"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Termination Payment Date;</w:t>
      </w:r>
    </w:p>
    <w:p>
      <w:pPr>
        <w:spacing w:after="0" w:line="150" w:lineRule="exact"/>
        <w:rPr>
          <w:rFonts w:ascii="Times New Roman" w:cs="Times New Roman" w:eastAsia="Times New Roman" w:hAnsi="Times New Roman"/>
          <w:sz w:val="12"/>
          <w:szCs w:val="12"/>
          <w:color w:val="auto"/>
        </w:rPr>
      </w:pPr>
    </w:p>
    <w:p>
      <w:pPr>
        <w:ind w:left="440" w:right="20" w:hanging="416"/>
        <w:spacing w:after="0" w:line="279" w:lineRule="auto"/>
        <w:tabs>
          <w:tab w:leader="none" w:pos="440" w:val="left"/>
        </w:tabs>
        <w:numPr>
          <w:ilvl w:val="0"/>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equal to six per cent. (6%) of the Outstanding Principal as at the Termination Payment Date, provided such amount shall not be payable and shall not form part of the Termination Sum in the event this Charter is terminated:</w:t>
      </w:r>
    </w:p>
    <w:p>
      <w:pPr>
        <w:spacing w:after="0" w:line="111"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 Total Loss Termination; or</w:t>
      </w:r>
    </w:p>
    <w:p>
      <w:pPr>
        <w:spacing w:after="0" w:line="148"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2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solely for the reason that it is unlawful or it is prohibited for the Owners (but not the Charterers) to charter the Vessel under this Charter; or</w:t>
      </w:r>
    </w:p>
    <w:p>
      <w:pPr>
        <w:spacing w:after="0" w:line="15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233" w:name="page234"/>
    <w:bookmarkEnd w:id="23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6" w:lineRule="exact"/>
        <w:rPr>
          <w:sz w:val="20"/>
          <w:szCs w:val="20"/>
          <w:color w:val="auto"/>
        </w:rPr>
      </w:pPr>
    </w:p>
    <w:p>
      <w:pPr>
        <w:ind w:left="1305" w:hanging="432"/>
        <w:spacing w:after="0"/>
        <w:tabs>
          <w:tab w:leader="none" w:pos="1305" w:val="left"/>
        </w:tabs>
        <w:numPr>
          <w:ilvl w:val="1"/>
          <w:numId w:val="2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at any time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of the Actual Delivery Date.</w:t>
      </w:r>
    </w:p>
    <w:p>
      <w:pPr>
        <w:spacing w:after="0" w:line="76"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(and including) the Termination Payment Date;</w:t>
      </w:r>
    </w:p>
    <w:p>
      <w:pPr>
        <w:spacing w:after="0" w:line="148"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Unpaid Sums due and payable together with interest accrued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 Costs; and</w:t>
      </w:r>
    </w:p>
    <w:p>
      <w:pPr>
        <w:spacing w:after="0" w:line="150"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2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documented costs and expenses reasonably incurred by the Owners (including, without limitation, legal expenses).</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Test Date</w:t>
      </w:r>
      <w:r>
        <w:rPr>
          <w:rFonts w:ascii="Times New Roman" w:cs="Times New Roman" w:eastAsia="Times New Roman" w:hAnsi="Times New Roman"/>
          <w:sz w:val="12"/>
          <w:szCs w:val="12"/>
          <w:color w:val="auto"/>
        </w:rPr>
        <w:t>" means each of the following dates on which the Valuation Reports shall be provided to the Owners in accordance with Clause 4832..1(aa)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hanging="425"/>
        <w:spacing w:after="0"/>
        <w:tabs>
          <w:tab w:leader="none" w:pos="425"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 June and 31 December in each year during the Charter Period (each such Valuation Report to be at the Charterers' cost); and</w:t>
      </w:r>
    </w:p>
    <w:p>
      <w:pPr>
        <w:spacing w:after="0" w:line="150"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2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whilst the same is continuing, each other date as the Owners may require in their absolute discretion (with not less than 30 days prior notice to the Charterers) (each such additional Valuation Report shall be at the cost of the Charterers).</w:t>
      </w:r>
    </w:p>
    <w:p>
      <w:pPr>
        <w:spacing w:after="0" w:line="1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means the Contracts (Rights of Third Parties) Act 1999.</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Threshold Amount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b w:val="1"/>
          <w:bCs w:val="1"/>
          <w:color w:val="auto"/>
        </w:rPr>
        <w:t>US$1,500,000 (Dollars One Million Five Hundred Thousand only)</w:t>
      </w:r>
      <w:r>
        <w:rPr>
          <w:rFonts w:ascii="Times New Roman" w:cs="Times New Roman" w:eastAsia="Times New Roman" w:hAnsi="Times New Roman"/>
          <w:sz w:val="12"/>
          <w:szCs w:val="12"/>
          <w:color w:val="auto"/>
        </w:rPr>
        <w:t xml:space="preserve"> or the equivalent in any other currency.</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Title Transfer 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Title Transfer Protocol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during the Charter Period:</w:t>
      </w:r>
    </w:p>
    <w:p>
      <w:pPr>
        <w:spacing w:after="0" w:line="154" w:lineRule="exact"/>
        <w:rPr>
          <w:sz w:val="20"/>
          <w:szCs w:val="20"/>
          <w:color w:val="auto"/>
        </w:rPr>
      </w:pPr>
    </w:p>
    <w:p>
      <w:pPr>
        <w:jc w:val="both"/>
        <w:ind w:left="425" w:hanging="416"/>
        <w:spacing w:after="0" w:line="265" w:lineRule="auto"/>
        <w:tabs>
          <w:tab w:leader="none" w:pos="425"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constructive or compromised or agreed or arranged total loss of the Vessel and for clarity,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w:t>
      </w:r>
    </w:p>
    <w:p>
      <w:pPr>
        <w:spacing w:after="0" w:line="118" w:lineRule="exact"/>
        <w:rPr>
          <w:rFonts w:ascii="Times New Roman" w:cs="Times New Roman" w:eastAsia="Times New Roman" w:hAnsi="Times New Roman"/>
          <w:sz w:val="12"/>
          <w:szCs w:val="12"/>
          <w:color w:val="auto"/>
        </w:rPr>
      </w:pPr>
    </w:p>
    <w:p>
      <w:pPr>
        <w:ind w:left="425" w:right="20" w:hanging="416"/>
        <w:spacing w:after="0" w:line="279" w:lineRule="auto"/>
        <w:tabs>
          <w:tab w:leader="none" w:pos="425"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requisition for title or compulsory acquisition of the Vessel by any government or other competent authority (other than by way of requisition for hire) unless the Vessel is released and returned to the possession of the Owners or the Charterers within sixty (60) days after the requisition for title or compulsory acquisition in question; or</w:t>
      </w:r>
    </w:p>
    <w:p>
      <w:pPr>
        <w:spacing w:after="0" w:line="111" w:lineRule="exact"/>
        <w:rPr>
          <w:rFonts w:ascii="Times New Roman" w:cs="Times New Roman" w:eastAsia="Times New Roman" w:hAnsi="Times New Roman"/>
          <w:sz w:val="12"/>
          <w:szCs w:val="12"/>
          <w:color w:val="auto"/>
        </w:rPr>
      </w:pPr>
    </w:p>
    <w:p>
      <w:pPr>
        <w:jc w:val="both"/>
        <w:ind w:left="425" w:hanging="416"/>
        <w:spacing w:after="0" w:line="255" w:lineRule="auto"/>
        <w:tabs>
          <w:tab w:leader="none" w:pos="425" w:val="left"/>
        </w:tabs>
        <w:numPr>
          <w:ilvl w:val="0"/>
          <w:numId w:val="2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capture, seizure, hijacking, theft, condemnation as prize, confiscation or forfeiture of the Vessel (not falling within paragraph (b) of this definition), unless the Vessel is released and returned to the possession of the Owners or the Charterers within ninety (90) days after the capture, seizure, arrest, detention, hijacking, theft, condemnation as prize, confiscation or forfeiture in question (for the avoidance of confusion, always excluding any arrest or detention or similar incident through judicial procedures or legal proceedings or, by reason of or in connection with maritime lien or any claim against an Obligor or arising out of or in relation to the use, operation, maintenance or management of the Vessel or, otherwise caused by or attributable to an Obligor), and for the purpose of this Charter, (i) an actual Total Loss of the Vessel shall be deemed to have occurred at the date and time when the Vessel was lost but if the date of the loss is unknown the actual Total Loss shall be deemed to have occurred on the date on which the Vessel was last reported, (ii) a constructive Total Loss shall be deemed to have occurred at the date and time at which a notice of abandonment of the Vessel is given to the insurers of the Vessel and (iii) a compromised, agreed or arranged Total Loss shall be deemed to have occurred on the date of the relevant compromise, agreement or arrangement.</w:t>
      </w:r>
    </w:p>
    <w:p>
      <w:pPr>
        <w:spacing w:after="0" w:line="288" w:lineRule="exact"/>
        <w:rPr>
          <w:sz w:val="20"/>
          <w:szCs w:val="20"/>
          <w:color w:val="auto"/>
        </w:rPr>
      </w:pPr>
    </w:p>
    <w:p>
      <w:pPr>
        <w:jc w:val="center"/>
        <w:ind w:right="435"/>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234" w:name="page235"/>
    <w:bookmarkEnd w:id="23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Proceeds</w:t>
      </w:r>
      <w:r>
        <w:rPr>
          <w:rFonts w:ascii="Times New Roman" w:cs="Times New Roman" w:eastAsia="Times New Roman" w:hAnsi="Times New Roman"/>
          <w:sz w:val="12"/>
          <w:szCs w:val="12"/>
          <w:color w:val="auto"/>
        </w:rPr>
        <w:t>" means the proceeds of the Insurances or any other compensation of any description in respect of a Total Loss unconditionally received and retained by or on behalf of the Owners in respect of a Total Loss.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Termination</w:t>
      </w:r>
      <w:r>
        <w:rPr>
          <w:rFonts w:ascii="Times New Roman" w:cs="Times New Roman" w:eastAsia="Times New Roman" w:hAnsi="Times New Roman"/>
          <w:sz w:val="12"/>
          <w:szCs w:val="12"/>
          <w:color w:val="auto"/>
        </w:rPr>
        <w:t>" means a termination of the Charter Period pursuant to the provisions of paragraph (a) of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Documents</w:t>
      </w:r>
      <w:r>
        <w:rPr>
          <w:rFonts w:ascii="Times New Roman" w:cs="Times New Roman" w:eastAsia="Times New Roman" w:hAnsi="Times New Roman"/>
          <w:sz w:val="12"/>
          <w:szCs w:val="12"/>
          <w:color w:val="auto"/>
        </w:rPr>
        <w:t>" means, together:</w:t>
      </w:r>
    </w:p>
    <w:p>
      <w:pPr>
        <w:spacing w:after="0" w:line="154" w:lineRule="exact"/>
        <w:rPr>
          <w:sz w:val="20"/>
          <w:szCs w:val="20"/>
          <w:color w:val="auto"/>
        </w:rPr>
      </w:pPr>
    </w:p>
    <w:p>
      <w:pPr>
        <w:ind w:left="420" w:hanging="416"/>
        <w:spacing w:after="0"/>
        <w:tabs>
          <w:tab w:leader="none" w:pos="42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such other documents as may in good faith be designated as such by the Owners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any Obligor under the Transaction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each means available and freely transferable and convertible funds in lawful currency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Valuation Report</w:t>
      </w:r>
      <w:r>
        <w:rPr>
          <w:rFonts w:ascii="Times New Roman" w:cs="Times New Roman" w:eastAsia="Times New Roman" w:hAnsi="Times New Roman"/>
          <w:sz w:val="12"/>
          <w:szCs w:val="12"/>
          <w:color w:val="auto"/>
        </w:rPr>
        <w:t>" means, in relation to the Vessel, a valuation report addressed to the Owners and prepared:</w:t>
      </w:r>
    </w:p>
    <w:p>
      <w:pPr>
        <w:spacing w:after="0" w:line="154" w:lineRule="exact"/>
        <w:rPr>
          <w:sz w:val="20"/>
          <w:szCs w:val="20"/>
          <w:color w:val="auto"/>
        </w:rPr>
      </w:pPr>
    </w:p>
    <w:p>
      <w:pPr>
        <w:ind w:left="440" w:hanging="436"/>
        <w:spacing w:after="0"/>
        <w:tabs>
          <w:tab w:leader="none" w:pos="440"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 Approved Valuer selected by the Owners; and</w:t>
      </w:r>
    </w:p>
    <w:p>
      <w:pPr>
        <w:spacing w:after="0" w:line="150" w:lineRule="exact"/>
        <w:rPr>
          <w:rFonts w:ascii="Times New Roman" w:cs="Times New Roman" w:eastAsia="Times New Roman" w:hAnsi="Times New Roman"/>
          <w:sz w:val="12"/>
          <w:szCs w:val="12"/>
          <w:color w:val="auto"/>
        </w:rPr>
      </w:pPr>
    </w:p>
    <w:p>
      <w:pPr>
        <w:ind w:right="1000" w:firstLine="4"/>
        <w:spacing w:after="0" w:line="500" w:lineRule="auto"/>
        <w:tabs>
          <w:tab w:leader="none" w:pos="432" w:val="left"/>
        </w:tabs>
        <w:numPr>
          <w:ilvl w:val="0"/>
          <w:numId w:val="2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assessed in Dollars by a desktop valuation on the basis of a charter-free sale for prompt delivery for cash at arm's length on normal commercial terms as between a willing seller and a willing buyer. "</w:t>
      </w:r>
      <w:r>
        <w:rPr>
          <w:rFonts w:ascii="Times New Roman" w:cs="Times New Roman" w:eastAsia="Times New Roman" w:hAnsi="Times New Roman"/>
          <w:sz w:val="12"/>
          <w:szCs w:val="12"/>
          <w:b w:val="1"/>
          <w:bCs w:val="1"/>
          <w:color w:val="auto"/>
        </w:rPr>
        <w:t>Value Maintenance Ratio</w:t>
      </w:r>
      <w:r>
        <w:rPr>
          <w:rFonts w:ascii="Times New Roman" w:cs="Times New Roman" w:eastAsia="Times New Roman" w:hAnsi="Times New Roman"/>
          <w:sz w:val="12"/>
          <w:szCs w:val="12"/>
          <w:color w:val="auto"/>
        </w:rPr>
        <w:t>" means the ratio (expressed as a percentage) of:</w:t>
      </w:r>
    </w:p>
    <w:p>
      <w:pPr>
        <w:spacing w:after="0" w:line="1" w:lineRule="exact"/>
        <w:rPr>
          <w:sz w:val="20"/>
          <w:szCs w:val="20"/>
          <w:color w:val="auto"/>
        </w:rPr>
      </w:pPr>
    </w:p>
    <w:p>
      <w:pPr>
        <w:ind w:left="420" w:hanging="416"/>
        <w:spacing w:after="0"/>
        <w:tabs>
          <w:tab w:leader="none" w:pos="420"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the Market Value of the Vessel and any Cash Collateral already provided to restore the Value Maintenance Ratio; to</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2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 Outstanding Principal.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Value Maintenance Threshold</w:t>
      </w:r>
      <w:r>
        <w:rPr>
          <w:rFonts w:ascii="Times New Roman" w:cs="Times New Roman" w:eastAsia="Times New Roman" w:hAnsi="Times New Roman"/>
          <w:sz w:val="12"/>
          <w:szCs w:val="12"/>
          <w:color w:val="auto"/>
        </w:rPr>
        <w:t>" means the ratio (expressed as a percentage) of one hundred and thirty per cent. (130%).</w:t>
      </w:r>
    </w:p>
    <w:p>
      <w:pPr>
        <w:spacing w:after="0" w:line="154"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35" w:name="page236"/>
    <w:bookmarkEnd w:id="23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"Variable Hire" </w:t>
      </w:r>
      <w:r>
        <w:rPr>
          <w:rFonts w:ascii="Times New Roman" w:cs="Times New Roman" w:eastAsia="Times New Roman" w:hAnsi="Times New Roman"/>
          <w:sz w:val="12"/>
          <w:szCs w:val="12"/>
          <w:color w:val="auto"/>
        </w:rPr>
        <w:t>means in respect of each Hire Period, the interest accrued on the Outstanding Principal for each day during the relevant Hire Period and calculated on the basis of a year of three hundred sixty (360) days at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Interest Rate by using the following formula:</w:t>
      </w:r>
    </w:p>
    <w:p>
      <w:pPr>
        <w:spacing w:after="0" w:line="107"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u w:val="single" w:color="auto"/>
          <w:color w:val="auto"/>
        </w:rPr>
        <w:t>VH</w:t>
      </w:r>
      <w:r>
        <w:rPr>
          <w:rFonts w:ascii="Times New Roman" w:cs="Times New Roman" w:eastAsia="Times New Roman" w:hAnsi="Times New Roman"/>
          <w:sz w:val="12"/>
          <w:szCs w:val="12"/>
          <w:color w:val="auto"/>
        </w:rPr>
        <w:t xml:space="preserve"> = (A × B / 360) × C</w:t>
      </w:r>
    </w:p>
    <w:p>
      <w:pPr>
        <w:spacing w:after="0" w:line="148"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i w:val="1"/>
          <w:iCs w:val="1"/>
          <w:color w:val="auto"/>
        </w:rPr>
        <w:t>whereby</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VH = the amount of Variable Hire for that Hire Period</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 = (in relation to the first Hire Payment Date) the Original Principal; or</w:t>
      </w:r>
    </w:p>
    <w:p>
      <w:pPr>
        <w:spacing w:after="0" w:line="150" w:lineRule="exact"/>
        <w:rPr>
          <w:sz w:val="20"/>
          <w:szCs w:val="20"/>
          <w:color w:val="auto"/>
        </w:rPr>
      </w:pPr>
    </w:p>
    <w:p>
      <w:pPr>
        <w:ind w:left="1988"/>
        <w:spacing w:after="0"/>
        <w:rPr>
          <w:sz w:val="20"/>
          <w:szCs w:val="20"/>
          <w:color w:val="auto"/>
        </w:rPr>
      </w:pPr>
      <w:r>
        <w:rPr>
          <w:rFonts w:ascii="Times New Roman" w:cs="Times New Roman" w:eastAsia="Times New Roman" w:hAnsi="Times New Roman"/>
          <w:sz w:val="12"/>
          <w:szCs w:val="12"/>
          <w:color w:val="auto"/>
        </w:rPr>
        <w:t>(in relation to any other subsequent Hire Payment Date) the Outstanding Principal on the immediately preceding Hire Payment Date</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B = the Interest Rate applicable to that Hire Period</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C = the actual number of days during that Hire Period.</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container ship named "</w:t>
      </w:r>
      <w:r>
        <w:rPr>
          <w:rFonts w:ascii="Times New Roman" w:cs="Times New Roman" w:eastAsia="Times New Roman" w:hAnsi="Times New Roman"/>
          <w:sz w:val="12"/>
          <w:szCs w:val="12"/>
          <w:b w:val="1"/>
          <w:bCs w:val="1"/>
          <w:color w:val="auto"/>
        </w:rPr>
        <w:t>ISTANBUL EXPRESS</w:t>
      </w:r>
      <w:r>
        <w:rPr>
          <w:rFonts w:ascii="Times New Roman" w:cs="Times New Roman" w:eastAsia="Times New Roman" w:hAnsi="Times New Roman"/>
          <w:sz w:val="12"/>
          <w:szCs w:val="12"/>
          <w:color w:val="auto"/>
        </w:rPr>
        <w:t>" as more particularly described in Boxes 5 (</w:t>
      </w:r>
      <w:r>
        <w:rPr>
          <w:rFonts w:ascii="Times New Roman" w:cs="Times New Roman" w:eastAsia="Times New Roman" w:hAnsi="Times New Roman"/>
          <w:sz w:val="12"/>
          <w:szCs w:val="12"/>
          <w:i w:val="1"/>
          <w:iCs w:val="1"/>
          <w:color w:val="auto"/>
        </w:rPr>
        <w:t>Vessel's name, call sign and flag</w:t>
      </w:r>
      <w:r>
        <w:rPr>
          <w:rFonts w:ascii="Times New Roman" w:cs="Times New Roman" w:eastAsia="Times New Roman" w:hAnsi="Times New Roman"/>
          <w:sz w:val="12"/>
          <w:szCs w:val="12"/>
          <w:color w:val="auto"/>
        </w:rPr>
        <w:t>) to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jc w:val="both"/>
        <w:ind w:left="428"/>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Quiet Enjoyment Letter</w:t>
      </w:r>
      <w:r>
        <w:rPr>
          <w:rFonts w:ascii="Times New Roman" w:cs="Times New Roman" w:eastAsia="Times New Roman" w:hAnsi="Times New Roman"/>
          <w:sz w:val="12"/>
          <w:szCs w:val="12"/>
          <w:color w:val="auto"/>
        </w:rPr>
        <w:t>" means, in relation to the Vessel, a letter which the Finance Parties (or, if any, their authorised agent on their behalf) shall issue in favour of the Charterers, such letter to be in a form acceptable to the Charterers, the Owners and the Finance Parties (each party acting reasonably) under which the Finance Parties (in the absence of any Termination Event) allow (i) the Charterers' unfettered use and quiet enjoyment without interruption of the Vessel in accordance with the terms and conditions of this Charter and (ii) the release of any mortgage over the Vessel following full payment of the relevant amount owed under this Charter at the relevant time.</w:t>
      </w:r>
    </w:p>
    <w:p>
      <w:pPr>
        <w:spacing w:after="0" w:line="117" w:lineRule="exact"/>
        <w:rPr>
          <w:sz w:val="20"/>
          <w:szCs w:val="20"/>
          <w:color w:val="auto"/>
        </w:rPr>
      </w:pPr>
    </w:p>
    <w:p>
      <w:pPr>
        <w:ind w:left="428" w:hanging="428"/>
        <w:spacing w:after="0"/>
        <w:tabs>
          <w:tab w:leader="none" w:pos="428" w:val="left"/>
        </w:tabs>
        <w:numPr>
          <w:ilvl w:val="0"/>
          <w:numId w:val="2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Interpretations</w:t>
      </w:r>
    </w:p>
    <w:p>
      <w:pPr>
        <w:spacing w:after="0" w:line="154" w:lineRule="exact"/>
        <w:rPr>
          <w:rFonts w:ascii="Times New Roman" w:cs="Times New Roman" w:eastAsia="Times New Roman" w:hAnsi="Times New Roman"/>
          <w:sz w:val="12"/>
          <w:szCs w:val="12"/>
          <w:b w:val="1"/>
          <w:bCs w:val="1"/>
          <w:color w:val="auto"/>
        </w:rPr>
      </w:pPr>
    </w:p>
    <w:p>
      <w:pPr>
        <w:ind w:left="848" w:hanging="416"/>
        <w:spacing w:after="0"/>
        <w:tabs>
          <w:tab w:leader="none" w:pos="848" w:val="left"/>
        </w:tabs>
        <w:numPr>
          <w:ilvl w:val="1"/>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Charter, unless the context otherwise requires, any reference to:</w:t>
      </w:r>
    </w:p>
    <w:p>
      <w:pPr>
        <w:spacing w:after="0" w:line="150" w:lineRule="exact"/>
        <w:rPr>
          <w:rFonts w:ascii="Times New Roman" w:cs="Times New Roman" w:eastAsia="Times New Roman" w:hAnsi="Times New Roman"/>
          <w:sz w:val="12"/>
          <w:szCs w:val="12"/>
          <w:color w:val="auto"/>
        </w:rPr>
      </w:pPr>
    </w:p>
    <w:p>
      <w:pPr>
        <w:ind w:left="1288" w:hanging="424"/>
        <w:spacing w:after="0" w:line="279" w:lineRule="auto"/>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this Charter include the Schedules hereto and references to Clauses and Schedules are, unless otherwise specified, references to Clauses of and Schedules to this Charter and, in the case of a Schedule, to such Schedule as incorporated in this Charter as substituted from time to time;</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statutory or other legislative provision shall be construed as including any statutory or legislative modification or re-enactment thereof, or any substitution therefor;</w:t>
      </w:r>
    </w:p>
    <w:p>
      <w:pPr>
        <w:spacing w:after="0" w:line="14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includes any part of the Vessel, including, without limitation, any scrubbers installed on the Vessel;</w:t>
      </w:r>
    </w:p>
    <w:p>
      <w:pPr>
        <w:spacing w:after="0" w:line="150" w:lineRule="exact"/>
        <w:rPr>
          <w:rFonts w:ascii="Times New Roman" w:cs="Times New Roman" w:eastAsia="Times New Roman" w:hAnsi="Times New Roman"/>
          <w:sz w:val="12"/>
          <w:szCs w:val="12"/>
          <w:color w:val="auto"/>
        </w:rPr>
      </w:pPr>
    </w:p>
    <w:p>
      <w:pPr>
        <w:ind w:left="1288" w:right="20" w:hanging="424"/>
        <w:spacing w:after="0" w:line="286" w:lineRule="auto"/>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Sub-charterer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or any other person include any of their respective successors, permitted assignees and permitted transferees;</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instrument or document include such agreement, instrument or document as the same may from time to time by amended, modified, supplemented, novated or substituted;</w:t>
      </w:r>
    </w:p>
    <w:p>
      <w:pPr>
        <w:spacing w:after="0" w:line="146"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equivalent</w:t>
      </w:r>
      <w:r>
        <w:rPr>
          <w:rFonts w:ascii="Times New Roman" w:cs="Times New Roman" w:eastAsia="Times New Roman" w:hAnsi="Times New Roman"/>
          <w:sz w:val="12"/>
          <w:szCs w:val="12"/>
          <w:color w:val="auto"/>
        </w:rPr>
        <w:t>" in one currency (the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as at any date of an amount in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shall be construed as a reference to the amount of the first currency which could be purchased with such amount of the second currency at the spot rate of exchange quoted by the Owners at or about 11:00 a.m. two (2) Business Days (being a day other than a Saturday or Sunday on which banks and foreign exchange markets are generally open for business in Shanghai) prior to such date for the purchase of the first currency with the second currency for delivery and value on such date;</w:t>
      </w:r>
    </w:p>
    <w:p>
      <w:pPr>
        <w:spacing w:after="0" w:line="11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herein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hereunder</w:t>
      </w:r>
      <w:r>
        <w:rPr>
          <w:rFonts w:ascii="Times New Roman" w:cs="Times New Roman" w:eastAsia="Times New Roman" w:hAnsi="Times New Roman"/>
          <w:sz w:val="12"/>
          <w:szCs w:val="12"/>
          <w:color w:val="auto"/>
        </w:rPr>
        <w:t>" and other words of similar import means this Charter as a whole (including the Schedules) and not any particular part hereof;</w:t>
      </w:r>
    </w:p>
    <w:p>
      <w:pPr>
        <w:spacing w:after="0" w:line="316"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36" w:name="page237"/>
    <w:bookmarkEnd w:id="23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1288" w:hanging="424"/>
        <w:spacing w:after="0"/>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common or customary law and any constitution, decree, judgment, legislation, order, ordinance, regulation, rule, statute, treaty or other legislative measure in any jurisdiction or any present or future directive, regulation, request or requirement, or official or judicial interpretation of any of the foregoing, in each case having the force of law and, if not having the force of law, in respect of which compliance is generally customary;</w:t>
      </w:r>
    </w:p>
    <w:p>
      <w:pPr>
        <w:spacing w:after="0" w:line="113" w:lineRule="exact"/>
        <w:rPr>
          <w:rFonts w:ascii="Times New Roman" w:cs="Times New Roman" w:eastAsia="Times New Roman" w:hAnsi="Times New Roman"/>
          <w:sz w:val="12"/>
          <w:szCs w:val="12"/>
          <w:color w:val="auto"/>
        </w:rPr>
      </w:pPr>
    </w:p>
    <w:p>
      <w:pPr>
        <w:ind w:left="1288" w:right="20" w:hanging="424"/>
        <w:spacing w:after="0" w:line="286" w:lineRule="auto"/>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persons</w:t>
      </w:r>
      <w:r>
        <w:rPr>
          <w:rFonts w:ascii="Times New Roman" w:cs="Times New Roman" w:eastAsia="Times New Roman" w:hAnsi="Times New Roman"/>
          <w:sz w:val="12"/>
          <w:szCs w:val="12"/>
          <w:color w:val="auto"/>
        </w:rPr>
        <w:t>" or to words importing persons include, without limitation, any state, divisions of a state, government, individuals, partnerships, corporations, ventures, government agencies, committees, departments, authorities and other bodies, corporate or unincorporated, whether having distinct legal personality or not;</w:t>
      </w:r>
    </w:p>
    <w:p>
      <w:pPr>
        <w:spacing w:after="0" w:line="10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(having the force of law) of any governmental, intergovernmental or supranational body, agency, department or of any regulatory authority;</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winding-up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dissolution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liquidation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reorganisation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readjustment of debt</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suspension of payments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moratorium</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bankruptcy</w:t>
      </w:r>
      <w:r>
        <w:rPr>
          <w:rFonts w:ascii="Times New Roman" w:cs="Times New Roman" w:eastAsia="Times New Roman" w:hAnsi="Times New Roman"/>
          <w:sz w:val="12"/>
          <w:szCs w:val="12"/>
          <w:color w:val="auto"/>
        </w:rPr>
        <w:t>" (and their derivatives and cognate expressions) of any person shall each be construed so as to include the others and any equivalent or analogous proceedings or event under the laws of any jurisdiction in which such person is incorporated or any jurisdiction in which such person carries on business;</w:t>
      </w:r>
    </w:p>
    <w:p>
      <w:pPr>
        <w:spacing w:after="0" w:line="113" w:lineRule="exact"/>
        <w:rPr>
          <w:rFonts w:ascii="Times New Roman" w:cs="Times New Roman" w:eastAsia="Times New Roman" w:hAnsi="Times New Roman"/>
          <w:sz w:val="12"/>
          <w:szCs w:val="12"/>
          <w:color w:val="auto"/>
        </w:rPr>
      </w:pPr>
    </w:p>
    <w:p>
      <w:pPr>
        <w:jc w:val="both"/>
        <w:ind w:left="1288" w:hanging="424"/>
        <w:spacing w:after="0" w:line="262" w:lineRule="auto"/>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which is a member of the International Group of P&amp;I Club,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(Hull)(1/10/83) or clause 8 of the Institute Time Clauses (Hulls)(1/11/1995) or the Institute Amended Running Down Clause (1/10/71) or any equivalent provision;</w:t>
      </w:r>
    </w:p>
    <w:p>
      <w:pPr>
        <w:spacing w:after="0" w:line="11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w:t>
      </w:r>
    </w:p>
    <w:p>
      <w:pPr>
        <w:spacing w:after="0" w:line="154"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plural number include the singular and vice versa.</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Headings are for the purpose of reference only, have no legal or other significance, and shall be ignored in the interpretation of this Charter.</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2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(unless otherwise specified) is a reference to Beijing time.</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Background</w:t>
      </w:r>
    </w:p>
    <w:p>
      <w:pPr>
        <w:spacing w:after="0" w:line="312" w:lineRule="exact"/>
        <w:rPr>
          <w:rFonts w:ascii="Times New Roman" w:cs="Times New Roman" w:eastAsia="Times New Roman" w:hAnsi="Times New Roman"/>
          <w:sz w:val="12"/>
          <w:szCs w:val="12"/>
          <w:b w:val="1"/>
          <w:bCs w:val="1"/>
          <w:color w:val="auto"/>
        </w:rPr>
      </w:pPr>
    </w:p>
    <w:p>
      <w:pPr>
        <w:ind w:left="868" w:right="20" w:hanging="436"/>
        <w:spacing w:after="0" w:line="286" w:lineRule="auto"/>
        <w:tabs>
          <w:tab w:leader="none" w:pos="868" w:val="left"/>
        </w:tabs>
        <w:numPr>
          <w:ilvl w:val="1"/>
          <w:numId w:val="2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of the Charterers, the Owners (as buyers) entered into a memorandum of agreement of even date herewith (the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with the Charterers (as sellers) pursuant to which the Owners have agreed to purchase, and the Charterers have agreed to sell the Vessel subject to the terms and conditions therein contained.</w:t>
      </w:r>
    </w:p>
    <w:p>
      <w:pPr>
        <w:spacing w:after="0" w:line="269"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37" w:name="page238"/>
    <w:bookmarkEnd w:id="23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868" w:hanging="436"/>
        <w:spacing w:after="0" w:line="279" w:lineRule="auto"/>
        <w:tabs>
          <w:tab w:leader="none" w:pos="868"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ultimately intended for use by the Charterers and the Owners will finance the Charterers' acquisition of the Vessel with the arrangement that the Charterers will repay the Owners pursuant to the terms and conditions herein.</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Accordingly, the parties hereby agree that this Charter is subject to the effective transfer of ownership of the Vessel to the Owners pursuant to the MOA.</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1"/>
          <w:numId w:val="2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prior to the Actual Delivery Date, in the absence of any Termination Event, it becomes unlawful for the Owners (as buyers) to perform or comply with any or all of their obligations under the MOA or any of the obligations of the Owners under the MOA is not or ceases to be legal, valid, binding and enforceable, neither party shall be liable to the other for any claim arising out of this Charter and this Charter shall immediately terminate and be cancelled (with the exception of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and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 provided (for the avoidance of any doubt) the Owners shall be entitled to retain the Arrangement Fee and, if the Arrangement Fee has not been paid, the Charterers shall immediately pay such amount in full together with interest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expressly acknowledge and confirm that the Owners entered into the MOA to purchase the Vessel solely for the purpose of leasing the Vessel to the Charterers under this Charter and that the Owners shall have no obligation or duty whatsoever to survey, investigate or verify the condition or performance of the Vessel. The Charterers shall be responsible to, at the Charterers' costs and expenses, make arrangement to take physical delivery of the Vessel and all plans, drawings, manuals, technical documents, and certificates pertaining to the Vessels.</w:t>
      </w:r>
    </w:p>
    <w:p>
      <w:pPr>
        <w:spacing w:after="0" w:line="118"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will deliver and the Charterers will take delivery of the Vessel under this Charter immediately, which to the extent possible shall be deemed to take place simultaneously, after the Sellers deliver the Vessel to the Owners under and subject to the terms of the MOA upon the Actual Delivery Date, subject to which, the Charterers will accept the Vessel on an "</w:t>
      </w:r>
      <w:r>
        <w:rPr>
          <w:rFonts w:ascii="Times New Roman" w:cs="Times New Roman" w:eastAsia="Times New Roman" w:hAnsi="Times New Roman"/>
          <w:sz w:val="12"/>
          <w:szCs w:val="12"/>
          <w:b w:val="1"/>
          <w:bCs w:val="1"/>
          <w:color w:val="auto"/>
        </w:rPr>
        <w:t>as is where is</w:t>
      </w:r>
      <w:r>
        <w:rPr>
          <w:rFonts w:ascii="Times New Roman" w:cs="Times New Roman" w:eastAsia="Times New Roman" w:hAnsi="Times New Roman"/>
          <w:sz w:val="12"/>
          <w:szCs w:val="12"/>
          <w:color w:val="auto"/>
        </w:rPr>
        <w:t>" basis on delivery under this Charter.</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and the MOA, the obligation of the Owners to purchase the Vessel from the Sellers and charter the Vessel to the Charterers pursuant to this Charter shall be subject to the following conditions:</w:t>
      </w:r>
    </w:p>
    <w:p>
      <w:pPr>
        <w:spacing w:after="0" w:line="111"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on or prior to the date of this Charter or the Actual Delivery Date;</w:t>
      </w:r>
    </w:p>
    <w:p>
      <w:pPr>
        <w:spacing w:after="0" w:line="148"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referred to in Clause 47 (</w:t>
      </w:r>
      <w:r>
        <w:rPr>
          <w:rFonts w:ascii="Times New Roman" w:cs="Times New Roman" w:eastAsia="Times New Roman" w:hAnsi="Times New Roman"/>
          <w:sz w:val="12"/>
          <w:szCs w:val="12"/>
          <w:i w:val="1"/>
          <w:iCs w:val="1"/>
          <w:color w:val="auto"/>
        </w:rPr>
        <w:t>Charterers' representations and warranties</w:t>
      </w:r>
      <w:r>
        <w:rPr>
          <w:rFonts w:ascii="Times New Roman" w:cs="Times New Roman" w:eastAsia="Times New Roman" w:hAnsi="Times New Roman"/>
          <w:sz w:val="12"/>
          <w:szCs w:val="12"/>
          <w:color w:val="auto"/>
        </w:rPr>
        <w:t>) being true and correct on the date of this Charter and the Actual Delivery Date;</w:t>
      </w:r>
    </w:p>
    <w:p>
      <w:pPr>
        <w:spacing w:after="0" w:line="152"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Actual Delivery Date falls on or before the Cancellation Date (or such later date as may be agreed between the Owners (as buyers under the MOA) and Sellers; and</w:t>
      </w:r>
    </w:p>
    <w:p>
      <w:pPr>
        <w:spacing w:after="0" w:line="148" w:lineRule="exact"/>
        <w:rPr>
          <w:rFonts w:ascii="Times New Roman" w:cs="Times New Roman" w:eastAsia="Times New Roman" w:hAnsi="Times New Roman"/>
          <w:sz w:val="12"/>
          <w:szCs w:val="12"/>
          <w:color w:val="auto"/>
        </w:rPr>
      </w:pPr>
    </w:p>
    <w:p>
      <w:pPr>
        <w:ind w:left="1268" w:right="20" w:hanging="404"/>
        <w:spacing w:after="0" w:line="283" w:lineRule="auto"/>
        <w:tabs>
          <w:tab w:leader="none" w:pos="1268" w:val="left"/>
        </w:tabs>
        <w:numPr>
          <w:ilvl w:val="2"/>
          <w:numId w:val="2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received, or are satisfied that they will receive, the documents and evidence referred to in Clause 36 (</w:t>
      </w:r>
      <w:r>
        <w:rPr>
          <w:rFonts w:ascii="Times New Roman" w:cs="Times New Roman" w:eastAsia="Times New Roman" w:hAnsi="Times New Roman"/>
          <w:sz w:val="12"/>
          <w:szCs w:val="12"/>
          <w:i w:val="1"/>
          <w:iCs w:val="1"/>
          <w:color w:val="auto"/>
        </w:rPr>
        <w:t>Conditions precedent and conditions subsequent), in each case in all respects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and substance satisfactory to them on or before the Actual Delivery Date.</w:t>
      </w:r>
    </w:p>
    <w:p>
      <w:pPr>
        <w:spacing w:after="0" w:line="27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38" w:name="page239"/>
    <w:bookmarkEnd w:id="238"/>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440" w:hanging="436"/>
        <w:spacing w:after="0" w:line="279" w:lineRule="auto"/>
        <w:tabs>
          <w:tab w:leader="none" w:pos="440"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conditions referred to in paragraph (c) above have been fulfilled or waived to the satisfaction of the Owners (which shall be evidenced in writing by the Owners), the Owners and the Charterers agree that:</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their own expense, upon the Actual Delivery Date arrange for the Vessel to be registered in the name of the Owners under the Liberian flag and duly create and register a Financing Charter over the Vessel in favour of the Owners under the Liberian law as security for the obligations of the Obligors in connection with the Transaction Documents;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by the Owners of the Vessel under the MOA shall constitute delivery of the Vessel to the Charterers under this Charter and the Charterers shall have no right to refuse acceptance of delivery of the Vessel under this Charter and such acceptance shall constitute,</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acceptance of the Vessel by the Charterers for all purposes of this Charter;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for the purposes of the obligations and liabilities of the Owners hereunder or in connection herewith, the Vessel is at the time of delivery to the Charterers seaworthy, in accordance with the provisions of this Charter, in good working order and repair and without defect or inherent vice whether or not discoverable by the Charterers and free and clear of all Security Interest and debts of whatsoever nature; and</w:t>
      </w:r>
    </w:p>
    <w:p>
      <w:pPr>
        <w:spacing w:after="0" w:line="11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the Vessel is satisfactory in all respects and complies with the requirements of this Charter;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of delivery of the Vessel by the Charterers from the Owners pursuant to this Charter shall take place simultaneously with the acceptance of delivery of the Vessel by the Owners from the Sellers pursuant to the MOA;</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accept (without reservation) the Vessel:</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"as is where is" basis in exactly the same form and state as the Vessel is delivered to the Owners pursuant to the MOA;</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form and state with any faults, deficiencies and errors of any description; and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no underwater inspection shall be performed at the time of commencement of this Charter on the basis that any repairs required at the next scheduled dry-docking are the responsibility of the Charterers;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and without prejudice to the foregoing, the Owners and the Charterers nonetheless agree to enter into and execute the PDA on Delivery.</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2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and agree that the Owners are not the manufacturer or original supplier of the Vessel which has been purchased by the Owners pursuant to the MOA, and have therefore made no representations or warranties in respect of the Vessel or any part thereof, and hereby waive all their rights in respect of any warranty or condition implied (whether statutory or otherwise) on the part of the Owners and all claims against the Owners howsoever the same might arise at any time in respect of the Vessel, and/or arising out of the construction, operation or performance of the Vessel and the chartering thereof under this Charter (including, without limitation, in respect of the seaworthiness or otherwise of the Vessel).</w:t>
      </w:r>
    </w:p>
    <w:p>
      <w:pPr>
        <w:spacing w:after="0" w:line="28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39" w:name="page240"/>
    <w:bookmarkEnd w:id="23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jc w:val="both"/>
        <w:ind w:left="868" w:hanging="436"/>
        <w:spacing w:after="0" w:line="265" w:lineRule="auto"/>
        <w:tabs>
          <w:tab w:leader="none" w:pos="868" w:val="left"/>
        </w:tabs>
        <w:numPr>
          <w:ilvl w:val="1"/>
          <w:numId w:val="2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particular, and without prejudice to the generality of paragraph (e) above, the Owners shall be under no liability whatsoever, howsoever arising, in respect of the injury, death, loss, damage or delay of or to or in connection with the Vessel or any person or property whatsoever, whether onboard the Vessel or elsewhere, and irrespective of whether such injury, death, loss, damage or delay shall arise from the unseaworthiness of the Vessel. For the purpose of this paragraph (f), "delay" shall include delay to the Vessel (whether in respect of delivery under this Charter or thereafter and any other delay whatsoever).</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4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precedent and conditions subsequent</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Conditions</w:t>
      </w:r>
    </w:p>
    <w:p>
      <w:pPr>
        <w:spacing w:after="0" w:line="150" w:lineRule="exact"/>
        <w:rPr>
          <w:rFonts w:ascii="Times New Roman" w:cs="Times New Roman" w:eastAsia="Times New Roman" w:hAnsi="Times New Roman"/>
          <w:sz w:val="12"/>
          <w:szCs w:val="12"/>
          <w:color w:val="auto"/>
        </w:rPr>
      </w:pPr>
    </w:p>
    <w:p>
      <w:pPr>
        <w:jc w:val="both"/>
        <w:ind w:left="868"/>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or the MOA, the performance by the Owners of any of the obligations of under this Charter and the MOA (including, without limitation to, preposition or payment of the MOA Purchase Price (or a part hereof) under the MOA) are subject to and conditional upon the Owners' receipt of following documents and evidence (in each case in form and substance acceptable to the Owners) prior to or contemporaneously with the execution of this Charter (or such other date as the Owners and the Charterers may agree):</w:t>
      </w:r>
    </w:p>
    <w:p>
      <w:pPr>
        <w:spacing w:after="0" w:line="118" w:lineRule="exact"/>
        <w:rPr>
          <w:rFonts w:ascii="Times New Roman" w:cs="Times New Roman" w:eastAsia="Times New Roman" w:hAnsi="Times New Roman"/>
          <w:sz w:val="12"/>
          <w:szCs w:val="12"/>
          <w:color w:val="auto"/>
        </w:rPr>
      </w:pPr>
    </w:p>
    <w:p>
      <w:pPr>
        <w:ind w:left="1188" w:hanging="342"/>
        <w:spacing w:after="0"/>
        <w:tabs>
          <w:tab w:leader="none" w:pos="1188" w:val="left"/>
        </w:tabs>
        <w:numPr>
          <w:ilvl w:val="2"/>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duly executed by the parties thereto:</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3"/>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3"/>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3"/>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3"/>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3"/>
          <w:numId w:val="2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150" w:lineRule="exact"/>
        <w:rPr>
          <w:sz w:val="20"/>
          <w:szCs w:val="20"/>
          <w:color w:val="auto"/>
        </w:rPr>
      </w:pPr>
    </w:p>
    <w:p>
      <w:pPr>
        <w:jc w:val="both"/>
        <w:ind w:left="1188"/>
        <w:spacing w:after="0" w:line="265" w:lineRule="auto"/>
        <w:rPr>
          <w:sz w:val="20"/>
          <w:szCs w:val="20"/>
          <w:color w:val="auto"/>
        </w:rPr>
      </w:pPr>
      <w:r>
        <w:rPr>
          <w:rFonts w:ascii="Times New Roman" w:cs="Times New Roman" w:eastAsia="Times New Roman" w:hAnsi="Times New Roman"/>
          <w:sz w:val="12"/>
          <w:szCs w:val="12"/>
          <w:color w:val="auto"/>
        </w:rPr>
        <w:t>each together with all documents required by any of them, including without limitation to the original Certificate of Limited Liability Company Interest and other ancillary documents required under the Share Security (or, in case the Actual Delivery Date would occur within ten (10) Business Days of the date of this Charter, undertaking that the original certificate and documents shall be delivered to the Owners within ten (10) Business Days of the date hereof);</w:t>
      </w:r>
    </w:p>
    <w:p>
      <w:pPr>
        <w:spacing w:after="0" w:line="119" w:lineRule="exact"/>
        <w:rPr>
          <w:sz w:val="20"/>
          <w:szCs w:val="20"/>
          <w:color w:val="auto"/>
        </w:rPr>
      </w:pPr>
    </w:p>
    <w:p>
      <w:pPr>
        <w:ind w:left="1188" w:hanging="342"/>
        <w:spacing w:after="0"/>
        <w:tabs>
          <w:tab w:leader="none" w:pos="1188" w:val="left"/>
        </w:tabs>
        <w:numPr>
          <w:ilvl w:val="0"/>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each Obligor which is a party to the documents listed in above paragraph (i):</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its constitutional documents including Certificate of Incorporation, Business Registration Certificate, Memorandum and Articles of Association (or equivalent in its place of incorporation);</w:t>
      </w:r>
    </w:p>
    <w:p>
      <w:pPr>
        <w:spacing w:after="0" w:line="150" w:lineRule="exact"/>
        <w:rPr>
          <w:rFonts w:ascii="Times New Roman" w:cs="Times New Roman" w:eastAsia="Times New Roman" w:hAnsi="Times New Roman"/>
          <w:sz w:val="12"/>
          <w:szCs w:val="12"/>
          <w:color w:val="auto"/>
        </w:rPr>
      </w:pPr>
    </w:p>
    <w:p>
      <w:pPr>
        <w:ind w:left="1688" w:hanging="500"/>
        <w:spacing w:after="0"/>
        <w:tabs>
          <w:tab w:leader="none" w:pos="168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date of this Charter;</w:t>
      </w:r>
    </w:p>
    <w:p>
      <w:pPr>
        <w:spacing w:after="0" w:line="150" w:lineRule="exact"/>
        <w:rPr>
          <w:rFonts w:ascii="Times New Roman" w:cs="Times New Roman" w:eastAsia="Times New Roman" w:hAnsi="Times New Roman"/>
          <w:sz w:val="12"/>
          <w:szCs w:val="12"/>
          <w:color w:val="auto"/>
        </w:rPr>
      </w:pPr>
    </w:p>
    <w:p>
      <w:pPr>
        <w:ind w:left="1688" w:hanging="500"/>
        <w:spacing w:after="0" w:line="279" w:lineRule="auto"/>
        <w:tabs>
          <w:tab w:leader="none" w:pos="1688" w:val="left"/>
        </w:tabs>
        <w:numPr>
          <w:ilvl w:val="1"/>
          <w:numId w:val="2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Incumbency issued by relevant authority or company secretary or registered agent (as the case may be) dated on or around the date of this Charter showing its members/shareholders, directors and officers;</w:t>
      </w:r>
    </w:p>
    <w:p>
      <w:pPr>
        <w:spacing w:after="0" w:line="27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40" w:name="page241"/>
    <w:bookmarkEnd w:id="24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1260" w:hanging="500"/>
        <w:spacing w:after="0" w:line="279" w:lineRule="auto"/>
        <w:tabs>
          <w:tab w:leader="none" w:pos="1260"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Resolutions of the board of directors and/or resolutions of shareholders/members (whichever is applicable), approving the execution of this Charter and any other Transaction Document to which it is a party and authorizing a person or persons to execute the same under seal (where appropriate), and any other notices and documents required in connection therewith;</w:t>
      </w:r>
    </w:p>
    <w:p>
      <w:pPr>
        <w:spacing w:after="0" w:line="111"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Power of attorney of each person authorised to execute on its behalf this Charter and any other Transaction Document to which it is a party; and</w:t>
      </w:r>
    </w:p>
    <w:p>
      <w:pPr>
        <w:spacing w:after="0" w:line="150" w:lineRule="exact"/>
        <w:rPr>
          <w:rFonts w:ascii="Times New Roman" w:cs="Times New Roman" w:eastAsia="Times New Roman" w:hAnsi="Times New Roman"/>
          <w:sz w:val="12"/>
          <w:szCs w:val="12"/>
          <w:color w:val="auto"/>
        </w:rPr>
      </w:pPr>
    </w:p>
    <w:p>
      <w:pPr>
        <w:jc w:val="both"/>
        <w:ind w:left="1260" w:hanging="500"/>
        <w:spacing w:after="0" w:line="265" w:lineRule="auto"/>
        <w:tabs>
          <w:tab w:leader="none" w:pos="1260" w:val="left"/>
        </w:tabs>
        <w:numPr>
          <w:ilvl w:val="1"/>
          <w:numId w:val="2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date of this Charter certifying that each copy document relating to it specified in this paragraph (ii) is correct, complete and in full force and effect and setting out the names of its directors, officers and shareholders and the proportion of shares held by each shareholder and the specimen signature(s) of each of the directors, officers and (if power of attorney is granted) the persons authorised under the power of attorney.</w:t>
      </w:r>
    </w:p>
    <w:p>
      <w:pPr>
        <w:spacing w:after="0" w:line="118" w:lineRule="exact"/>
        <w:rPr>
          <w:rFonts w:ascii="Times New Roman" w:cs="Times New Roman" w:eastAsia="Times New Roman" w:hAnsi="Times New Roman"/>
          <w:sz w:val="12"/>
          <w:szCs w:val="12"/>
          <w:color w:val="auto"/>
        </w:rPr>
      </w:pPr>
    </w:p>
    <w:p>
      <w:pPr>
        <w:ind w:left="760" w:hanging="342"/>
        <w:spacing w:after="0"/>
        <w:tabs>
          <w:tab w:leader="none" w:pos="760" w:val="left"/>
        </w:tabs>
        <w:numPr>
          <w:ilvl w:val="0"/>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satisfactory to the Owners that:</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 and the Arrangement Fee have been paid in full;</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immediately after the Actual Delivery Date,</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will be registered in the name of the Owners; and</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Financing Charter over the Vessel granted by the Charterers in favour of the Owners will be duly registered with the Liberian ship registry;</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2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or will on the Actual Delivery Date insured in the manner required by the Transaction Documents.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The conditions precedent set out in paragraph (a) are for the sole benefit of the Owners and may be waived by the Owners in whole or in part, with or without conditions, without prejudicing the right of the Owners to require fulfilment of such conditions in whole or in part at any time thereafter.</w:t>
      </w:r>
    </w:p>
    <w:p>
      <w:pPr>
        <w:spacing w:after="0" w:line="111" w:lineRule="exact"/>
        <w:rPr>
          <w:sz w:val="20"/>
          <w:szCs w:val="20"/>
          <w:color w:val="auto"/>
        </w:rPr>
      </w:pPr>
    </w:p>
    <w:p>
      <w:pPr>
        <w:ind w:left="440" w:hanging="436"/>
        <w:spacing w:after="0"/>
        <w:tabs>
          <w:tab w:leader="none" w:pos="440" w:val="left"/>
        </w:tabs>
        <w:numPr>
          <w:ilvl w:val="0"/>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Precedent</w:t>
      </w:r>
    </w:p>
    <w:p>
      <w:pPr>
        <w:spacing w:after="0" w:line="150" w:lineRule="exact"/>
        <w:rPr>
          <w:rFonts w:ascii="Times New Roman" w:cs="Times New Roman" w:eastAsia="Times New Roman" w:hAnsi="Times New Roman"/>
          <w:sz w:val="12"/>
          <w:szCs w:val="12"/>
          <w:color w:val="auto"/>
        </w:rPr>
      </w:pPr>
    </w:p>
    <w:p>
      <w:pPr>
        <w:ind w:left="440" w:right="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the obligations of the Owners to charter the Vessel to the Charterers under this Charter are subject to and conditional upon the Owners' receipt of following documents and evidence (in each case in form and substance acceptable to the Owners) on or before the Actual Delivery Date:</w:t>
      </w:r>
    </w:p>
    <w:p>
      <w:pPr>
        <w:spacing w:after="0" w:line="111"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duly executed:</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Charterers' Assignment;</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Manager's Undertakings,</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 (if applicable); and</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2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Security Documents (if any),</w:t>
      </w:r>
    </w:p>
    <w:p>
      <w:pPr>
        <w:spacing w:after="0" w:line="150" w:lineRule="exact"/>
        <w:rPr>
          <w:sz w:val="20"/>
          <w:szCs w:val="20"/>
          <w:color w:val="auto"/>
        </w:rPr>
      </w:pPr>
    </w:p>
    <w:p>
      <w:pPr>
        <w:ind w:left="1280"/>
        <w:spacing w:after="0" w:line="279" w:lineRule="auto"/>
        <w:rPr>
          <w:sz w:val="20"/>
          <w:szCs w:val="20"/>
          <w:color w:val="auto"/>
        </w:rPr>
      </w:pPr>
      <w:r>
        <w:rPr>
          <w:rFonts w:ascii="Times New Roman" w:cs="Times New Roman" w:eastAsia="Times New Roman" w:hAnsi="Times New Roman"/>
          <w:sz w:val="12"/>
          <w:szCs w:val="12"/>
          <w:color w:val="auto"/>
        </w:rPr>
        <w:t>each together with all documents required by any of them (other than the documents set out in paragraph (d) of this Clause 36) including, without limitation, all notices of assignment and/or charge; and</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41" w:name="page242"/>
    <w:bookmarkEnd w:id="24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80" w:right="20" w:hanging="412"/>
        <w:spacing w:after="0" w:line="279" w:lineRule="auto"/>
        <w:tabs>
          <w:tab w:leader="none" w:pos="880" w:val="left"/>
        </w:tabs>
        <w:numPr>
          <w:ilvl w:val="1"/>
          <w:numId w:val="2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duly executed Finance Document to which the Obligors are parties, together with all notices, consents, letters and other documents required to be received (in each case in form and substance acceptable to the Owners and the Finance Parties) other than the documents set out in paragraph (d) of this Clause 36;</w:t>
      </w:r>
    </w:p>
    <w:p>
      <w:pPr>
        <w:spacing w:after="0" w:line="111" w:lineRule="exact"/>
        <w:rPr>
          <w:rFonts w:ascii="Times New Roman" w:cs="Times New Roman" w:eastAsia="Times New Roman" w:hAnsi="Times New Roman"/>
          <w:sz w:val="12"/>
          <w:szCs w:val="12"/>
          <w:color w:val="auto"/>
        </w:rPr>
      </w:pPr>
    </w:p>
    <w:p>
      <w:pPr>
        <w:ind w:left="440" w:hanging="431"/>
        <w:spacing w:after="0"/>
        <w:tabs>
          <w:tab w:leader="none" w:pos="44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the Charterers:</w:t>
      </w:r>
    </w:p>
    <w:p>
      <w:pPr>
        <w:spacing w:after="0" w:line="150" w:lineRule="exact"/>
        <w:rPr>
          <w:rFonts w:ascii="Times New Roman" w:cs="Times New Roman" w:eastAsia="Times New Roman" w:hAnsi="Times New Roman"/>
          <w:sz w:val="12"/>
          <w:szCs w:val="12"/>
          <w:color w:val="auto"/>
        </w:rPr>
      </w:pPr>
    </w:p>
    <w:p>
      <w:pPr>
        <w:ind w:left="880" w:hanging="412"/>
        <w:spacing w:after="0"/>
        <w:tabs>
          <w:tab w:leader="none" w:pos="880"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Actual Delivery Date; and</w:t>
      </w:r>
    </w:p>
    <w:p>
      <w:pPr>
        <w:spacing w:after="0" w:line="148" w:lineRule="exact"/>
        <w:rPr>
          <w:rFonts w:ascii="Times New Roman" w:cs="Times New Roman" w:eastAsia="Times New Roman" w:hAnsi="Times New Roman"/>
          <w:sz w:val="12"/>
          <w:szCs w:val="12"/>
          <w:color w:val="auto"/>
        </w:rPr>
      </w:pPr>
    </w:p>
    <w:p>
      <w:pPr>
        <w:ind w:left="880" w:hanging="412"/>
        <w:spacing w:after="0" w:line="283" w:lineRule="auto"/>
        <w:tabs>
          <w:tab w:leader="none" w:pos="880"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Actual Delivery Date certifying that none of the documents and evidence delivered to the Owners pursuant to Clause 36(a)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has been amended, modified or revoked in any way since its delivery to the Owners; and</w:t>
      </w:r>
    </w:p>
    <w:p>
      <w:pPr>
        <w:spacing w:after="0" w:line="108" w:lineRule="exact"/>
        <w:rPr>
          <w:rFonts w:ascii="Times New Roman" w:cs="Times New Roman" w:eastAsia="Times New Roman" w:hAnsi="Times New Roman"/>
          <w:sz w:val="12"/>
          <w:szCs w:val="12"/>
          <w:color w:val="auto"/>
        </w:rPr>
      </w:pPr>
    </w:p>
    <w:p>
      <w:pPr>
        <w:ind w:left="440" w:hanging="431"/>
        <w:spacing w:after="0" w:line="279" w:lineRule="auto"/>
        <w:tabs>
          <w:tab w:leader="none" w:pos="44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copies of all governmental and other consents, licences, approvals and authorisations as may be necessary to authorise the performance by each of the Obligors of its obligations under the Transaction Documents to which it or he is, or (as the case may be) will be a party, and the execution, validity and enforceability of such Transaction Documents;</w:t>
      </w:r>
    </w:p>
    <w:p>
      <w:pPr>
        <w:spacing w:after="0" w:line="111" w:lineRule="exact"/>
        <w:rPr>
          <w:rFonts w:ascii="Times New Roman" w:cs="Times New Roman" w:eastAsia="Times New Roman" w:hAnsi="Times New Roman"/>
          <w:sz w:val="12"/>
          <w:szCs w:val="12"/>
          <w:color w:val="auto"/>
        </w:rPr>
      </w:pPr>
    </w:p>
    <w:p>
      <w:pPr>
        <w:ind w:left="440" w:hanging="431"/>
        <w:spacing w:after="0"/>
        <w:tabs>
          <w:tab w:leader="none" w:pos="440" w:val="left"/>
        </w:tabs>
        <w:numPr>
          <w:ilvl w:val="0"/>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copy of the following:</w:t>
      </w:r>
    </w:p>
    <w:p>
      <w:pPr>
        <w:spacing w:after="0" w:line="150" w:lineRule="exact"/>
        <w:rPr>
          <w:rFonts w:ascii="Times New Roman" w:cs="Times New Roman" w:eastAsia="Times New Roman" w:hAnsi="Times New Roman"/>
          <w:sz w:val="12"/>
          <w:szCs w:val="12"/>
          <w:color w:val="auto"/>
        </w:rPr>
      </w:pPr>
    </w:p>
    <w:p>
      <w:pPr>
        <w:ind w:left="880" w:hanging="412"/>
        <w:spacing w:after="0"/>
        <w:tabs>
          <w:tab w:leader="none" w:pos="880"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Document of Compliance (DOC) under the ISM Code of the Approved Manager with respect to technical management of the Vessel; and</w:t>
      </w:r>
    </w:p>
    <w:p>
      <w:pPr>
        <w:spacing w:after="0" w:line="150" w:lineRule="exact"/>
        <w:rPr>
          <w:rFonts w:ascii="Times New Roman" w:cs="Times New Roman" w:eastAsia="Times New Roman" w:hAnsi="Times New Roman"/>
          <w:sz w:val="12"/>
          <w:szCs w:val="12"/>
          <w:color w:val="auto"/>
        </w:rPr>
      </w:pPr>
    </w:p>
    <w:p>
      <w:pPr>
        <w:ind w:left="880" w:hanging="412"/>
        <w:spacing w:after="0"/>
        <w:tabs>
          <w:tab w:leader="none" w:pos="880" w:val="left"/>
        </w:tabs>
        <w:numPr>
          <w:ilvl w:val="1"/>
          <w:numId w:val="2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Ship Management Agreement;</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each case together with all addenda, amendments or supplements;</w:t>
      </w:r>
    </w:p>
    <w:p>
      <w:pPr>
        <w:spacing w:after="0" w:line="150" w:lineRule="exact"/>
        <w:rPr>
          <w:sz w:val="20"/>
          <w:szCs w:val="20"/>
          <w:color w:val="auto"/>
        </w:rPr>
      </w:pPr>
    </w:p>
    <w:p>
      <w:pPr>
        <w:ind w:left="440" w:hanging="431"/>
        <w:spacing w:after="0"/>
        <w:tabs>
          <w:tab w:leader="none" w:pos="440"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later than two (2) Business Days prior to the Actual Delivery Date, evidence that:</w:t>
      </w:r>
    </w:p>
    <w:p>
      <w:pPr>
        <w:spacing w:after="0" w:line="150" w:lineRule="exact"/>
        <w:rPr>
          <w:rFonts w:ascii="Times New Roman" w:cs="Times New Roman" w:eastAsia="Times New Roman" w:hAnsi="Times New Roman"/>
          <w:sz w:val="12"/>
          <w:szCs w:val="12"/>
          <w:color w:val="auto"/>
        </w:rPr>
      </w:pPr>
    </w:p>
    <w:p>
      <w:pPr>
        <w:ind w:left="880" w:hanging="430"/>
        <w:spacing w:after="0"/>
        <w:tabs>
          <w:tab w:leader="none" w:pos="880"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 Novation Agreement has been duly executed by all parties thereto;</w:t>
      </w:r>
    </w:p>
    <w:p>
      <w:pPr>
        <w:spacing w:after="0" w:line="148" w:lineRule="exact"/>
        <w:rPr>
          <w:rFonts w:ascii="Times New Roman" w:cs="Times New Roman" w:eastAsia="Times New Roman" w:hAnsi="Times New Roman"/>
          <w:sz w:val="12"/>
          <w:szCs w:val="12"/>
          <w:color w:val="auto"/>
        </w:rPr>
      </w:pPr>
    </w:p>
    <w:p>
      <w:pPr>
        <w:ind w:left="880" w:hanging="430"/>
        <w:spacing w:after="0"/>
        <w:tabs>
          <w:tab w:leader="none" w:pos="880" w:val="left"/>
        </w:tabs>
        <w:numPr>
          <w:ilvl w:val="1"/>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fees, costs and expenses due from the Charterers under the MOA and/or Clause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have been paid or will be paid by the Actual Delivery Date;</w:t>
      </w:r>
    </w:p>
    <w:p>
      <w:pPr>
        <w:spacing w:after="0" w:line="152" w:lineRule="exact"/>
        <w:rPr>
          <w:rFonts w:ascii="Times New Roman" w:cs="Times New Roman" w:eastAsia="Times New Roman" w:hAnsi="Times New Roman"/>
          <w:sz w:val="12"/>
          <w:szCs w:val="12"/>
          <w:color w:val="auto"/>
        </w:rPr>
      </w:pPr>
    </w:p>
    <w:p>
      <w:pPr>
        <w:ind w:left="880" w:hanging="412"/>
        <w:spacing w:after="0" w:line="279" w:lineRule="auto"/>
        <w:tabs>
          <w:tab w:leader="none" w:pos="880" w:val="left"/>
        </w:tabs>
        <w:numPr>
          <w:ilvl w:val="2"/>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undertaking (together with attachments) from relevant insurers in respect of Insurances as required by the Charterers’ Assignment will, on or immediately after the Actual Delivery Date, be duly executed in the agreed forms and delivered to the Security Trustee; and</w:t>
      </w:r>
    </w:p>
    <w:p>
      <w:pPr>
        <w:spacing w:after="0" w:line="111" w:lineRule="exact"/>
        <w:rPr>
          <w:rFonts w:ascii="Times New Roman" w:cs="Times New Roman" w:eastAsia="Times New Roman" w:hAnsi="Times New Roman"/>
          <w:sz w:val="12"/>
          <w:szCs w:val="12"/>
          <w:color w:val="auto"/>
        </w:rPr>
      </w:pPr>
    </w:p>
    <w:p>
      <w:pPr>
        <w:ind w:left="880" w:hanging="412"/>
        <w:spacing w:after="0" w:line="279" w:lineRule="auto"/>
        <w:tabs>
          <w:tab w:leader="none" w:pos="880" w:val="left"/>
        </w:tabs>
        <w:numPr>
          <w:ilvl w:val="2"/>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consents, acknowledgements and other documents required to be received, given or exchanged pursuant to the Transaction Documents having been duly executed and delivered pursuant to the terms thereof.</w:t>
      </w:r>
    </w:p>
    <w:p>
      <w:pPr>
        <w:spacing w:after="0" w:line="111" w:lineRule="exact"/>
        <w:rPr>
          <w:rFonts w:ascii="Times New Roman" w:cs="Times New Roman" w:eastAsia="Times New Roman" w:hAnsi="Times New Roman"/>
          <w:sz w:val="12"/>
          <w:szCs w:val="12"/>
          <w:color w:val="auto"/>
        </w:rPr>
      </w:pPr>
    </w:p>
    <w:p>
      <w:pPr>
        <w:ind w:left="440" w:hanging="431"/>
        <w:spacing w:after="0" w:line="279" w:lineRule="auto"/>
        <w:tabs>
          <w:tab w:leader="none" w:pos="440" w:val="left"/>
        </w:tabs>
        <w:numPr>
          <w:ilvl w:val="0"/>
          <w:numId w:val="2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legal opinion of the legal advisers to the Owners in each relevant jurisdiction (being England, the Marshall Islands and the Republic of Liberia as at the date of this Charter), or confirmation satisfactory to the Owners that such an opinion will be given in such form and substance satisfactory to the Owners;</w:t>
      </w:r>
    </w:p>
    <w:p>
      <w:pPr>
        <w:spacing w:after="0" w:line="2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10795</wp:posOffset>
            </wp:positionV>
            <wp:extent cx="7178040" cy="571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80"/>
          </w:cols>
          <w:pgMar w:left="1120" w:top="205" w:right="299" w:bottom="1440" w:gutter="0" w:footer="0" w:header="0"/>
        </w:sectPr>
      </w:pPr>
    </w:p>
    <w:bookmarkStart w:id="242" w:name="page243"/>
    <w:bookmarkEnd w:id="24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40" w:right="20" w:hanging="431"/>
        <w:spacing w:after="0" w:line="279" w:lineRule="auto"/>
        <w:tabs>
          <w:tab w:leader="none" w:pos="84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documentation and other evidence as is reasonably requested by the Owners in order for them to comply with all necessary "know your customer" or similar identification procedures in relation the transactions contemplated in the Transaction Documents; and</w:t>
      </w:r>
    </w:p>
    <w:p>
      <w:pPr>
        <w:spacing w:after="0" w:line="111" w:lineRule="exact"/>
        <w:rPr>
          <w:rFonts w:ascii="Times New Roman" w:cs="Times New Roman" w:eastAsia="Times New Roman" w:hAnsi="Times New Roman"/>
          <w:sz w:val="12"/>
          <w:szCs w:val="12"/>
          <w:color w:val="auto"/>
        </w:rPr>
      </w:pPr>
    </w:p>
    <w:p>
      <w:pPr>
        <w:ind w:left="840" w:hanging="431"/>
        <w:spacing w:after="0" w:line="279" w:lineRule="auto"/>
        <w:tabs>
          <w:tab w:leader="none" w:pos="840" w:val="left"/>
        </w:tabs>
        <w:numPr>
          <w:ilvl w:val="0"/>
          <w:numId w:val="2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consent, licence, approval, authorisation or other document, opinion or assurance which the Owners consider to be necessary or desirable in connection with their entry into and performance of the transactions contemplated by any of the Transaction Documents or for the validity and enforceability thereof (including, without limitation in relation to or for the purposes of any financing by the Owners),</w:t>
      </w:r>
    </w:p>
    <w:p>
      <w:pPr>
        <w:spacing w:after="0" w:line="109" w:lineRule="exact"/>
        <w:rPr>
          <w:sz w:val="20"/>
          <w:szCs w:val="20"/>
          <w:color w:val="auto"/>
        </w:rPr>
      </w:pPr>
    </w:p>
    <w:p>
      <w:pPr>
        <w:ind w:left="440" w:right="20"/>
        <w:spacing w:after="0" w:line="283" w:lineRule="auto"/>
        <w:rPr>
          <w:sz w:val="20"/>
          <w:szCs w:val="20"/>
          <w:color w:val="auto"/>
        </w:rPr>
      </w:pPr>
      <w:r>
        <w:rPr>
          <w:rFonts w:ascii="Times New Roman" w:cs="Times New Roman" w:eastAsia="Times New Roman" w:hAnsi="Times New Roman"/>
          <w:sz w:val="12"/>
          <w:szCs w:val="12"/>
          <w:color w:val="auto"/>
        </w:rPr>
        <w:t xml:space="preserve">provided that if the Owners (as buyers) have already received documents corresponding to the above provided by the Sellers (as sellers) pursuant to the MOA, this shall </w:t>
      </w:r>
      <w:r>
        <w:rPr>
          <w:rFonts w:ascii="Times New Roman" w:cs="Times New Roman" w:eastAsia="Times New Roman" w:hAnsi="Times New Roman"/>
          <w:sz w:val="12"/>
          <w:szCs w:val="12"/>
          <w:i w:val="1"/>
          <w:iCs w:val="1"/>
          <w:color w:val="auto"/>
        </w:rPr>
        <w:t>pro tanto</w:t>
      </w:r>
      <w:r>
        <w:rPr>
          <w:rFonts w:ascii="Times New Roman" w:cs="Times New Roman" w:eastAsia="Times New Roman" w:hAnsi="Times New Roman"/>
          <w:sz w:val="12"/>
          <w:szCs w:val="12"/>
          <w:color w:val="auto"/>
        </w:rPr>
        <w:t xml:space="preserve"> satisfy the Charterers' obligation to provide the same documents under this Clause 36(b).</w:t>
      </w:r>
    </w:p>
    <w:p>
      <w:pPr>
        <w:spacing w:after="0" w:line="109" w:lineRule="exact"/>
        <w:rPr>
          <w:sz w:val="20"/>
          <w:szCs w:val="20"/>
          <w:color w:val="auto"/>
        </w:rPr>
      </w:pPr>
    </w:p>
    <w:p>
      <w:pPr>
        <w:ind w:left="440" w:hanging="436"/>
        <w:spacing w:after="0"/>
        <w:tabs>
          <w:tab w:leader="none" w:pos="44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Right to Waive</w:t>
      </w:r>
    </w:p>
    <w:p>
      <w:pPr>
        <w:spacing w:after="0" w:line="148" w:lineRule="exact"/>
        <w:rPr>
          <w:rFonts w:ascii="Times New Roman" w:cs="Times New Roman" w:eastAsia="Times New Roman" w:hAnsi="Times New Roman"/>
          <w:sz w:val="12"/>
          <w:szCs w:val="12"/>
          <w:color w:val="auto"/>
        </w:rPr>
      </w:pPr>
    </w:p>
    <w:p>
      <w:pPr>
        <w:jc w:val="both"/>
        <w:ind w:left="44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in their sole discretion agree to deliver the Vessel under this Charter to the Charterers before all of the documents and evidence required under paragraph (a)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or (b) (</w:t>
      </w:r>
      <w:r>
        <w:rPr>
          <w:rFonts w:ascii="Times New Roman" w:cs="Times New Roman" w:eastAsia="Times New Roman" w:hAnsi="Times New Roman"/>
          <w:sz w:val="12"/>
          <w:szCs w:val="12"/>
          <w:i w:val="1"/>
          <w:iCs w:val="1"/>
          <w:color w:val="auto"/>
        </w:rPr>
        <w:t>Conditions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Precedent</w:t>
      </w:r>
      <w:r>
        <w:rPr>
          <w:rFonts w:ascii="Times New Roman" w:cs="Times New Roman" w:eastAsia="Times New Roman" w:hAnsi="Times New Roman"/>
          <w:sz w:val="12"/>
          <w:szCs w:val="12"/>
          <w:color w:val="auto"/>
        </w:rPr>
        <w:t>) of this Clause 36 have been delivered to or to the order of the Owners, the Charterers undertake to deliver all outstanding documents and evidence to or to the order of the Owners no later than ten (10)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Days after the Actual Delivery Date or such other later date as specified by the Owners, acting in their sole discretion. The delivery of the Vessel by the Owners to the Charterers under this Charter shall not, unless otherwise notified by the Owners (acting in their sole discretion) to the Charterers in writing, be taken as a waiver of the Owners' right to require production of all the documents and evidenced required by this Clause 36.</w:t>
      </w:r>
    </w:p>
    <w:p>
      <w:pPr>
        <w:spacing w:after="0" w:line="124"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Subsequent</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foregoing, the Charterers undertake to deliver or cause to be delivered to the Owners, the following documents and evidence (in each case in form and substance acceptable to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w:t>
      </w:r>
    </w:p>
    <w:p>
      <w:pPr>
        <w:spacing w:after="0" w:line="150" w:lineRule="exact"/>
        <w:rPr>
          <w:rFonts w:ascii="Times New Roman" w:cs="Times New Roman" w:eastAsia="Times New Roman" w:hAnsi="Times New Roman"/>
          <w:sz w:val="12"/>
          <w:szCs w:val="12"/>
          <w:color w:val="auto"/>
        </w:rPr>
      </w:pPr>
    </w:p>
    <w:p>
      <w:pPr>
        <w:jc w:val="both"/>
        <w:ind w:left="1300" w:right="20" w:hanging="432"/>
        <w:spacing w:after="0" w:line="265" w:lineRule="auto"/>
        <w:tabs>
          <w:tab w:leader="none" w:pos="1300" w:val="left"/>
        </w:tabs>
        <w:numPr>
          <w:ilvl w:val="2"/>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letters of undertaking (together with attachments) from relevant insurers (or by the brokers through whom the Insurances are placed, or, in the case of entries in protection and indemnity or war risks associations, by their managers) in respect of Insurance as required under this Charter, the Charterers’ Assignment and the Manager’s Undertaking, in each case, in such form and substances in compliance with the requirements of the relevant Transaction Documents; and</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2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assignment in respect of the Initial Sub-Charter required under the Charterers' Assignment has been served to the Initial Sub-Charterers and, the written acknowledgement thereof by the Initial Sub-Charterers, in each case, in such form and substances in compliance with the requirements of the Charterers' Assignment;</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43" w:name="page244"/>
    <w:bookmarkEnd w:id="24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1288" w:hanging="424"/>
        <w:spacing w:after="0"/>
        <w:tabs>
          <w:tab w:leader="none" w:pos="128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 the following certification with respect to the Vessel (showing the Owners as the owner of the Vessel):</w:t>
      </w:r>
    </w:p>
    <w:p>
      <w:pPr>
        <w:spacing w:after="0" w:line="312"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Safety Management Certificate (as such term is defined pursuant to the ISM Code);</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ISSC; and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IAPPC;</w:t>
      </w:r>
    </w:p>
    <w:p>
      <w:pPr>
        <w:spacing w:after="0" w:line="150" w:lineRule="exact"/>
        <w:rPr>
          <w:rFonts w:ascii="Times New Roman" w:cs="Times New Roman" w:eastAsia="Times New Roman" w:hAnsi="Times New Roman"/>
          <w:sz w:val="12"/>
          <w:szCs w:val="12"/>
          <w:color w:val="auto"/>
        </w:rPr>
      </w:pPr>
    </w:p>
    <w:p>
      <w:pPr>
        <w:ind w:left="1288" w:right="20" w:hanging="424"/>
        <w:spacing w:after="0" w:line="279" w:lineRule="auto"/>
        <w:tabs>
          <w:tab w:leader="none" w:pos="128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ten (10) Business Days from the Actual Delivery Date, the originals of the Transaction Documents and other documents set out in Clauses 36(a) and 36(b) and the originals of the sellers' delivery documents set out in schedule 1 (</w:t>
      </w:r>
      <w:r>
        <w:rPr>
          <w:rFonts w:ascii="Times New Roman" w:cs="Times New Roman" w:eastAsia="Times New Roman" w:hAnsi="Times New Roman"/>
          <w:sz w:val="12"/>
          <w:szCs w:val="12"/>
          <w:i w:val="1"/>
          <w:iCs w:val="1"/>
          <w:color w:val="auto"/>
        </w:rPr>
        <w:t>Seller's Delivery Documents</w:t>
      </w:r>
      <w:r>
        <w:rPr>
          <w:rFonts w:ascii="Times New Roman" w:cs="Times New Roman" w:eastAsia="Times New Roman" w:hAnsi="Times New Roman"/>
          <w:sz w:val="12"/>
          <w:szCs w:val="12"/>
          <w:color w:val="auto"/>
        </w:rPr>
        <w:t>) of the MOA; and</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two (2) months of the Actual Delivery Date,</w:t>
      </w:r>
    </w:p>
    <w:p>
      <w:pPr>
        <w:spacing w:after="0" w:line="150" w:lineRule="exact"/>
        <w:rPr>
          <w:rFonts w:ascii="Times New Roman" w:cs="Times New Roman" w:eastAsia="Times New Roman" w:hAnsi="Times New Roman"/>
          <w:sz w:val="12"/>
          <w:szCs w:val="12"/>
          <w:color w:val="auto"/>
        </w:rPr>
      </w:pPr>
    </w:p>
    <w:p>
      <w:pPr>
        <w:ind w:left="1708" w:hanging="412"/>
        <w:spacing w:after="0"/>
        <w:tabs>
          <w:tab w:leader="none" w:pos="170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duly executed Account Security;</w:t>
      </w:r>
    </w:p>
    <w:p>
      <w:pPr>
        <w:spacing w:after="0" w:line="150" w:lineRule="exact"/>
        <w:rPr>
          <w:rFonts w:ascii="Times New Roman" w:cs="Times New Roman" w:eastAsia="Times New Roman" w:hAnsi="Times New Roman"/>
          <w:sz w:val="12"/>
          <w:szCs w:val="12"/>
          <w:color w:val="auto"/>
        </w:rPr>
      </w:pPr>
    </w:p>
    <w:p>
      <w:pPr>
        <w:ind w:left="1708" w:hanging="412"/>
        <w:spacing w:after="0" w:line="279" w:lineRule="auto"/>
        <w:tabs>
          <w:tab w:leader="none" w:pos="170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charge required under the Account Security has been served to the Account Bank and, the written acknowledgement thereof by the Account Bank in such form and substance satisfactory to the Owners; and</w:t>
      </w:r>
    </w:p>
    <w:p>
      <w:pPr>
        <w:spacing w:after="0" w:line="111" w:lineRule="exact"/>
        <w:rPr>
          <w:rFonts w:ascii="Times New Roman" w:cs="Times New Roman" w:eastAsia="Times New Roman" w:hAnsi="Times New Roman"/>
          <w:sz w:val="12"/>
          <w:szCs w:val="12"/>
          <w:color w:val="auto"/>
        </w:rPr>
      </w:pPr>
    </w:p>
    <w:p>
      <w:pPr>
        <w:ind w:left="1708" w:hanging="412"/>
        <w:spacing w:after="0"/>
        <w:tabs>
          <w:tab w:leader="none" w:pos="1708" w:val="left"/>
        </w:tabs>
        <w:numPr>
          <w:ilvl w:val="1"/>
          <w:numId w:val="2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Dutch law legal opinion of the legal advisers to the Owners in respect of the Account Security.</w:t>
      </w:r>
    </w:p>
    <w:p>
      <w:pPr>
        <w:spacing w:after="0" w:line="150" w:lineRule="exact"/>
        <w:rPr>
          <w:sz w:val="20"/>
          <w:szCs w:val="20"/>
          <w:color w:val="auto"/>
        </w:rPr>
      </w:pPr>
    </w:p>
    <w:p>
      <w:pPr>
        <w:ind w:left="868"/>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in this Charter, the obligations of the Owners to charter, or continue to charter, the Vessel to the Charterers under this Charter shall be subject to the condition that any and all undertakings stipulated in the preceding paragraph are, and will be, fully complied with.</w:t>
      </w:r>
    </w:p>
    <w:p>
      <w:pPr>
        <w:spacing w:after="0" w:line="107" w:lineRule="exact"/>
        <w:rPr>
          <w:sz w:val="20"/>
          <w:szCs w:val="20"/>
          <w:color w:val="auto"/>
        </w:rPr>
      </w:pPr>
    </w:p>
    <w:p>
      <w:pPr>
        <w:ind w:left="428" w:hanging="428"/>
        <w:spacing w:after="0"/>
        <w:tabs>
          <w:tab w:leader="none" w:pos="428" w:val="left"/>
        </w:tabs>
        <w:numPr>
          <w:ilvl w:val="0"/>
          <w:numId w:val="2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Bunkers and luboils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delivery the Charterers shall take over and pay for all lubricating oil, hydraulic oil, greases, water and unbroached stores and provisions in the Vessel in accordance with the MOA.</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the Vessel shall be redelivered to the Owners, at delivery the Charterers shall be responsible to arrange, pay for and deliver to the Owners all bunkers (to the extent belonging to the Charterers), lubricating oil, hydraulic oil, greases, water and unbroached stores and provisions in the Vessel and, the Owners shall take over at no costs all such bunkers (to the extent belonging to the Charterers), lubricating oil, hydraulic oil, greases, water and provisions onboard the Vessel.</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maintenance and operation</w:t>
      </w:r>
    </w:p>
    <w:p>
      <w:pPr>
        <w:spacing w:after="0" w:line="152"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good commercial maintenance practice under Clause 10 (</w:t>
      </w:r>
      <w:r>
        <w:rPr>
          <w:rFonts w:ascii="Times New Roman" w:cs="Times New Roman" w:eastAsia="Times New Roman" w:hAnsi="Times New Roman"/>
          <w:sz w:val="12"/>
          <w:szCs w:val="12"/>
          <w:i w:val="1"/>
          <w:iCs w:val="1"/>
          <w:color w:val="auto"/>
        </w:rPr>
        <w:t>Maintenance and Operation</w:t>
      </w:r>
      <w:r>
        <w:rPr>
          <w:rFonts w:ascii="Times New Roman" w:cs="Times New Roman" w:eastAsia="Times New Roman" w:hAnsi="Times New Roman"/>
          <w:sz w:val="12"/>
          <w:szCs w:val="12"/>
          <w:color w:val="auto"/>
        </w:rPr>
        <w:t>) (Part II) of this Charter shall be deemed to include:</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in accordance with:</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Classification Society and free of all overdue recommendations and requirements from the Classification Society;</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country and flag of the Vessel's registry;</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IMO regulations (including but not limited to the ISM Code, the ISPS Code and MARPOL);</w:t>
      </w:r>
    </w:p>
    <w:p>
      <w:pPr>
        <w:spacing w:after="0" w:line="31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44" w:name="page245"/>
    <w:bookmarkEnd w:id="24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1728" w:hanging="432"/>
        <w:spacing w:after="0"/>
        <w:tabs>
          <w:tab w:leader="none" w:pos="1728" w:val="left"/>
        </w:tabs>
        <w:numPr>
          <w:ilvl w:val="3"/>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applicable regulations, requirements and recommendations; and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and the Charter's Guarantor's operations and maintenance standards;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taking into account:</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engine manufacturers' recommended maintenance and service schedules;</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builder's operations and maintenance manuals;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recommended maintenance and service schedules of all installed equipment and pipework.</w:t>
      </w:r>
    </w:p>
    <w:p>
      <w:pPr>
        <w:spacing w:after="0" w:line="150"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above, the Charterers covenant with the Owners to provide, upon request, copies of the Vessel's class records, plans and drawing and all technical documents to the Owners as available to the Charterers.</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to any equipment (or part thereof):</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5" w:lineRule="auto"/>
        <w:tabs>
          <w:tab w:leader="none" w:pos="1288" w:val="left"/>
        </w:tabs>
        <w:numPr>
          <w:ilvl w:val="2"/>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placed on board as a result of operational requirements of the Charterers (whether due to the Charterers' requirement or by reason of new class requirements or compulsory legislation applicable to the Vessel) shall automatically be deemed to belong to the Owners immediately upon such placement, and such equipment may only be removed: (i) with the Owners' prior written consent (such consent not to be unreasonably withheld), (ii) at the Charterers' own expense, and (iii) without damage to the Vessel; and</w:t>
      </w:r>
    </w:p>
    <w:p>
      <w:pPr>
        <w:spacing w:after="0" w:line="118"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replaced, renewed or substituted shall remain with the Owners until the part or equipment which replaced it or the new or substitute part or equipment becomes property of the Owners.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provisions under this Charter, the Charterers shall maintain, use and operate the Vessel with commercially reasonable care as if the Charterers were the owner of the same.</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Structural changes and alterations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make no structural changes in the Vessel or changes in the machinery, engines, appurtenances or spare parts thereof without in each instance first securing the Owners' written consent thereto (such consent not to be unreasonably withheld). Under any and all circumstances, the Charterers shall procure that:</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do not have a material adverse effect on the Vessel's certification or the Vessel's fitness for purpose;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time, costs and expenses in relation to any such changes;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changes will diminish the value of the Vessel and/or have a material adverse effect on the safety, performance, value or marketability of the Vessel.</w:t>
      </w:r>
    </w:p>
    <w:p>
      <w:pPr>
        <w:spacing w:after="0" w:line="1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45" w:name="page246"/>
    <w:bookmarkEnd w:id="24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1" w:lineRule="exact"/>
        <w:rPr>
          <w:sz w:val="20"/>
          <w:szCs w:val="20"/>
          <w:color w:val="auto"/>
        </w:rPr>
      </w:pPr>
    </w:p>
    <w:p>
      <w:pPr>
        <w:jc w:val="both"/>
        <w:ind w:left="868"/>
        <w:spacing w:after="0" w:line="283" w:lineRule="auto"/>
        <w:rPr>
          <w:sz w:val="20"/>
          <w:szCs w:val="20"/>
          <w:color w:val="auto"/>
        </w:rPr>
      </w:pPr>
      <w:r>
        <w:rPr>
          <w:rFonts w:ascii="Times New Roman" w:cs="Times New Roman" w:eastAsia="Times New Roman" w:hAnsi="Times New Roman"/>
          <w:sz w:val="12"/>
          <w:szCs w:val="12"/>
          <w:color w:val="auto"/>
        </w:rPr>
        <w:t>If a Termination Event occurs and is continuing and the Owners exercise their right to retake possession of the Vessel pursuant to Clause 49(f) (</w:t>
      </w:r>
      <w:r>
        <w:rPr>
          <w:rFonts w:ascii="Times New Roman" w:cs="Times New Roman" w:eastAsia="Times New Roman" w:hAnsi="Times New Roman"/>
          <w:sz w:val="12"/>
          <w:szCs w:val="12"/>
          <w:i w:val="1"/>
          <w:iCs w:val="1"/>
          <w:color w:val="auto"/>
        </w:rPr>
        <w:t>Owners' rights reserved</w:t>
      </w:r>
      <w:r>
        <w:rPr>
          <w:rFonts w:ascii="Times New Roman" w:cs="Times New Roman" w:eastAsia="Times New Roman" w:hAnsi="Times New Roman"/>
          <w:sz w:val="12"/>
          <w:szCs w:val="12"/>
          <w:color w:val="auto"/>
        </w:rPr>
        <w:t>), the Charterers shall, without prejudice to their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at their expense restore the Vessel to its former condition if so requested by the Owners (fair wear and tear excepted) unless the changes made are carried out:</w:t>
      </w:r>
    </w:p>
    <w:p>
      <w:pPr>
        <w:spacing w:after="0" w:line="109" w:lineRule="exact"/>
        <w:rPr>
          <w:sz w:val="20"/>
          <w:szCs w:val="20"/>
          <w:color w:val="auto"/>
        </w:rPr>
      </w:pPr>
    </w:p>
    <w:p>
      <w:pPr>
        <w:ind w:left="1268" w:hanging="431"/>
        <w:spacing w:after="0"/>
        <w:tabs>
          <w:tab w:leader="none" w:pos="1268" w:val="left"/>
        </w:tabs>
        <w:numPr>
          <w:ilvl w:val="2"/>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written consent of the Owners (such consent not to be unreasonably withheld); or</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2"/>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improve the performance, operation or marketability of the Vessel; or</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2"/>
          <w:numId w:val="2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mandatory law or a regulatory compliance.</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no prior approval shall be required for any structural changes or other changes described in paragraph (a) of this Clause 39 which are carried out (i) as a result of mandatory law or regulatory compliance, or (ii) to improve the performance, operation or marketability of the Vessel in each case, at the Charterers’ time and cost and for which written notice shall be provided to the Owners upon such structural change.</w:t>
      </w:r>
    </w:p>
    <w:p>
      <w:pPr>
        <w:spacing w:after="0" w:line="118"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2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improvement, structural changes or new equipment becoming necessary for the continued operation of the Vessel by reason of new class requirements or by compulsory legislation shall be undertaken by the Charterers and be for the Charterers' account and the Charterers shall not have any right to recover from the Owners any part of the cost for such improvements, changes or new equipment either during the Charter Period or at redelivery of the Vessel. The Charterers shall give written notice to the Owners of any such improvement, structural changes or new equipment.</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w:t>
      </w:r>
    </w:p>
    <w:p>
      <w:pPr>
        <w:spacing w:after="0" w:line="150"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w:t>
      </w:r>
      <w:r>
        <w:rPr>
          <w:rFonts w:ascii="Times New Roman" w:cs="Times New Roman" w:eastAsia="Times New Roman" w:hAnsi="Times New Roman"/>
          <w:sz w:val="12"/>
          <w:szCs w:val="12"/>
          <w:color w:val="auto"/>
        </w:rPr>
        <w:t>In consideration of the Owners' agreement to charter the Vessel to the Charterers pursuant to the terms hereof, the Charterers shall pay to the Owners:</w:t>
      </w:r>
    </w:p>
    <w:p>
      <w:pPr>
        <w:spacing w:after="0" w:line="154"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3"/>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and every Hire Payment Date, the Hire applicable to each such Hire Payment Date; and</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3"/>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the Charter Period, the Purchase Obligation Price.</w:t>
      </w:r>
    </w:p>
    <w:p>
      <w:pPr>
        <w:spacing w:after="0" w:line="146"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Time of payment </w:t>
      </w:r>
      <w:r>
        <w:rPr>
          <w:rFonts w:ascii="Times New Roman" w:cs="Times New Roman" w:eastAsia="Times New Roman" w:hAnsi="Times New Roman"/>
          <w:sz w:val="12"/>
          <w:szCs w:val="12"/>
          <w:color w:val="auto"/>
        </w:rPr>
        <w:t>The Hire shall be paid by the Charterers and received by the Owners on each Hire Payment Date (Beijing time).</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Non-Business Days </w:t>
      </w:r>
      <w:r>
        <w:rPr>
          <w:rFonts w:ascii="Times New Roman" w:cs="Times New Roman" w:eastAsia="Times New Roman" w:hAnsi="Times New Roman"/>
          <w:sz w:val="12"/>
          <w:szCs w:val="12"/>
          <w:color w:val="auto"/>
        </w:rPr>
        <w:t>Any payment provided herein due on any day which is not a Business Day shall be payable on the immediately preceding Business Day.</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account information </w:t>
      </w:r>
      <w:r>
        <w:rPr>
          <w:rFonts w:ascii="Times New Roman" w:cs="Times New Roman" w:eastAsia="Times New Roman" w:hAnsi="Times New Roman"/>
          <w:sz w:val="12"/>
          <w:szCs w:val="12"/>
          <w:color w:val="auto"/>
        </w:rPr>
        <w:t>All payments under this Charter shall be made to the Owners' Account or such other account as the Owners may notify the Charterers from time to time.</w:t>
      </w:r>
    </w:p>
    <w:p>
      <w:pPr>
        <w:spacing w:after="0" w:line="150" w:lineRule="exact"/>
        <w:rPr>
          <w:rFonts w:ascii="Times New Roman" w:cs="Times New Roman" w:eastAsia="Times New Roman" w:hAnsi="Times New Roman"/>
          <w:sz w:val="12"/>
          <w:szCs w:val="12"/>
          <w:color w:val="auto"/>
        </w:rPr>
      </w:pPr>
    </w:p>
    <w:p>
      <w:pPr>
        <w:ind w:left="868" w:hanging="436"/>
        <w:spacing w:after="0" w:line="286" w:lineRule="auto"/>
        <w:tabs>
          <w:tab w:leader="none" w:pos="868" w:val="left"/>
        </w:tabs>
        <w:numPr>
          <w:ilvl w:val="1"/>
          <w:numId w:val="2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Hire payment obligation absolute: </w:t>
      </w:r>
      <w:r>
        <w:rPr>
          <w:rFonts w:ascii="Times New Roman" w:cs="Times New Roman" w:eastAsia="Times New Roman" w:hAnsi="Times New Roman"/>
          <w:sz w:val="12"/>
          <w:szCs w:val="12"/>
          <w:color w:val="auto"/>
        </w:rPr>
        <w:t>Following delivery of the Vessel to, and acceptance by, the Charterers under this Charter, the Charterers' obligation to pay Hire in accordance with this Clause 40 and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pay the Purchase Obligation Price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shall be absolute irrespective of any contingency whatsoever including but not limited to:</w:t>
      </w:r>
    </w:p>
    <w:p>
      <w:pPr>
        <w:spacing w:after="0" w:line="107"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set-off, counterclaim, recoupment, defence or other right which either party to this Charter may have against the other;</w:t>
      </w:r>
    </w:p>
    <w:p>
      <w:pPr>
        <w:spacing w:after="0" w:line="150" w:lineRule="exact"/>
        <w:rPr>
          <w:sz w:val="20"/>
          <w:szCs w:val="20"/>
          <w:color w:val="auto"/>
        </w:rPr>
      </w:pPr>
    </w:p>
    <w:p>
      <w:pPr>
        <w:jc w:val="both"/>
        <w:ind w:left="1288" w:hanging="424"/>
        <w:spacing w:after="0" w:line="260" w:lineRule="auto"/>
        <w:tabs>
          <w:tab w:leader="none" w:pos="1288" w:val="left"/>
        </w:tabs>
        <w:numPr>
          <w:ilvl w:val="0"/>
          <w:numId w:val="2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unavailability of the Vessel, for any reason, including but not limited to the Total Loss, any action or inaction by the Sub-Charterer, seaworthiness, condition, design, operation, merchantability or fitness for use or purpose of the Vessel or any apparent or latent defects in the Vessel or its machinery and equipment or the ineligibility of the Vessel for any particular use or trade or for registration of documentation under the laws of any relevant jurisdiction or lack of registration or the absence or withdrawal of any consent required under the applicable law of any relevant jurisdiction for the ownership, chartering, use or operation of the Vessel or any damage to the Vessel;</w:t>
      </w:r>
    </w:p>
    <w:p>
      <w:pPr>
        <w:spacing w:after="0" w:line="28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46" w:name="page247"/>
    <w:bookmarkEnd w:id="24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60" w:hanging="424"/>
        <w:spacing w:after="0"/>
        <w:tabs>
          <w:tab w:leader="none" w:pos="860"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or delay on the part of either party to this Charter, whether with or without fault on its part, in performing or complying with any of the terms, conditions or other provisions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to or loss (including a Total Loss), destruction, capture, seizure, judicial attachment or arrest, forfeiture or marshal's or other sale of the Vessel;</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bankruptcy, reorganisation, arrangement, readjustment of debt, dissolution, administration, liquidation or similar proceedings by or against the Owners, the Charterers or any Sub-Charterer, or any change in the constitution of the Owners, the Charterers or the Sub-Charterer;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invalidity or unenforceability or lack of due authorisation of or any defect in this Charter or any Sub-Charter;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2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cause which would but for this provision have the effect of terminating or in any way affecting the obligations of the Charterers hereunder,</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it being the intention of the parties that the provisions of this Clause 40, and the obligation of the Charterers to pay Hire and all other amounts under this Charter, shall (save as expressly provided in this Clause 40) survive any frustration and that, save as expressly provided in this Charter, no moneys paid under this Charter by the Charterers to the Owners shall in any event or circumstance be repayable to the Charterers.</w:t>
      </w:r>
    </w:p>
    <w:p>
      <w:pPr>
        <w:spacing w:after="0" w:line="107" w:lineRule="exact"/>
        <w:rPr>
          <w:sz w:val="20"/>
          <w:szCs w:val="20"/>
          <w:color w:val="auto"/>
        </w:rPr>
      </w:pPr>
    </w:p>
    <w:p>
      <w:pPr>
        <w:ind w:left="440" w:hanging="436"/>
        <w:spacing w:after="0"/>
        <w:tabs>
          <w:tab w:leader="none" w:pos="440" w:val="left"/>
        </w:tabs>
        <w:numPr>
          <w:ilvl w:val="0"/>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All payments free from deductions</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payments of Hire and all other Unpaid Sums to the Owners pursuant to this Charter and the other relevant Transaction Documents shall be made in immediately available funds in US dollars, free and clear of, and without deduction for or on account of, any bank charges or Taxes, unless the Charterers are required by law or regulation to make any such payment of Hire subject to such Taxes.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are required by any law or regulation to make any deduction or withholding on account of any Taxes which arise as a consequence of any payment due under this Charter, then:</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notify the Owners promptly after they become aware of such requirement;</w:t>
      </w:r>
    </w:p>
    <w:p>
      <w:pPr>
        <w:spacing w:after="0" w:line="150" w:lineRule="exact"/>
        <w:rPr>
          <w:rFonts w:ascii="Times New Roman" w:cs="Times New Roman" w:eastAsia="Times New Roman" w:hAnsi="Times New Roman"/>
          <w:sz w:val="12"/>
          <w:szCs w:val="12"/>
          <w:color w:val="auto"/>
        </w:rPr>
      </w:pPr>
    </w:p>
    <w:p>
      <w:pPr>
        <w:ind w:left="1280" w:right="20" w:hanging="412"/>
        <w:spacing w:after="0" w:line="279" w:lineRule="auto"/>
        <w:tabs>
          <w:tab w:leader="none" w:pos="1280" w:val="left"/>
        </w:tabs>
        <w:numPr>
          <w:ilvl w:val="2"/>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remit the amount of such Taxes to the appropriate taxation authority within five (5) Business Days or any other shorter time period as required under any applicable law or regulation and in any event prior to the date on which penalties attach thereto; and</w:t>
      </w:r>
    </w:p>
    <w:p>
      <w:pPr>
        <w:spacing w:after="0" w:line="111" w:lineRule="exact"/>
        <w:rPr>
          <w:rFonts w:ascii="Times New Roman" w:cs="Times New Roman" w:eastAsia="Times New Roman" w:hAnsi="Times New Roman"/>
          <w:sz w:val="12"/>
          <w:szCs w:val="12"/>
          <w:color w:val="auto"/>
        </w:rPr>
      </w:pPr>
    </w:p>
    <w:p>
      <w:pPr>
        <w:ind w:left="1280" w:hanging="412"/>
        <w:spacing w:after="0" w:line="279" w:lineRule="auto"/>
        <w:tabs>
          <w:tab w:leader="none" w:pos="1280" w:val="left"/>
        </w:tabs>
        <w:numPr>
          <w:ilvl w:val="2"/>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shall be increased by such amount as may be necessary to ensure that the Owners receive a net amount which, after deducting or withholding such Taxes, is equal to the full amount which the Owners would have received had such payment not been subject to such Taxes.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forward to the Owners evidence reasonably satisfactory to the Owners that any such Taxes have been remitted to the appropriate taxation authority within thirty (30) days of the expiry of any time limit within which such Taxes must be so remitted or, if earlier, the date on which such Taxes are so remitted.</w:t>
      </w:r>
    </w:p>
    <w:p>
      <w:pPr>
        <w:spacing w:after="0" w:line="27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47" w:name="page248"/>
    <w:bookmarkEnd w:id="24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both"/>
        <w:ind w:left="440" w:hanging="436"/>
        <w:spacing w:after="0" w:line="262" w:lineRule="auto"/>
        <w:tabs>
          <w:tab w:leader="none" w:pos="440"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Default interest </w:t>
      </w:r>
      <w:r>
        <w:rPr>
          <w:rFonts w:ascii="Times New Roman" w:cs="Times New Roman" w:eastAsia="Times New Roman" w:hAnsi="Times New Roman"/>
          <w:sz w:val="12"/>
          <w:szCs w:val="12"/>
          <w:color w:val="auto"/>
        </w:rPr>
        <w:t>If the Charterers fail to pay any amount payable by it under a Transaction Document on its due date, interest shall accrue on the Unpaid Sum from the due date up to the date of actual payment (both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after judgment) at a rate of the Default Interest Rate over the amount of such Unpaid Sum for the period of such non-payment. Any interest accruing under this paragraph (g) shall be immediately payable by the Charterers on demand by the Owners. Default interest (if unpaid) arising on an Unpaid Sum will be compounded with the Unpaid Sum at the end of each period selected by the Owners but will remain immediately due and payable.</w:t>
      </w:r>
    </w:p>
    <w:p>
      <w:pPr>
        <w:spacing w:after="0" w:line="11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payment obligation to survive termination </w:t>
      </w:r>
      <w:r>
        <w:rPr>
          <w:rFonts w:ascii="Times New Roman" w:cs="Times New Roman" w:eastAsia="Times New Roman" w:hAnsi="Times New Roman"/>
          <w:sz w:val="12"/>
          <w:szCs w:val="12"/>
          <w:color w:val="auto"/>
        </w:rPr>
        <w:t>In the event that this Charter is terminated for whatever reason, the Charterers' obligation to pay Hire and such other Unpaid Sum which (in each case) has accrued due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which remains unpaid, at the date of such termination shall continue notwithstanding such termination.</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59" w:lineRule="auto"/>
        <w:tabs>
          <w:tab w:leader="none" w:pos="440"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Illegality </w:t>
      </w:r>
      <w:r>
        <w:rPr>
          <w:rFonts w:ascii="Times New Roman" w:cs="Times New Roman" w:eastAsia="Times New Roman" w:hAnsi="Times New Roman"/>
          <w:sz w:val="12"/>
          <w:szCs w:val="12"/>
          <w:color w:val="auto"/>
        </w:rPr>
        <w:t>In the event that it becomes unlawful or it is prohibited for either the Owners or the Charterers to charter the Vessel pursuant to this Charter, then the Owners and Charterers shall notify the other party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relevant event and negotiate in good faith for a period of thirty (30) days from the date of the receipt of the relevant notice by the other party (or such shorter period as required by the relevant laws) to agree an alternative arrangement. If such agreement is not reached within such thirty (30)-day period or such shorter period as applicable, the Charterers agree that, in such circumstances, the Owners shall have the right to terminate this Charter by delivering to the Charterers a Termination Notice, whereupon the Charterers shall be obliged to pay to the Owners the Termination Sum in accordance with paragraph (c) (</w:t>
      </w:r>
      <w:r>
        <w:rPr>
          <w:rFonts w:ascii="Times New Roman" w:cs="Times New Roman" w:eastAsia="Times New Roman" w:hAnsi="Times New Roman"/>
          <w:sz w:val="12"/>
          <w:szCs w:val="12"/>
          <w:i w:val="1"/>
          <w:iCs w:val="1"/>
          <w:color w:val="auto"/>
        </w:rPr>
        <w:t>Payment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Termination Sum</w:t>
      </w:r>
      <w:r>
        <w:rPr>
          <w:rFonts w:ascii="Times New Roman" w:cs="Times New Roman" w:eastAsia="Times New Roman" w:hAnsi="Times New Roman"/>
          <w:sz w:val="12"/>
          <w:szCs w:val="12"/>
          <w:color w:val="auto"/>
        </w:rPr>
        <w:t>)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Increased Costs</w:t>
      </w:r>
    </w:p>
    <w:p>
      <w:pPr>
        <w:spacing w:after="0" w:line="154" w:lineRule="exact"/>
        <w:rPr>
          <w:rFonts w:ascii="Times New Roman" w:cs="Times New Roman" w:eastAsia="Times New Roman" w:hAnsi="Times New Roman"/>
          <w:sz w:val="12"/>
          <w:szCs w:val="12"/>
          <w:color w:val="auto"/>
        </w:rPr>
      </w:pPr>
    </w:p>
    <w:p>
      <w:pPr>
        <w:jc w:val="both"/>
        <w:ind w:left="840" w:hanging="422"/>
        <w:spacing w:after="0" w:line="265" w:lineRule="auto"/>
        <w:tabs>
          <w:tab w:leader="none" w:pos="840" w:val="left"/>
        </w:tabs>
        <w:numPr>
          <w:ilvl w:val="1"/>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sub-paragraphs (iii) and (iv) below, the Charterers shall, within three (3) Business Days of a demand by the Owners, pay to the Owners the amount of any Increased Costs incurred by the Owners as a result of (i) the introduction of or any change in (or in the interpretation, administration or application of) any law or regulation made after the date of this Charter, or (ii) compliance with any law or regulation made after the date of this Charter.</w:t>
      </w:r>
    </w:p>
    <w:p>
      <w:pPr>
        <w:spacing w:after="0" w:line="118"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w:t>
      </w:r>
    </w:p>
    <w:p>
      <w:pPr>
        <w:spacing w:after="0" w:line="146"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80" w:hanging="430"/>
        <w:spacing w:after="0"/>
        <w:tabs>
          <w:tab w:leader="none" w:pos="1280" w:val="left"/>
        </w:tabs>
        <w:numPr>
          <w:ilvl w:val="2"/>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Hire or on the Owners' overall capital;</w:t>
      </w:r>
    </w:p>
    <w:p>
      <w:pPr>
        <w:spacing w:after="0" w:line="150" w:lineRule="exact"/>
        <w:rPr>
          <w:rFonts w:ascii="Times New Roman" w:cs="Times New Roman" w:eastAsia="Times New Roman" w:hAnsi="Times New Roman"/>
          <w:sz w:val="12"/>
          <w:szCs w:val="12"/>
          <w:color w:val="auto"/>
        </w:rPr>
      </w:pPr>
    </w:p>
    <w:p>
      <w:pPr>
        <w:ind w:left="1280" w:hanging="430"/>
        <w:spacing w:after="0"/>
        <w:tabs>
          <w:tab w:leader="none" w:pos="1280" w:val="left"/>
        </w:tabs>
        <w:numPr>
          <w:ilvl w:val="2"/>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80" w:hanging="430"/>
        <w:spacing w:after="0"/>
        <w:tabs>
          <w:tab w:leader="none" w:pos="1280" w:val="left"/>
        </w:tabs>
        <w:numPr>
          <w:ilvl w:val="2"/>
          <w:numId w:val="2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Transaction Document,</w:t>
      </w:r>
    </w:p>
    <w:p>
      <w:pPr>
        <w:spacing w:after="0" w:line="150" w:lineRule="exact"/>
        <w:rPr>
          <w:sz w:val="20"/>
          <w:szCs w:val="20"/>
          <w:color w:val="auto"/>
        </w:rPr>
      </w:pPr>
    </w:p>
    <w:p>
      <w:pPr>
        <w:ind w:left="860"/>
        <w:spacing w:after="0" w:line="259" w:lineRule="auto"/>
        <w:rPr>
          <w:sz w:val="20"/>
          <w:szCs w:val="20"/>
          <w:color w:val="auto"/>
        </w:rPr>
      </w:pPr>
      <w:r>
        <w:rPr>
          <w:rFonts w:ascii="Times New Roman" w:cs="Times New Roman" w:eastAsia="Times New Roman" w:hAnsi="Times New Roman"/>
          <w:sz w:val="12"/>
          <w:szCs w:val="12"/>
          <w:color w:val="auto"/>
        </w:rPr>
        <w:t>which is incurred or suffered by the Owners to the extent that it is attributable to the Owners having entered into any Transaction Document or funding or performing its obligations under any Transaction Document.</w:t>
      </w:r>
    </w:p>
    <w:p>
      <w:pPr>
        <w:spacing w:after="0" w:line="1" w:lineRule="exact"/>
        <w:rPr>
          <w:sz w:val="20"/>
          <w:szCs w:val="20"/>
          <w:color w:val="auto"/>
        </w:rPr>
      </w:pPr>
    </w:p>
    <w:p>
      <w:pPr>
        <w:ind w:left="2120" w:right="20" w:hanging="405"/>
        <w:spacing w:after="0" w:line="260" w:lineRule="auto"/>
        <w:tabs>
          <w:tab w:leader="none" w:pos="2120" w:val="left"/>
        </w:tabs>
        <w:numPr>
          <w:ilvl w:val="0"/>
          <w:numId w:val="2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notify the Charterers of any claim arising from sub-paragraph (i) above (and of the event giving rise to such claim). The Owners shall, as soon as practicable after having made a demand in respect of such claim, provide a certificate confirming the amount of its Increased Costs.</w:t>
      </w:r>
    </w:p>
    <w:p>
      <w:pPr>
        <w:spacing w:after="0" w:line="12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48" w:name="page249"/>
    <w:bookmarkEnd w:id="248"/>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1268" w:hanging="404"/>
        <w:spacing w:after="0"/>
        <w:tabs>
          <w:tab w:leader="none" w:pos="1268" w:val="left"/>
        </w:tabs>
        <w:numPr>
          <w:ilvl w:val="2"/>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Sub-paragraph (i) above does not apply to the extent any Increased Costs is:</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 payment made under sub-paragraph (i)(C) above; or</w:t>
      </w:r>
    </w:p>
    <w:p>
      <w:pPr>
        <w:spacing w:after="0" w:line="150" w:lineRule="exact"/>
        <w:rPr>
          <w:rFonts w:ascii="Times New Roman" w:cs="Times New Roman" w:eastAsia="Times New Roman" w:hAnsi="Times New Roman"/>
          <w:sz w:val="12"/>
          <w:szCs w:val="12"/>
          <w:color w:val="auto"/>
        </w:rPr>
      </w:pPr>
    </w:p>
    <w:p>
      <w:pPr>
        <w:ind w:left="1728" w:hanging="432"/>
        <w:spacing w:after="0" w:line="279" w:lineRule="auto"/>
        <w:tabs>
          <w:tab w:leader="none" w:pos="1728" w:val="left"/>
        </w:tabs>
        <w:numPr>
          <w:ilvl w:val="3"/>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change in the rate of tax on the overall net income of the Owners (or a parent company of them) or an item covered by the additional payment in Clause 40(e) or a FATCA Deduction; or</w:t>
      </w:r>
    </w:p>
    <w:p>
      <w:pPr>
        <w:spacing w:after="0" w:line="111"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Owners of any law or regulation.</w:t>
      </w:r>
    </w:p>
    <w:p>
      <w:pPr>
        <w:spacing w:after="0" w:line="150" w:lineRule="exact"/>
        <w:rPr>
          <w:rFonts w:ascii="Times New Roman" w:cs="Times New Roman" w:eastAsia="Times New Roman" w:hAnsi="Times New Roman"/>
          <w:sz w:val="12"/>
          <w:szCs w:val="12"/>
          <w:color w:val="auto"/>
        </w:rPr>
      </w:pPr>
    </w:p>
    <w:p>
      <w:pPr>
        <w:jc w:val="both"/>
        <w:ind w:left="1268" w:hanging="404"/>
        <w:spacing w:after="0" w:line="256" w:lineRule="auto"/>
        <w:tabs>
          <w:tab w:leader="none" w:pos="1268" w:val="left"/>
        </w:tabs>
        <w:numPr>
          <w:ilvl w:val="2"/>
          <w:numId w:val="2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Owners are entitled to an Increased Cost pursuant to the preceding provisions, the Parties shall negotiate in good faith for a period of thirty (30) days from the date of the receipt of the Owners' demand for the Increased Cost to agree an alternative arrangement. If such agreement is not reached within such thirty (30)-day period, the Charterers may notify the Owners in writing of their intention to terminate this Charter. Upon the Owners' receipt of the aforesaid Charterers' written notice of their intention to terminate, without prejudice to the Owners' entitlement to any Increased Cost prior to the Termination Payment Date, the Owners shall within (30) days of its receipt of such notice by the Charterers, terminate this Charter by delivering to the Charterers a Termination Notice, whereupon the Charterers shall be obliged to pay to the Owners the Termination Sum in accordance with paragraph of Clause 49(c) (</w:t>
      </w:r>
      <w:r>
        <w:rPr>
          <w:rFonts w:ascii="Times New Roman" w:cs="Times New Roman" w:eastAsia="Times New Roman" w:hAnsi="Times New Roman"/>
          <w:sz w:val="12"/>
          <w:szCs w:val="12"/>
          <w:i w:val="1"/>
          <w:iCs w:val="1"/>
          <w:color w:val="auto"/>
        </w:rPr>
        <w:t>Payment of Termination Sum</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Break Costs </w:t>
      </w:r>
      <w:r>
        <w:rPr>
          <w:rFonts w:ascii="Times New Roman" w:cs="Times New Roman" w:eastAsia="Times New Roman" w:hAnsi="Times New Roman"/>
          <w:sz w:val="12"/>
          <w:szCs w:val="12"/>
          <w:color w:val="auto"/>
        </w:rPr>
        <w:t>The Charterers shall, within five (5) Business Days of demand by the Owners, pay to the Owners their Break Costs.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Unavailability of Term SOFR</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Interpolated Term SOFR: </w:t>
      </w:r>
      <w:r>
        <w:rPr>
          <w:rFonts w:ascii="Times New Roman" w:cs="Times New Roman" w:eastAsia="Times New Roman" w:hAnsi="Times New Roman"/>
          <w:sz w:val="12"/>
          <w:szCs w:val="12"/>
          <w:color w:val="auto"/>
        </w:rPr>
        <w:t>If no Term SOFR is available for any Hire Period, the applicable Reference Rate shall be the Interpolated Term SOFR for three (3) months.</w:t>
      </w:r>
    </w:p>
    <w:p>
      <w:pPr>
        <w:spacing w:after="0" w:line="150" w:lineRule="exact"/>
        <w:rPr>
          <w:rFonts w:ascii="Times New Roman" w:cs="Times New Roman" w:eastAsia="Times New Roman" w:hAnsi="Times New Roman"/>
          <w:sz w:val="12"/>
          <w:szCs w:val="12"/>
          <w:color w:val="auto"/>
        </w:rPr>
      </w:pPr>
    </w:p>
    <w:p>
      <w:pPr>
        <w:ind w:left="1288" w:right="20" w:hanging="424"/>
        <w:spacing w:after="0" w:line="283" w:lineRule="auto"/>
        <w:tabs>
          <w:tab w:leader="none" w:pos="1288" w:val="left"/>
        </w:tabs>
        <w:numPr>
          <w:ilvl w:val="2"/>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Cost of funds: </w:t>
      </w:r>
      <w:r>
        <w:rPr>
          <w:rFonts w:ascii="Times New Roman" w:cs="Times New Roman" w:eastAsia="Times New Roman" w:hAnsi="Times New Roman"/>
          <w:sz w:val="12"/>
          <w:szCs w:val="12"/>
          <w:color w:val="auto"/>
        </w:rPr>
        <w:t>If sub-paragraph (i) above applies but it is not possible to calculate the Interpolated Term SOFR for that Hire Period, the Interest Rate applicable for that Hire Period shall be the percentage rate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 annum which is the sum of:</w:t>
      </w:r>
    </w:p>
    <w:p>
      <w:pPr>
        <w:spacing w:after="0" w:line="108"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1728" w:right="20" w:hanging="432"/>
        <w:spacing w:after="0" w:line="279" w:lineRule="auto"/>
        <w:tabs>
          <w:tab w:leader="none" w:pos="1728" w:val="left"/>
        </w:tabs>
        <w:numPr>
          <w:ilvl w:val="3"/>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notified to the Charterers by the Owners which expresses as a percentage rate per annum as the Owners' cost of funds relating to the Outstanding Principal from whatever source it may reasonably select.</w:t>
      </w:r>
    </w:p>
    <w:p>
      <w:pPr>
        <w:spacing w:after="0" w:line="107" w:lineRule="exact"/>
        <w:rPr>
          <w:rFonts w:ascii="Times New Roman" w:cs="Times New Roman" w:eastAsia="Times New Roman" w:hAnsi="Times New Roman"/>
          <w:sz w:val="12"/>
          <w:szCs w:val="12"/>
          <w:color w:val="auto"/>
        </w:rPr>
      </w:pPr>
    </w:p>
    <w:p>
      <w:pPr>
        <w:ind w:left="868" w:hanging="436"/>
        <w:spacing w:after="0" w:line="286" w:lineRule="auto"/>
        <w:tabs>
          <w:tab w:leader="none" w:pos="868" w:val="left"/>
        </w:tabs>
        <w:numPr>
          <w:ilvl w:val="1"/>
          <w:numId w:val="2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conclusive </w:t>
      </w:r>
      <w:r>
        <w:rPr>
          <w:rFonts w:ascii="Times New Roman" w:cs="Times New Roman" w:eastAsia="Times New Roman" w:hAnsi="Times New Roman"/>
          <w:sz w:val="12"/>
          <w:szCs w:val="12"/>
          <w:color w:val="auto"/>
        </w:rPr>
        <w:t>Any certificate or statement signed by an authorised signatory of the Owners purporting to show the amount of the Debt (or any part of the Debt) or any other amount referred to in any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shall, save for manifest error or on any question of law, be conclusive evidence as against the Charterers of that amount.</w:t>
      </w:r>
    </w:p>
    <w:p>
      <w:pPr>
        <w:spacing w:after="0" w:line="10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w:t>
      </w:r>
    </w:p>
    <w:p>
      <w:pPr>
        <w:spacing w:after="0" w:line="150" w:lineRule="exact"/>
        <w:rPr>
          <w:rFonts w:ascii="Times New Roman" w:cs="Times New Roman" w:eastAsia="Times New Roman" w:hAnsi="Times New Roman"/>
          <w:sz w:val="12"/>
          <w:szCs w:val="12"/>
          <w:b w:val="1"/>
          <w:bCs w:val="1"/>
          <w:color w:val="auto"/>
        </w:rPr>
      </w:pPr>
    </w:p>
    <w:p>
      <w:pPr>
        <w:jc w:val="both"/>
        <w:ind w:left="868" w:hanging="436"/>
        <w:spacing w:after="0" w:line="262" w:lineRule="auto"/>
        <w:tabs>
          <w:tab w:leader="none" w:pos="868" w:val="left"/>
        </w:tabs>
        <w:numPr>
          <w:ilvl w:val="1"/>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obligation to place insurance </w:t>
      </w:r>
      <w:r>
        <w:rPr>
          <w:rFonts w:ascii="Times New Roman" w:cs="Times New Roman" w:eastAsia="Times New Roman" w:hAnsi="Times New Roman"/>
          <w:sz w:val="12"/>
          <w:szCs w:val="12"/>
          <w:color w:val="auto"/>
        </w:rPr>
        <w:t>During the Agreement Term, the Charterers shall at their expense keep the Vessel insured against fire and usual marine risks (including hull and machinery, excess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increased value risks), oil pollution liability risks, war risks (including blocking and trapping and additional premium for war risks), protection and indemnity risks and any other risks against which is compulsory to insure for the operation for the Vessel or in the Owners' reasonable opinion it is common market practice to insure for the operation, trading, management and/or for safety purposes for the Vessel in such market (but excluding loss of hire insurance)and all Insurances shall be:</w:t>
      </w:r>
    </w:p>
    <w:p>
      <w:pPr>
        <w:spacing w:after="0" w:line="12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US Dollars; and</w:t>
      </w:r>
    </w:p>
    <w:p>
      <w:pPr>
        <w:spacing w:after="0" w:line="31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49" w:name="page250"/>
    <w:bookmarkEnd w:id="24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860" w:hanging="424"/>
        <w:spacing w:after="0"/>
        <w:tabs>
          <w:tab w:leader="none" w:pos="860" w:val="left"/>
        </w:tabs>
        <w:numPr>
          <w:ilvl w:val="1"/>
          <w:numId w:val="2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market and on such terms as are customary for owners of similar tonnage.</w:t>
      </w:r>
    </w:p>
    <w:p>
      <w:pPr>
        <w:spacing w:after="0" w:line="146" w:lineRule="exact"/>
        <w:rPr>
          <w:rFonts w:ascii="Times New Roman" w:cs="Times New Roman" w:eastAsia="Times New Roman" w:hAnsi="Times New Roman"/>
          <w:sz w:val="12"/>
          <w:szCs w:val="12"/>
          <w:color w:val="auto"/>
        </w:rPr>
      </w:pPr>
    </w:p>
    <w:p>
      <w:pPr>
        <w:jc w:val="both"/>
        <w:ind w:left="440" w:right="20" w:hanging="436"/>
        <w:spacing w:after="0" w:line="268" w:lineRule="auto"/>
        <w:tabs>
          <w:tab w:leader="none" w:pos="440"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Beneficiaries of Insurances </w:t>
      </w:r>
      <w:r>
        <w:rPr>
          <w:rFonts w:ascii="Times New Roman" w:cs="Times New Roman" w:eastAsia="Times New Roman" w:hAnsi="Times New Roman"/>
          <w:sz w:val="12"/>
          <w:szCs w:val="12"/>
          <w:color w:val="auto"/>
        </w:rPr>
        <w:t>Such insurances shall be arranged by the Charterers to protect the interests of the Owners, the Charterers and (if any) the mortgagee of the Vessel or such other relevant Finance Party,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Charterers shall be at liberty to protect under such insurances the interests of (i) any Approved Managers provided the Approved Manager shall first execute and deliver to the Owners the Manager’s Undertaking and/or (ii) any crewing agent provided the crew agent shall first execute and deliver to the Owners a Co-Assured Undertaking substantially in the Agreed Form.</w:t>
      </w:r>
    </w:p>
    <w:p>
      <w:pPr>
        <w:spacing w:after="0" w:line="113" w:lineRule="exact"/>
        <w:rPr>
          <w:rFonts w:ascii="Times New Roman" w:cs="Times New Roman" w:eastAsia="Times New Roman" w:hAnsi="Times New Roman"/>
          <w:sz w:val="12"/>
          <w:szCs w:val="12"/>
          <w:color w:val="auto"/>
        </w:rPr>
      </w:pPr>
    </w:p>
    <w:p>
      <w:pPr>
        <w:jc w:val="both"/>
        <w:ind w:left="440" w:right="20" w:hanging="436"/>
        <w:spacing w:after="0" w:line="268" w:lineRule="auto"/>
        <w:tabs>
          <w:tab w:leader="none" w:pos="440"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Scope of insurance </w:t>
      </w:r>
      <w:r>
        <w:rPr>
          <w:rFonts w:ascii="Times New Roman" w:cs="Times New Roman" w:eastAsia="Times New Roman" w:hAnsi="Times New Roman"/>
          <w:sz w:val="12"/>
          <w:szCs w:val="12"/>
          <w:color w:val="auto"/>
        </w:rPr>
        <w:t>Insurance policies shall cover the Owners, the Charterers and (if any) the Finance Parties according to their respective interests. The Charterers shall effect all insured repairs and shall undertake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settlement and reimbursement from the Approved Insurer of all costs in connection with such repairs as well as insured charges, expenses and liabilities to the extent of coverage under the insurances herein provided for.</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Repairs etc. not covered by Insurances </w:t>
      </w:r>
      <w:r>
        <w:rPr>
          <w:rFonts w:ascii="Times New Roman" w:cs="Times New Roman" w:eastAsia="Times New Roman" w:hAnsi="Times New Roman"/>
          <w:sz w:val="12"/>
          <w:szCs w:val="12"/>
          <w:color w:val="auto"/>
        </w:rPr>
        <w:t>The Charterers shall also remain responsible for and to effect repairs and settlement of costs and expenses incurred thereby in respect of all other repairs not covered by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insurances and/or not exceeding any possible franchise(s) or deductibles provided for in the insurances</w:t>
      </w:r>
    </w:p>
    <w:p>
      <w:pPr>
        <w:spacing w:after="0" w:line="10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H&amp;M and war risks coverage </w:t>
      </w:r>
      <w:r>
        <w:rPr>
          <w:rFonts w:ascii="Times New Roman" w:cs="Times New Roman" w:eastAsia="Times New Roman" w:hAnsi="Times New Roman"/>
          <w:sz w:val="12"/>
          <w:szCs w:val="12"/>
          <w:color w:val="auto"/>
        </w:rPr>
        <w:t>The Charterers shall arrange that, the hull and machinery and war risks (including blocking and trapping and additional premium for war risks) insurance shall be at any time in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amount not less than one hundred ten per cent. (110%) of the higher of (x) the Outstanding Principal applicable as at the relevant time and (y) the latest Market Value of the Vessel (the "</w:t>
      </w:r>
      <w:r>
        <w:rPr>
          <w:rFonts w:ascii="Times New Roman" w:cs="Times New Roman" w:eastAsia="Times New Roman" w:hAnsi="Times New Roman"/>
          <w:sz w:val="12"/>
          <w:szCs w:val="12"/>
          <w:b w:val="1"/>
          <w:bCs w:val="1"/>
          <w:color w:val="auto"/>
        </w:rPr>
        <w:t>Minimum Insured Value</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hull and machinery insurance and the identity of the Approved Insurer shall be acceptable to the Owners and (if any) the Finance Parties (such acceptance not to be unreasonably withheld or delayed).</w:t>
      </w:r>
    </w:p>
    <w:p>
      <w:pPr>
        <w:spacing w:after="0" w:line="146"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Protection and indemnity coverage </w:t>
      </w:r>
      <w:r>
        <w:rPr>
          <w:rFonts w:ascii="Times New Roman" w:cs="Times New Roman" w:eastAsia="Times New Roman" w:hAnsi="Times New Roman"/>
          <w:sz w:val="12"/>
          <w:szCs w:val="12"/>
          <w:color w:val="auto"/>
        </w:rPr>
        <w:t>The Vessel shall be entered with China P&amp;I Club or in a P&amp;I Club which is a member of the International Group Association on customary terms, shall include freight, demurrage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defence cover and shall be covered against liability for pollution claims in an amount not less than the highest level of cover from time to time available under basic protection and indemnity club entry (currently US$1,000,000,000).</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Named assureds, no alteration to terms of Insurances and insurance report </w:t>
      </w:r>
      <w:r>
        <w:rPr>
          <w:rFonts w:ascii="Times New Roman" w:cs="Times New Roman" w:eastAsia="Times New Roman" w:hAnsi="Times New Roman"/>
          <w:sz w:val="12"/>
          <w:szCs w:val="12"/>
          <w:color w:val="auto"/>
        </w:rPr>
        <w:t>The Charterers:</w:t>
      </w:r>
    </w:p>
    <w:p>
      <w:pPr>
        <w:spacing w:after="0" w:line="154"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2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 to place the Insurances in such markets, in such currency, on such terms and conditions, and with such brokers, underwriters and associations as are customary for owners of similar tonnage and are satisfactory to the Owners;</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50" w:name="page251"/>
    <w:bookmarkEnd w:id="25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60" w:hanging="424"/>
        <w:spacing w:after="0" w:line="279" w:lineRule="auto"/>
        <w:tabs>
          <w:tab w:leader="none" w:pos="860"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name the Owners, the Charterers, the Approved Managers (provided the same is assigned in favour of the Security Trustee) and its crewing agent (provided the Co-Assured Undertaking shall have been delivered to the Owners) and if requested in writing by the Owners, any of the Finance Parties as the only named assureds;</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alter the terms of any of the Insurances nor allow any person to be co-assured under any of the Insurances without the prior written consent of the Owners (such consent not to be unreasonably withheld or delayed) and, if applicable, the Finance Parties, and will supply the Owners and, if applicable, the Finance Parties or procure that the Owners and, if applicable, the Finance Parties are supplied from time to time on request with such information as the Owners and, if applicable, any Finance Party may in their discretion require with regard to the Insurances and the brokers, underwriters or associations through or with which the Insurances are placed; and</w:t>
      </w:r>
    </w:p>
    <w:p>
      <w:pPr>
        <w:spacing w:after="0" w:line="122"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2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reimburse within ten (10) Business Days of demand, not more than once per calendar year during the Agreement Term, the Owners and/or (if applicable) any finance Party for all documented costs and expenses reasonably incurred by the Owners and/or such Finance Party in obtaining a report on the adequacy of the Insurances from an insurance adviser instructed by the Owners and/or such Finance Party.</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55" w:lineRule="auto"/>
        <w:tabs>
          <w:tab w:leader="none" w:pos="440"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Premiums etc</w:t>
      </w:r>
      <w:r>
        <w:rPr>
          <w:rFonts w:ascii="Times New Roman" w:cs="Times New Roman" w:eastAsia="Times New Roman" w:hAnsi="Times New Roman"/>
          <w:sz w:val="12"/>
          <w:szCs w:val="12"/>
          <w:color w:val="auto"/>
        </w:rPr>
        <w:t>. The Charterers undertake duly and punctually to pay all premiums, calls and contributions, and all other sums at any time payable in connection with the Insurances, and, at their own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expense, to arrange and provide any guarantees from time to time required by any protection and indemnity or war risks association. From time to time upon the Owners' request, the Charterers shall provide the Owners with (i) copies of all invoices issued by the brokers, underwriters or associations in respect of such premiums calls, contributions and other sums, and (ii) evidence satisfactory to the Owners and/or such Finance Party that such premiums, calls, contributions and other sums have been duly and punctually paid; that any such guarantees have been duly given; and that all declarations and notices required by the terms of any of the Insurances to be made or given by or on behalf of the Charterers to brokers, underwriters or associations have been duly and punctually made or given. Without prejudice to the generality of the foregoing, if the insurers of the war risks insurance require payment of premiums and/or calls because the Vessel is within, or is due to enter and remain within, any area or areas which are specified by such insurers as being subject to additional premiums because of War Risks, then the Charterers shall be obligated to procure the Insurances shall cover war risks areas subject to additional premium or call and such premiums and/or calls shall be paid and borne by the Charterers.</w:t>
      </w:r>
    </w:p>
    <w:p>
      <w:pPr>
        <w:spacing w:after="0" w:line="123" w:lineRule="exact"/>
        <w:rPr>
          <w:rFonts w:ascii="Times New Roman" w:cs="Times New Roman" w:eastAsia="Times New Roman" w:hAnsi="Times New Roman"/>
          <w:sz w:val="12"/>
          <w:szCs w:val="12"/>
          <w:color w:val="auto"/>
        </w:rPr>
      </w:pPr>
    </w:p>
    <w:p>
      <w:pPr>
        <w:jc w:val="both"/>
        <w:ind w:left="440" w:hanging="436"/>
        <w:spacing w:after="0" w:line="257" w:lineRule="auto"/>
        <w:tabs>
          <w:tab w:leader="none" w:pos="440" w:val="left"/>
        </w:tabs>
        <w:numPr>
          <w:ilvl w:val="0"/>
          <w:numId w:val="2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Insurances </w:t>
      </w:r>
      <w:r>
        <w:rPr>
          <w:rFonts w:ascii="Times New Roman" w:cs="Times New Roman" w:eastAsia="Times New Roman" w:hAnsi="Times New Roman"/>
          <w:sz w:val="12"/>
          <w:szCs w:val="12"/>
          <w:color w:val="auto"/>
        </w:rPr>
        <w:t>The Charterers will comply in all respects with all terms and conditions of the Insurances and will make all such declarations to brokers, underwriters and associations as may be required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enable the Vessel to operate in accordance with the terms and conditions of the Insurances. The Charterers will not do, nor permit to be done, any act, nor make, nor permit to be made, any omission, as a result of which any of the Insurances may become liable to be suspended, cancelled or avoided, or may become unenforceable, or as a result of which any sums payable under or in connection with any of the Insurances may be reduced or become liable to be repaid or rescinded in whole or in part. In particular, but without limitation, the Charterers will not permit the Vessel to be employed other than in conformity with the Insurances without first taking out additional insurance cover in respect of that employment and, if applicable, the Finance Parties, and the Charterers, upon request, will promptly notify the Owners and, if applicable, the Finance Parties of any new requirement imposed by any broker, underwriter or association in relation to any of the Insurances.</w:t>
      </w:r>
    </w:p>
    <w:p>
      <w:pPr>
        <w:spacing w:after="0" w:line="1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51" w:name="page252"/>
    <w:bookmarkEnd w:id="25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37" w:lineRule="exact"/>
        <w:rPr>
          <w:sz w:val="20"/>
          <w:szCs w:val="20"/>
          <w:color w:val="auto"/>
        </w:rPr>
      </w:pPr>
    </w:p>
    <w:p>
      <w:pPr>
        <w:ind w:left="440" w:hanging="436"/>
        <w:spacing w:after="0" w:line="286" w:lineRule="auto"/>
        <w:tabs>
          <w:tab w:leader="none" w:pos="44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Renewal of Insurances </w:t>
      </w:r>
      <w:r>
        <w:rPr>
          <w:rFonts w:ascii="Times New Roman" w:cs="Times New Roman" w:eastAsia="Times New Roman" w:hAnsi="Times New Roman"/>
          <w:sz w:val="12"/>
          <w:szCs w:val="12"/>
          <w:color w:val="auto"/>
        </w:rPr>
        <w:t>The Charterers will, no later than ten (10) Business Days before the expiry of any of the Insurances renew them and shall immediately give the Owners and, if applicable, the Finance Parties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details of those renewals to the Owners' and, if applicable, the Finance Parties' satisfaction.</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Delivery of documents relating to Insurances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Owners' request, deliver to the Owners and, if applicable, the Finance Parties copies of all policies, certificates of entry (endorsed with the appropriate loss payable clauses as may be required by the Owners and the Finance Parties from time to time) and other documents relating to the Insurances (including, without limitation, receipts for premiums, calls or contributions);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letters of undertaking (in such form and substance as are customary for the market) shall be issued to the Owners and, if applicable, the Finance Parties by the brokers through which the Insurances are placed (or, in the case of protection and indemnity or war risks associations, by their managers).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Fleet cover </w:t>
      </w:r>
      <w:r>
        <w:rPr>
          <w:rFonts w:ascii="Times New Roman" w:cs="Times New Roman" w:eastAsia="Times New Roman" w:hAnsi="Times New Roman"/>
          <w:sz w:val="12"/>
          <w:szCs w:val="12"/>
          <w:color w:val="auto"/>
        </w:rPr>
        <w:t>If the Vessel is at any time during the Agreement Term insured under any form of fleet cover, the Charterers shall procure that those letters of undertaking contain confirmation that the brokers, underwriters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association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 Failing receipt of those confirmations, the Charterers will instruct the brokers, underwriters or association concerned to issue a separate policy or certificate for the Vessel.</w:t>
      </w:r>
    </w:p>
    <w:p>
      <w:pPr>
        <w:spacing w:after="0" w:line="11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Provision of information on casualty, accidents or damage </w:t>
      </w:r>
      <w:r>
        <w:rPr>
          <w:rFonts w:ascii="Times New Roman" w:cs="Times New Roman" w:eastAsia="Times New Roman" w:hAnsi="Times New Roman"/>
          <w:sz w:val="12"/>
          <w:szCs w:val="12"/>
          <w:color w:val="auto"/>
        </w:rPr>
        <w:t>The Charterers shall promptly notify the Owners and upon request, provide the Owners with sufficient information regarding any casualty or other accident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damage to the Vessel, detention of the Vessel or any Environmental Incident including, without limitation, any material communication with all parties involved in case of a claim under any of the Insurances, provided such casualty, accident, damage, detention of the Vessel or Environmental Incident exceeds the Threshold Amount.</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Step-in rights of Owners and Finance Parties </w:t>
      </w:r>
      <w:r>
        <w:rPr>
          <w:rFonts w:ascii="Times New Roman" w:cs="Times New Roman" w:eastAsia="Times New Roman" w:hAnsi="Times New Roman"/>
          <w:sz w:val="12"/>
          <w:szCs w:val="12"/>
          <w:color w:val="auto"/>
        </w:rPr>
        <w:t>The Charterers agree that, at any time after the occurrence of a Termination Event which is continuing, the Owners and, if applicable, the Finance Parties shall be entitled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collect, sue for, recover and give a good discharge for all claims in respect of any of the Insurances;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collecting brokers the customary commission on all sums collected in respect of those claims;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compromise all such claims or refer them to arbitration or any other form of judicial or non-judicial determination;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to deal with such claims in such manner as the Owners and, if applicable, the Finance Parties shall in their discretion think fit.</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2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Total loss insurance proceeds </w:t>
      </w:r>
      <w:r>
        <w:rPr>
          <w:rFonts w:ascii="Times New Roman" w:cs="Times New Roman" w:eastAsia="Times New Roman" w:hAnsi="Times New Roman"/>
          <w:sz w:val="12"/>
          <w:szCs w:val="12"/>
          <w:color w:val="auto"/>
        </w:rPr>
        <w:t>Whether or not a Termination Event shall have occurred, the proceeds of any claim under any of the Insurances in respect of a Total Loss shall be paid and applied in accordance with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52" w:name="page253"/>
    <w:bookmarkEnd w:id="25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40" w:hanging="436"/>
        <w:spacing w:after="0"/>
        <w:tabs>
          <w:tab w:leader="none" w:pos="440"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insurance proceeds</w:t>
      </w:r>
    </w:p>
    <w:p>
      <w:pPr>
        <w:spacing w:after="0" w:line="316" w:lineRule="exact"/>
        <w:rPr>
          <w:rFonts w:ascii="Times New Roman" w:cs="Times New Roman" w:eastAsia="Times New Roman" w:hAnsi="Times New Roman"/>
          <w:sz w:val="12"/>
          <w:szCs w:val="12"/>
          <w:color w:val="auto"/>
        </w:rPr>
      </w:pPr>
    </w:p>
    <w:p>
      <w:pPr>
        <w:jc w:val="both"/>
        <w:ind w:left="860" w:hanging="424"/>
        <w:spacing w:after="0" w:line="257" w:lineRule="auto"/>
        <w:tabs>
          <w:tab w:leader="none" w:pos="860" w:val="left"/>
        </w:tabs>
        <w:numPr>
          <w:ilvl w:val="1"/>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agree that any amounts which may become due and payable to the Charterers under any protection and indemnity entry shall be paid to the Charterers to reimburse the Charterers for, and in discharge of, the loss, damage or expense in respect of which they shall have become due, unless, at the time the amount in question becomes due, a Termination Event shall have occurred and be continuing, in which event the Owners shall be entitled to receive the amounts in question and to apply them either in reduction of the Termination Sum owed by the Charterers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or, at the option of the Owners, to the discharge of the liability in respect of which they were paid. For the avoidance of doubt, any amount which may become due and payable to the Owners under any protection and indemnity entry or insurance shall be paid to the Owners or to the Owners' order.</w:t>
      </w:r>
    </w:p>
    <w:p>
      <w:pPr>
        <w:spacing w:after="0" w:line="287"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forgoing and subject to the terms of the Finance Documents (if any), all claims (other than in respect of a Total Loss) in relation to other Insurances, shall, unless and during the occurrence of a continuing Termination Event, in which event all claims under the relevant policy shall be payable directly to the Owners, be payable as follows:</w:t>
      </w:r>
    </w:p>
    <w:p>
      <w:pPr>
        <w:spacing w:after="0" w:line="111"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does not exceed the Threshold Amount, prior to adjustment for any franchise or deductible under the terms of the relevant policy, shall be paid directly to the Charterers (as agent for the Owners) for the repair, salvage or other charges involved or as a reimbursement if the Charterers fully repaired the damage to the satisfaction of the Owners (acting reasonably) and paid all of the salvage or other charges;</w:t>
      </w:r>
    </w:p>
    <w:p>
      <w:pPr>
        <w:spacing w:after="0" w:line="118" w:lineRule="exact"/>
        <w:rPr>
          <w:rFonts w:ascii="Times New Roman" w:cs="Times New Roman" w:eastAsia="Times New Roman" w:hAnsi="Times New Roman"/>
          <w:sz w:val="12"/>
          <w:szCs w:val="12"/>
          <w:color w:val="auto"/>
        </w:rPr>
      </w:pPr>
    </w:p>
    <w:p>
      <w:pPr>
        <w:jc w:val="both"/>
        <w:ind w:left="1300" w:hanging="432"/>
        <w:spacing w:after="0" w:line="260" w:lineRule="auto"/>
        <w:tabs>
          <w:tab w:leader="none" w:pos="1300" w:val="left"/>
        </w:tabs>
        <w:numPr>
          <w:ilvl w:val="2"/>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exceeds the Threshold Amount prior to adjustment for any franchise or deductible under the terms of the relevant policy, shall, subject to the prior written consent of the Owners (such consent not to be unreasonably withheld or delayed), be paid to the Charterers as and when the Vessel is restored to her former state and condition and the liability in respect of which the insurance loss is payable is discharged, and provided that the Approved Insurers may with such consent make payment on account of repairs in the course of being effected, but, in the absence of such prior written consent shall be payable directly to the Owners.</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Settlement, compromise or abandonment of claims </w:t>
      </w:r>
      <w:r>
        <w:rPr>
          <w:rFonts w:ascii="Times New Roman" w:cs="Times New Roman" w:eastAsia="Times New Roman" w:hAnsi="Times New Roman"/>
          <w:sz w:val="12"/>
          <w:szCs w:val="12"/>
          <w:color w:val="auto"/>
        </w:rPr>
        <w:t>The Charterers shall not settle, compromise or abandon any claim under or in connection with any of the Insurances (other than in the absence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that is continuing a claim of less than the Threshold Amount, prior to adjustment for any franchise or deductible under the terms of policy, arising other than from a Total Loss) without the prior written consent of the Owners (such consent not to be unreasonably withheld or delayed) and, if applicable, the Finance Parties.</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2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to maintain Insurances </w:t>
      </w:r>
      <w:r>
        <w:rPr>
          <w:rFonts w:ascii="Times New Roman" w:cs="Times New Roman" w:eastAsia="Times New Roman" w:hAnsi="Times New Roman"/>
          <w:sz w:val="12"/>
          <w:szCs w:val="12"/>
          <w:color w:val="auto"/>
        </w:rPr>
        <w:t>If the Charterers fail to effect or keep in force the Insurances, the Owners may (but shall not be obliged to) effect and/or keep in force such insurances on the Vessel and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entries in protection and indemnity or war risks associations as the Owners in their discretion consider desirable, and the Owners may (but shall not be obliged to) pay any unpaid premiums, calls or contributions. The Charterers will reimburse the Owners from time to time within ten (10) Business Days of demand for all such premiums, calls or contributions paid by the Owners.</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53" w:name="page254"/>
    <w:bookmarkEnd w:id="25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both"/>
        <w:ind w:left="440" w:hanging="436"/>
        <w:spacing w:after="0" w:line="268" w:lineRule="auto"/>
        <w:tabs>
          <w:tab w:leader="none" w:pos="44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protection issues </w:t>
      </w:r>
      <w:r>
        <w:rPr>
          <w:rFonts w:ascii="Times New Roman" w:cs="Times New Roman" w:eastAsia="Times New Roman" w:hAnsi="Times New Roman"/>
          <w:sz w:val="12"/>
          <w:szCs w:val="12"/>
          <w:color w:val="auto"/>
        </w:rPr>
        <w:t>The Charterers shall comply strictly with the requirements of any legislation relating to pollution or protection of the environment which may from time to time be applicable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Vessel in any jurisdiction in which the Vessel shall trade and in particular the Charterers shall comply strictly with the requirements of the United States Oil Pollution Act 1990 (the "</w:t>
      </w:r>
      <w:r>
        <w:rPr>
          <w:rFonts w:ascii="Times New Roman" w:cs="Times New Roman" w:eastAsia="Times New Roman" w:hAnsi="Times New Roman"/>
          <w:sz w:val="12"/>
          <w:szCs w:val="12"/>
          <w:b w:val="1"/>
          <w:bCs w:val="1"/>
          <w:color w:val="auto"/>
        </w:rPr>
        <w:t>Act</w:t>
      </w:r>
      <w:r>
        <w:rPr>
          <w:rFonts w:ascii="Times New Roman" w:cs="Times New Roman" w:eastAsia="Times New Roman" w:hAnsi="Times New Roman"/>
          <w:sz w:val="12"/>
          <w:szCs w:val="12"/>
          <w:color w:val="auto"/>
        </w:rPr>
        <w:t>") if the Vessel is to trade in the United States of America and Exclusive Economic Zone (as defined in the Act). Before any such trade is commenced and during the entire period during which such trade is carried on, the Charterers shall:</w:t>
      </w:r>
    </w:p>
    <w:p>
      <w:pPr>
        <w:spacing w:after="0" w:line="279"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any additional premiums required to maintain protection and indemnity cover for oil pollution up to the limit available to the Charterers for the Vessel in the market;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all such quarterly or other voyage declarations as may from time to time be required by the Vessel's protection and indemnity association in order to maintain such cover, and promptly deliver to the Owners and, if applicable, the Finance Parties copies of such declarations;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the Vessel to such additional periodic, classification, structural or other surveys which may be required by the Vessel's protection and indemnity insurers to maintain cover for such trade and promptly deliver to the Owners and, if applicable, the Finance Parties copies of reports made in respect of such surveys;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any recommendations contained in the reports issued following the surveys referred to in sub-paragraph (s)(iii) above within the relevant time limits;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foregoing (if such trade is in the United States of America and Exclusive Economic Zone):</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and retain a certificate of financial responsibility under the Act in form and substance satisfactory to the United States Coast Guard and provide the Owners with evidence of the same;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protection and indemnity insurances do not contain a US Trading Exclusion Clause or any other analogous provision and provide the Owners with evidence that this is so; and</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3"/>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strictly with any operational or structural regulations issued from time to time by any relevant authorities under the Act so that at all times the Vessel falls within the provisions which limit strict liability under the Act for oil pollution.</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8"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Innocent Owners' Interest Insurance </w:t>
      </w:r>
      <w:r>
        <w:rPr>
          <w:rFonts w:ascii="Times New Roman" w:cs="Times New Roman" w:eastAsia="Times New Roman" w:hAnsi="Times New Roman"/>
          <w:sz w:val="12"/>
          <w:szCs w:val="12"/>
          <w:color w:val="auto"/>
        </w:rPr>
        <w:t>The Owners shall be at liberty to take out an Innocent Owners' Interest Insurance and an Innocent Owners' Additional Perils (Oil Pollution) Insurance in relation to the Vessel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 amount up to the Minimum Insured Value and on such terms and conditions as the Owners may from time to time decide, and the Charterers shall from time to time upon the Owners' demand, reimburse the Owners for all costs, premiums and expenses paid or incurred by the Owners in connection with any Innocent Owners' Interest Insurance or Innocent Owners' Additional Perils (Oil Pollution) Insurance (or, if so request by the Owners, directly pay all such costs, premiums and expenses).</w:t>
      </w:r>
    </w:p>
    <w:p>
      <w:pPr>
        <w:spacing w:after="0" w:line="117"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Cooperation by the Charterers </w:t>
      </w:r>
      <w:r>
        <w:rPr>
          <w:rFonts w:ascii="Times New Roman" w:cs="Times New Roman" w:eastAsia="Times New Roman" w:hAnsi="Times New Roman"/>
          <w:sz w:val="12"/>
          <w:szCs w:val="12"/>
          <w:color w:val="auto"/>
        </w:rPr>
        <w:t>The Charterers agree and undertake that:</w:t>
      </w:r>
    </w:p>
    <w:p>
      <w:pPr>
        <w:spacing w:after="0" w:line="154" w:lineRule="exact"/>
        <w:rPr>
          <w:rFonts w:ascii="Times New Roman" w:cs="Times New Roman" w:eastAsia="Times New Roman" w:hAnsi="Times New Roman"/>
          <w:sz w:val="12"/>
          <w:szCs w:val="12"/>
          <w:color w:val="auto"/>
        </w:rPr>
      </w:pPr>
    </w:p>
    <w:p>
      <w:pPr>
        <w:ind w:left="860" w:hanging="442"/>
        <w:spacing w:after="0"/>
        <w:tabs>
          <w:tab w:leader="none" w:pos="860" w:val="left"/>
        </w:tabs>
        <w:numPr>
          <w:ilvl w:val="1"/>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receive any payment in relation to the Insurances in contravention of this Charter, the Charterers will hold such payment on trust and on behalf of the Owners;</w:t>
      </w:r>
    </w:p>
    <w:p>
      <w:pPr>
        <w:spacing w:after="0" w:line="150" w:lineRule="exact"/>
        <w:rPr>
          <w:rFonts w:ascii="Times New Roman" w:cs="Times New Roman" w:eastAsia="Times New Roman" w:hAnsi="Times New Roman"/>
          <w:sz w:val="12"/>
          <w:szCs w:val="12"/>
          <w:color w:val="auto"/>
        </w:rPr>
      </w:pPr>
    </w:p>
    <w:p>
      <w:pPr>
        <w:ind w:left="860" w:hanging="442"/>
        <w:spacing w:after="0" w:line="279" w:lineRule="auto"/>
        <w:tabs>
          <w:tab w:leader="none" w:pos="860" w:val="left"/>
        </w:tabs>
        <w:numPr>
          <w:ilvl w:val="1"/>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refuse, withhold (or otherwise delay giving) consent to the payment of any amount which becomes payable to the Owners under the Insurances (to the extent that such payment is payable to the Owners in accordance with terms of this Charter); and</w:t>
      </w:r>
    </w:p>
    <w:p>
      <w:pPr>
        <w:spacing w:after="0" w:line="111" w:lineRule="exact"/>
        <w:rPr>
          <w:rFonts w:ascii="Times New Roman" w:cs="Times New Roman" w:eastAsia="Times New Roman" w:hAnsi="Times New Roman"/>
          <w:sz w:val="12"/>
          <w:szCs w:val="12"/>
          <w:color w:val="auto"/>
        </w:rPr>
      </w:pPr>
    </w:p>
    <w:p>
      <w:pPr>
        <w:ind w:left="860" w:right="20" w:hanging="442"/>
        <w:spacing w:after="0" w:line="279" w:lineRule="auto"/>
        <w:tabs>
          <w:tab w:leader="none" w:pos="860" w:val="left"/>
        </w:tabs>
        <w:numPr>
          <w:ilvl w:val="1"/>
          <w:numId w:val="2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time to time on the written request of the Owners, the Charterers will promptly execute and deliver to the Owners all documents which the Owners may require for the purpose of obtaining any payment in relation to the Insurances (to the extent that such payment is payable to the Owners in accordance with the terms of this Charter).</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54" w:name="page255"/>
    <w:bookmarkEnd w:id="25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both"/>
        <w:ind w:left="868" w:hanging="436"/>
        <w:spacing w:after="0" w:line="268" w:lineRule="auto"/>
        <w:tabs>
          <w:tab w:leader="none" w:pos="86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Freight, demurrage and defence </w:t>
      </w:r>
      <w:r>
        <w:rPr>
          <w:rFonts w:ascii="Times New Roman" w:cs="Times New Roman" w:eastAsia="Times New Roman" w:hAnsi="Times New Roman"/>
          <w:sz w:val="12"/>
          <w:szCs w:val="12"/>
          <w:color w:val="auto"/>
        </w:rPr>
        <w:t>To the extent not already covered under the Vessel's Insurances, the Owners shall be at liberty to, in relation to the Vessel, take out freight, demurrage and defence cover on such terms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conditions as the Owners may from time to time decide. The Charterers shall from time to time upon the Owners' demand reimburse the Owners for all costs, premiums and expenses paid or incurred by the Owners in connection with such cover.</w:t>
      </w:r>
    </w:p>
    <w:p>
      <w:pPr>
        <w:spacing w:after="0" w:line="113" w:lineRule="exact"/>
        <w:rPr>
          <w:rFonts w:ascii="Times New Roman" w:cs="Times New Roman" w:eastAsia="Times New Roman" w:hAnsi="Times New Roman"/>
          <w:sz w:val="12"/>
          <w:szCs w:val="12"/>
          <w:color w:val="auto"/>
        </w:rPr>
      </w:pPr>
    </w:p>
    <w:p>
      <w:pPr>
        <w:jc w:val="both"/>
        <w:ind w:left="868" w:hanging="436"/>
        <w:spacing w:after="0" w:line="259" w:lineRule="auto"/>
        <w:tabs>
          <w:tab w:leader="none" w:pos="868" w:val="left"/>
        </w:tabs>
        <w:numPr>
          <w:ilvl w:val="1"/>
          <w:numId w:val="2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Separate Insurance Interest </w:t>
      </w:r>
      <w:r>
        <w:rPr>
          <w:rFonts w:ascii="Times New Roman" w:cs="Times New Roman" w:eastAsia="Times New Roman" w:hAnsi="Times New Roman"/>
          <w:sz w:val="12"/>
          <w:szCs w:val="12"/>
          <w:color w:val="auto"/>
        </w:rPr>
        <w:t>Notwithstanding that the interests of the Owners and Charterers are both covered under the Insurances, the provisions of this Clause 41 (</w:t>
      </w:r>
      <w:r>
        <w:rPr>
          <w:rFonts w:ascii="Times New Roman" w:cs="Times New Roman" w:eastAsia="Times New Roman" w:hAnsi="Times New Roman"/>
          <w:sz w:val="12"/>
          <w:szCs w:val="12"/>
          <w:i w:val="1"/>
          <w:iCs w:val="1"/>
          <w:color w:val="auto"/>
        </w:rPr>
        <w:t>Insurance</w:t>
      </w:r>
      <w:r>
        <w:rPr>
          <w:rFonts w:ascii="Times New Roman" w:cs="Times New Roman" w:eastAsia="Times New Roman" w:hAnsi="Times New Roman"/>
          <w:sz w:val="12"/>
          <w:szCs w:val="12"/>
          <w:color w:val="auto"/>
        </w:rPr>
        <w:t>) shall neither exclude nor discharge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liability between the Owners and the Charterers under this Charter. Any payment of insurance proceeds is no bar to a claim by the Owners and/or their insurers against the Charterers to seek indemnity by way of subrogation. For the avoidance of any doubt, the Innocent Owners' Interest Insurances, Mortgagees' Interest Insurances and any other insurances taken out by the Owners and/or any Finance Party (as the case may be) are for the sole benefit of the Owners and/or any Finance Party (as the case may be), and any sum recoverable under such insurances shall not in any way exclude or discharge the obligations and liabilities of the Obligors under the Transaction Documents. Nothing herein shall prejudice any rights of recovery of the Owners or the Charterers (or their insurers) against third parties.</w:t>
      </w:r>
    </w:p>
    <w:p>
      <w:pPr>
        <w:spacing w:after="0" w:line="11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any Termination Event and while the same is continuing and subject to lapse of the Termination Payment Date, if the Owners decide to retake possession of the Vessel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the Charterers shall, at their own cost and expense, redeliver or cause to be redelivered the Vessel to the Owners at the Vessel's current or next port of call, afloat at all times in a ready safe berth or anchorage, in accordance with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Owners’ rights and remedies under or pursuant to any provision of this Charter, the Charterers shall continue to perform all the obligations, undertakings and liabilities with respect to the management, maintenance and insurance in respect of the Vessel under and pursuant to the terms of this Charter until redelivery of the Vessel.</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conditions</w:t>
      </w:r>
    </w:p>
    <w:p>
      <w:pPr>
        <w:spacing w:after="0" w:line="152"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what has been agreed in Clauses 15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(Part II) and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the condition of the Vessel shall at redelivery be as follows:</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of any overdue class and statutory recommendations affecting its trading certificates;</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0" w:lineRule="auto"/>
        <w:tabs>
          <w:tab w:leader="none" w:pos="1288" w:val="left"/>
        </w:tabs>
        <w:numPr>
          <w:ilvl w:val="2"/>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equipment and spares or replacement items listed in the delivery inventory carried out pursuant to Clause 9 (Inventories, Oil and Stores) (Part II) unless such items have been consumed or used during the Agreement Term (or part thereof) and any spare parts on board or on order for any equipment installed on the Vessel following delivery (provided that any such items which are on lease or hire purchase shall be replaced with items of an equivalent standard and condition fair wear and tear excepted); all records, logs, plans, operating manuals and drawings, spare parts onboard shall be included at the time of redelivery in connection with a transfer of the Vessel or such other items as are then in the possession of the Charterers shall be delivered to the Owners;</w:t>
      </w:r>
    </w:p>
    <w:p>
      <w:pPr>
        <w:spacing w:after="0" w:line="122" w:lineRule="exact"/>
        <w:rPr>
          <w:rFonts w:ascii="Times New Roman" w:cs="Times New Roman" w:eastAsia="Times New Roman" w:hAnsi="Times New Roman"/>
          <w:sz w:val="12"/>
          <w:szCs w:val="12"/>
          <w:color w:val="auto"/>
        </w:rPr>
      </w:pPr>
    </w:p>
    <w:p>
      <w:pPr>
        <w:ind w:left="1288" w:hanging="424"/>
        <w:spacing w:after="0" w:line="279" w:lineRule="auto"/>
        <w:tabs>
          <w:tab w:leader="none" w:pos="1288" w:val="left"/>
        </w:tabs>
        <w:numPr>
          <w:ilvl w:val="2"/>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national and international trading certificates and hull/machinery survey positions for both class and statutory surveys free of any overdue recommendation and qualifications valid and un-extended for a period of at least three (3) months beyond the redelivery date;</w:t>
      </w:r>
    </w:p>
    <w:p>
      <w:pPr>
        <w:spacing w:after="0" w:line="111" w:lineRule="exact"/>
        <w:rPr>
          <w:rFonts w:ascii="Times New Roman" w:cs="Times New Roman" w:eastAsia="Times New Roman" w:hAnsi="Times New Roman"/>
          <w:sz w:val="12"/>
          <w:szCs w:val="12"/>
          <w:color w:val="auto"/>
        </w:rPr>
      </w:pPr>
    </w:p>
    <w:p>
      <w:pPr>
        <w:ind w:left="1288" w:hanging="424"/>
        <w:spacing w:after="0" w:line="279" w:lineRule="auto"/>
        <w:tabs>
          <w:tab w:leader="none" w:pos="1288" w:val="left"/>
        </w:tabs>
        <w:numPr>
          <w:ilvl w:val="2"/>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Vessel's ballast tank coatings to be maintained in "Fair" (as such term (or its equivalent) may be defined and/or interpreted in the relevant survey report) condition as appropriate for the Vessel's age at the time of redelivery, fair wear and tear excepted;</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2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have passed any flag or class surveys or inspections due within three (3) months after the date of redelivery and have its continuous survey system up to date;</w:t>
      </w:r>
    </w:p>
    <w:p>
      <w:pPr>
        <w:spacing w:after="0" w:line="31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55" w:name="page256"/>
    <w:bookmarkEnd w:id="25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jc w:val="both"/>
        <w:ind w:left="1288" w:hanging="424"/>
        <w:spacing w:after="0" w:line="260" w:lineRule="auto"/>
        <w:tabs>
          <w:tab w:leader="none" w:pos="1288" w:val="left"/>
        </w:tabs>
        <w:numPr>
          <w:ilvl w:val="3"/>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accommodation and common spaces for crew and officers substantially in the same condition as at the Actual Delivery Date, free of damage over and above fair wear and tear; with cargo spaces generally fit to carry the cargoes originally designed and intended for the Vessel; with main propulsion equipment, auxiliary equipment, cargo handling equipment, navigational equipment, etc., in such operating condition as provided for in this Charter (fair wear and tear excepted) unless used or disposed of in the ordinary course of business and trading of the Vessel and subject to such spare parts and equipment not belonging to a third party;</w:t>
      </w:r>
    </w:p>
    <w:p>
      <w:pPr>
        <w:spacing w:after="0" w:line="12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and clear of all liens other than those created by or on the instructions of the Owners;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condition of the cargo holds to be in accordance with the maintenance regime undertaken by the Charterers during the Charter Period since delivery;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anti-fouling coating system applied at the last scheduled dry-docking shall be in accordance with prevailing regulations at the time of application.</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redelivery, the Charterers shall ensure that the Vessel shall meet the following performance levels (which where relevant shall be determined by reference to the Vessel's log books):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remaining bunkers shall be in compliance with all applicable laws, including without limitation, the global sulphur limit imposed by the International Maritime Organization (IMO) for vessels of this type;</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bunkers shall be sufficient to cover at least a voyage to a port for refueling;</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equipment controlling the habitability of the accommodation and service areas to be in proper working order, fair wear and tear excepted; and</w:t>
      </w:r>
    </w:p>
    <w:p>
      <w:pPr>
        <w:spacing w:after="0" w:line="150" w:lineRule="exact"/>
        <w:rPr>
          <w:rFonts w:ascii="Times New Roman" w:cs="Times New Roman" w:eastAsia="Times New Roman" w:hAnsi="Times New Roman"/>
          <w:sz w:val="12"/>
          <w:szCs w:val="12"/>
          <w:color w:val="auto"/>
        </w:rPr>
      </w:pPr>
    </w:p>
    <w:p>
      <w:pPr>
        <w:ind w:left="1288" w:hanging="424"/>
        <w:spacing w:after="0" w:line="279" w:lineRule="auto"/>
        <w:tabs>
          <w:tab w:leader="none" w:pos="1288" w:val="left"/>
        </w:tabs>
        <w:numPr>
          <w:ilvl w:val="3"/>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deadweight to be within one per cent (1%) of that achieved at delivery (as the same may be adjusted as a result of any upgrading of the Vessel carried out in accordance with this Charter (such adjustment to be agreed between the Owners and Charterers at the time such upgrading work is to be undertaken)).</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shall be each appoint (at the Charterers’ expense) an independent surveyor for the purpose of determining and agreeing in writing the condition of the Vessel at redelivery.</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is not in the condition or does not meet the performance criteria required by this Clause 43, a list of deficiencies together with the costs of repairing/remedying such deficiencies shall be agreed by the respective surveyors.</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 any class items restricting the operation or trading of the Vessel prior to redelivery.</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repair/remedy all such other deficiencies as are necessary to put the Vessel into the return condition required by this Clause 43.</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Diver's inspection at redelivery</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Vessel is returned in dry-dock, if the Owners so request, a diver's inspection is required to be performed at the time of redelivery and the following provisions shall apply:</w:t>
      </w:r>
    </w:p>
    <w:p>
      <w:pPr>
        <w:spacing w:after="0" w:line="150" w:lineRule="exact"/>
        <w:rPr>
          <w:rFonts w:ascii="Times New Roman" w:cs="Times New Roman" w:eastAsia="Times New Roman" w:hAnsi="Times New Roman"/>
          <w:sz w:val="12"/>
          <w:szCs w:val="12"/>
          <w:color w:val="auto"/>
        </w:rPr>
      </w:pPr>
    </w:p>
    <w:p>
      <w:pPr>
        <w:ind w:left="1188" w:hanging="342"/>
        <w:spacing w:after="0" w:line="279" w:lineRule="auto"/>
        <w:tabs>
          <w:tab w:leader="none" w:pos="1188" w:val="left"/>
        </w:tabs>
        <w:numPr>
          <w:ilvl w:val="2"/>
          <w:numId w:val="2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written request of the Owners, arrange at the Charterers' time and expense for an underwater inspection by a diver approved by the Classification Society immediately prior to the redelivery.</w:t>
      </w:r>
    </w:p>
    <w:p>
      <w:pPr>
        <w:spacing w:after="0" w:line="27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56" w:name="page257"/>
    <w:bookmarkEnd w:id="25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1188" w:hanging="342"/>
        <w:spacing w:after="0"/>
        <w:tabs>
          <w:tab w:leader="none" w:pos="1188" w:val="left"/>
        </w:tabs>
        <w:numPr>
          <w:ilvl w:val="2"/>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video film of the inspection shall be made. The extent of the inspection and the conditions under which it is performed shall be to the satisfaction of the Classification Society.</w:t>
      </w:r>
    </w:p>
    <w:p>
      <w:pPr>
        <w:spacing w:after="0" w:line="150" w:lineRule="exact"/>
        <w:rPr>
          <w:rFonts w:ascii="Times New Roman" w:cs="Times New Roman" w:eastAsia="Times New Roman" w:hAnsi="Times New Roman"/>
          <w:sz w:val="12"/>
          <w:szCs w:val="12"/>
          <w:color w:val="auto"/>
        </w:rPr>
      </w:pPr>
    </w:p>
    <w:p>
      <w:pPr>
        <w:ind w:left="1188" w:hanging="342"/>
        <w:spacing w:after="0" w:line="279" w:lineRule="auto"/>
        <w:tabs>
          <w:tab w:leader="none" w:pos="1188" w:val="left"/>
        </w:tabs>
        <w:numPr>
          <w:ilvl w:val="2"/>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damage to the underwater parts is found, the Charterers shall arrange, at their time and costs, for the Vessel to be dry-docked (if required by the Classification Society) and repairs carried out to the satisfaction of the Classification Society.</w:t>
      </w:r>
    </w:p>
    <w:p>
      <w:pPr>
        <w:spacing w:after="0" w:line="111" w:lineRule="exact"/>
        <w:rPr>
          <w:rFonts w:ascii="Times New Roman" w:cs="Times New Roman" w:eastAsia="Times New Roman" w:hAnsi="Times New Roman"/>
          <w:sz w:val="12"/>
          <w:szCs w:val="12"/>
          <w:color w:val="auto"/>
        </w:rPr>
      </w:pPr>
    </w:p>
    <w:p>
      <w:pPr>
        <w:ind w:left="1188" w:right="20" w:hanging="342"/>
        <w:spacing w:after="0" w:line="279" w:lineRule="auto"/>
        <w:tabs>
          <w:tab w:leader="none" w:pos="1188" w:val="left"/>
        </w:tabs>
        <w:numPr>
          <w:ilvl w:val="2"/>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at the port of redelivery are unsuitable for such diver's inspection, the Charterers shall take the Vessel (in Charterers' time and at Charterers' expense) to a suitable alternative place nearest to the redelivery port unless an alternative solution is agreed.</w:t>
      </w:r>
    </w:p>
    <w:p>
      <w:pPr>
        <w:spacing w:after="0" w:line="109" w:lineRule="exact"/>
        <w:rPr>
          <w:rFonts w:ascii="Times New Roman" w:cs="Times New Roman" w:eastAsia="Times New Roman" w:hAnsi="Times New Roman"/>
          <w:sz w:val="12"/>
          <w:szCs w:val="12"/>
          <w:color w:val="auto"/>
        </w:rPr>
      </w:pPr>
    </w:p>
    <w:p>
      <w:pPr>
        <w:ind w:left="1188" w:hanging="342"/>
        <w:spacing w:after="0"/>
        <w:tabs>
          <w:tab w:leader="none" w:pos="1188" w:val="left"/>
        </w:tabs>
        <w:numPr>
          <w:ilvl w:val="2"/>
          <w:numId w:val="2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sub-paragraph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all costs relating to any diver's inspection shall be borne by the Charterers.</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mortgage</w:t>
      </w:r>
    </w:p>
    <w:p>
      <w:pPr>
        <w:spacing w:after="0" w:line="154" w:lineRule="exact"/>
        <w:rPr>
          <w:rFonts w:ascii="Times New Roman" w:cs="Times New Roman" w:eastAsia="Times New Roman" w:hAnsi="Times New Roman"/>
          <w:sz w:val="12"/>
          <w:szCs w:val="12"/>
          <w:b w:val="1"/>
          <w:bCs w:val="1"/>
          <w:color w:val="auto"/>
        </w:rPr>
      </w:pPr>
    </w:p>
    <w:p>
      <w:pPr>
        <w:ind w:left="848" w:hanging="425"/>
        <w:spacing w:after="0"/>
        <w:tabs>
          <w:tab w:leader="none" w:pos="848" w:val="left"/>
        </w:tabs>
        <w:numPr>
          <w:ilvl w:val="1"/>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w:t>
      </w:r>
    </w:p>
    <w:p>
      <w:pPr>
        <w:spacing w:after="0" w:line="150" w:lineRule="exact"/>
        <w:rPr>
          <w:rFonts w:ascii="Times New Roman" w:cs="Times New Roman" w:eastAsia="Times New Roman" w:hAnsi="Times New Roman"/>
          <w:sz w:val="12"/>
          <w:szCs w:val="12"/>
          <w:color w:val="auto"/>
        </w:rPr>
      </w:pPr>
    </w:p>
    <w:p>
      <w:pPr>
        <w:jc w:val="both"/>
        <w:ind w:left="1268" w:hanging="422"/>
        <w:spacing w:after="0" w:line="260" w:lineRule="auto"/>
        <w:tabs>
          <w:tab w:leader="none" w:pos="1268" w:val="left"/>
        </w:tabs>
        <w:numPr>
          <w:ilvl w:val="2"/>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acknowledge that the Owners are entitled and do intend to enter or have entered into certain funding arrangements with the Finance Parties in order to finance part of the Outstanding Principal, which funding arrangements may be secured, inter alia, by ship mortgages over the Vessel and (along with other related matters) the relevant Finance Documents provided that simultaneously with the Owners' execution of any such ship mortgages, the Owners shall ensure that the relevant Finance Parties execute and deliver to the Charterers a Quiet Enjoyment Letter in favour of the Charterers in a form mutually acceptable to the Finance Party and the Charterer (both acting reasonably);</w:t>
      </w:r>
    </w:p>
    <w:p>
      <w:pPr>
        <w:spacing w:after="0" w:line="122"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consent to any assignment, transfer and/or novation of the Owners' rights, interests and benefits in and to the Insurances, the Earnings and the Requisition Compensation and any Transaction Document to which it is a party in favour of the Finance Parties pursuant to the relevant Finance Documents or any Financial Institution; and</w:t>
      </w:r>
    </w:p>
    <w:p>
      <w:pPr>
        <w:spacing w:after="0" w:line="109" w:lineRule="exact"/>
        <w:rPr>
          <w:rFonts w:ascii="Times New Roman" w:cs="Times New Roman" w:eastAsia="Times New Roman" w:hAnsi="Times New Roman"/>
          <w:sz w:val="12"/>
          <w:szCs w:val="12"/>
          <w:color w:val="auto"/>
        </w:rPr>
      </w:pPr>
    </w:p>
    <w:p>
      <w:pPr>
        <w:ind w:left="1268" w:right="20" w:hanging="422"/>
        <w:spacing w:after="0" w:line="283" w:lineRule="auto"/>
        <w:tabs>
          <w:tab w:leader="none" w:pos="1268" w:val="left"/>
        </w:tabs>
        <w:numPr>
          <w:ilvl w:val="2"/>
          <w:numId w:val="2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undertake to execute, provide or procure the execution or provision (as the case may be) of such document as is necessary to effect the assignment transfer and/or novation referred to in sub-paragraph (ii) above, provided that any related costs shall be on the Owners' account.</w:t>
      </w:r>
    </w:p>
    <w:p>
      <w:pPr>
        <w:spacing w:after="0" w:line="109" w:lineRule="exact"/>
        <w:rPr>
          <w:sz w:val="20"/>
          <w:szCs w:val="20"/>
          <w:color w:val="auto"/>
        </w:rPr>
      </w:pPr>
    </w:p>
    <w:p>
      <w:pPr>
        <w:ind w:left="848" w:right="20"/>
        <w:spacing w:after="0" w:line="279" w:lineRule="auto"/>
        <w:rPr>
          <w:sz w:val="20"/>
          <w:szCs w:val="20"/>
          <w:color w:val="auto"/>
        </w:rPr>
      </w:pPr>
      <w:r>
        <w:rPr>
          <w:rFonts w:ascii="Times New Roman" w:cs="Times New Roman" w:eastAsia="Times New Roman" w:hAnsi="Times New Roman"/>
          <w:sz w:val="12"/>
          <w:szCs w:val="12"/>
          <w:color w:val="auto"/>
        </w:rPr>
        <w:t>Provided that no Termination Event has occurred and is continuing, the Owners shall not, and shall procure that no-one claiming through them (as mortgagee, assignee or otherwise but in each case subject to the terms of the relevant Quiet Enjoyment Letter) will interfere with the Charterers' quiet use and possession of the Vessel throughout the Charter Period.</w:t>
      </w:r>
    </w:p>
    <w:p>
      <w:pPr>
        <w:spacing w:after="0" w:line="111" w:lineRule="exact"/>
        <w:rPr>
          <w:sz w:val="20"/>
          <w:szCs w:val="20"/>
          <w:color w:val="auto"/>
        </w:rPr>
      </w:pPr>
    </w:p>
    <w:p>
      <w:pPr>
        <w:ind w:left="848" w:hanging="425"/>
        <w:spacing w:after="0" w:line="279" w:lineRule="auto"/>
        <w:tabs>
          <w:tab w:leader="none" w:pos="848" w:val="left"/>
        </w:tabs>
        <w:numPr>
          <w:ilvl w:val="1"/>
          <w:numId w:val="2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and undertake that, subject to the Quiet Enjoyment Letter, no term of a Finance Document will prejudice or alter the rights of the Charterers under this Charter or any of the other Transaction Document.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covenants</w:t>
      </w:r>
    </w:p>
    <w:p>
      <w:pPr>
        <w:spacing w:after="0" w:line="316"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throughout the Charter Period,</w:t>
      </w:r>
    </w:p>
    <w:p>
      <w:pPr>
        <w:spacing w:after="0" w:line="31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57" w:name="page258"/>
    <w:bookmarkEnd w:id="25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1288" w:hanging="424"/>
        <w:spacing w:after="0"/>
        <w:tabs>
          <w:tab w:leader="none" w:pos="1288" w:val="left"/>
        </w:tabs>
        <w:numPr>
          <w:ilvl w:val="3"/>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maintain a minimum Liquidity of not less than US$300,000 (Dollars Three Hundred Thousand) for each ship owned, operated or chartered by it;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2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shall maintain a minimum Liquidity of not less than US$20,000,000 (Dollars Twenty Million).</w:t>
      </w:r>
    </w:p>
    <w:p>
      <w:pPr>
        <w:spacing w:after="0" w:line="146"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46 (Financial covenants), "</w:t>
      </w:r>
      <w:r>
        <w:rPr>
          <w:rFonts w:ascii="Times New Roman" w:cs="Times New Roman" w:eastAsia="Times New Roman" w:hAnsi="Times New Roman"/>
          <w:sz w:val="12"/>
          <w:szCs w:val="12"/>
          <w:b w:val="1"/>
          <w:bCs w:val="1"/>
          <w:color w:val="auto"/>
        </w:rPr>
        <w:t>Liquidity</w:t>
      </w:r>
      <w:r>
        <w:rPr>
          <w:rFonts w:ascii="Times New Roman" w:cs="Times New Roman" w:eastAsia="Times New Roman" w:hAnsi="Times New Roman"/>
          <w:sz w:val="12"/>
          <w:szCs w:val="12"/>
          <w:color w:val="auto"/>
        </w:rPr>
        <w:t>" means:</w:t>
      </w:r>
    </w:p>
    <w:p>
      <w:pPr>
        <w:spacing w:after="0" w:line="152" w:lineRule="exact"/>
        <w:rPr>
          <w:rFonts w:ascii="Times New Roman" w:cs="Times New Roman" w:eastAsia="Times New Roman" w:hAnsi="Times New Roman"/>
          <w:sz w:val="12"/>
          <w:szCs w:val="12"/>
          <w:color w:val="auto"/>
        </w:rPr>
      </w:pPr>
    </w:p>
    <w:p>
      <w:pPr>
        <w:ind w:left="1268" w:hanging="422"/>
        <w:spacing w:after="0" w:line="283" w:lineRule="auto"/>
        <w:tabs>
          <w:tab w:leader="none" w:pos="1268" w:val="left"/>
        </w:tabs>
        <w:numPr>
          <w:ilvl w:val="2"/>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Charterers, the total cash or cash equivalent of the Charterers as shown in its most recent financial statements provided to the Owners in accordance with Clause 4832..1(a)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 Guarantor, the total cash or cash equivalent of the Charterer Guarantor as shown in its most recent consolidated financial statements provided to the Owners in accordance with Clause 4832..1(a)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868" w:hanging="436"/>
        <w:spacing w:after="0" w:line="254" w:lineRule="auto"/>
        <w:tabs>
          <w:tab w:leader="none" w:pos="868" w:val="left"/>
        </w:tabs>
        <w:numPr>
          <w:ilvl w:val="1"/>
          <w:numId w:val="2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any other Financial Indebtedness of the Charter Guarantor and/or any of its Subsidiaries shall include any financial covenant in respect of the Charter Guarantor (whether set forth as a covenant, undertaking, event of default, restriction or other such provision) (a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that would be more beneficial to the Owners than any analogous provision contained in this Charter (an "</w:t>
      </w:r>
      <w:r>
        <w:rPr>
          <w:rFonts w:ascii="Times New Roman" w:cs="Times New Roman" w:eastAsia="Times New Roman" w:hAnsi="Times New Roman"/>
          <w:sz w:val="12"/>
          <w:szCs w:val="12"/>
          <w:b w:val="1"/>
          <w:bCs w:val="1"/>
          <w:color w:val="auto"/>
        </w:rPr>
        <w:t>Additional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then such Additional Financial Covenant shall be deemed automatically incorporated into the terms of this Charter (an "</w:t>
      </w:r>
      <w:r>
        <w:rPr>
          <w:rFonts w:ascii="Times New Roman" w:cs="Times New Roman" w:eastAsia="Times New Roman" w:hAnsi="Times New Roman"/>
          <w:sz w:val="12"/>
          <w:szCs w:val="12"/>
          <w:b w:val="1"/>
          <w:bCs w:val="1"/>
          <w:color w:val="auto"/>
        </w:rPr>
        <w:t>MFN Amendment</w:t>
      </w:r>
      <w:r>
        <w:rPr>
          <w:rFonts w:ascii="Times New Roman" w:cs="Times New Roman" w:eastAsia="Times New Roman" w:hAnsi="Times New Roman"/>
          <w:sz w:val="12"/>
          <w:szCs w:val="12"/>
          <w:color w:val="auto"/>
        </w:rPr>
        <w:t>"). Such MFN Amendment shall be reversed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covenants restored to those that were in effect immediately prior to an MFN Amendment when (i) such other financial indebtedness containing the Additional Financial Covenant is repaid in full other than as a result of or in connection with an actual event of default (howsoever defined); or (ii) the original terms of an Additional Financial Covenant provided that it has ceased to apply. The Charterers shall promptly notify the Owners of any change or event that requires the incorporation or reverse of an MFN Amendment. The Charterers agree that it will, and will procure that the Charter Guarantor will, promptly enter into such necessary documentation as may be required to amend and supplement the Charter Guarantee and this Charter so as to reflect and incorporate such new or amended financial covenants that are more favourable to the Owners in accordance with this clause.</w:t>
      </w:r>
    </w:p>
    <w:p>
      <w:pPr>
        <w:spacing w:after="0" w:line="12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2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representations and warranties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make the representations and warranties set out in this Clause 47 to the Owners on the date of this Charter and on the Actual Delivery Date:</w:t>
      </w:r>
    </w:p>
    <w:p>
      <w:pPr>
        <w:spacing w:after="0" w:line="146" w:lineRule="exact"/>
        <w:rPr>
          <w:rFonts w:ascii="Times New Roman" w:cs="Times New Roman" w:eastAsia="Times New Roman" w:hAnsi="Times New Roman"/>
          <w:sz w:val="12"/>
          <w:szCs w:val="12"/>
          <w:color w:val="auto"/>
        </w:rPr>
      </w:pPr>
    </w:p>
    <w:p>
      <w:pPr>
        <w:ind w:left="1288" w:hanging="424"/>
        <w:spacing w:after="0" w:line="286" w:lineRule="auto"/>
        <w:tabs>
          <w:tab w:leader="none" w:pos="1288" w:val="left"/>
        </w:tabs>
        <w:numPr>
          <w:ilvl w:val="3"/>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Status: </w:t>
      </w:r>
      <w:r>
        <w:rPr>
          <w:rFonts w:ascii="Times New Roman" w:cs="Times New Roman" w:eastAsia="Times New Roman" w:hAnsi="Times New Roman"/>
          <w:sz w:val="12"/>
          <w:szCs w:val="12"/>
          <w:color w:val="auto"/>
        </w:rPr>
        <w:t>each Obligor is a company or (as applicable) corporation, duly incorporated and validly existing under the laws of its jurisdiction of incorporation, in good standing and has the power to own its assets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carry on its business as it is being conducted;</w:t>
      </w:r>
    </w:p>
    <w:p>
      <w:pPr>
        <w:spacing w:after="0" w:line="103"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3"/>
          <w:numId w:val="2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Binding obligations: </w:t>
      </w:r>
      <w:r>
        <w:rPr>
          <w:rFonts w:ascii="Times New Roman" w:cs="Times New Roman" w:eastAsia="Times New Roman" w:hAnsi="Times New Roman"/>
          <w:sz w:val="12"/>
          <w:szCs w:val="12"/>
          <w:color w:val="auto"/>
        </w:rPr>
        <w:t>Subject to the Legal Reservations, the obligations expressed to be assumed by each Obligor in each Transaction Document to which it or he/she is a party are legal, valid, binding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enforceable obligations and no limit on any of their powers will be exceeded as a result of the borrowings, granting of security or giving of guarantees contemplated by the Transaction Documents or the performance by any of them of any of their obligations thereunder;</w:t>
      </w:r>
    </w:p>
    <w:p>
      <w:pPr>
        <w:spacing w:after="0" w:line="118"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58" w:name="page259"/>
    <w:bookmarkEnd w:id="258"/>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37" w:lineRule="exact"/>
        <w:rPr>
          <w:sz w:val="20"/>
          <w:szCs w:val="20"/>
          <w:color w:val="auto"/>
        </w:rPr>
      </w:pPr>
    </w:p>
    <w:p>
      <w:pPr>
        <w:ind w:left="424" w:hanging="424"/>
        <w:spacing w:after="0"/>
        <w:tabs>
          <w:tab w:leader="none" w:pos="424" w:val="left"/>
        </w:tabs>
        <w:numPr>
          <w:ilvl w:val="0"/>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breach: </w:t>
      </w:r>
      <w:r>
        <w:rPr>
          <w:rFonts w:ascii="Times New Roman" w:cs="Times New Roman" w:eastAsia="Times New Roman" w:hAnsi="Times New Roman"/>
          <w:sz w:val="12"/>
          <w:szCs w:val="12"/>
          <w:color w:val="auto"/>
        </w:rPr>
        <w:t>the entry into and performance by each Obligor of, and the transactions contemplated by, each Transaction Document to which it or he is a party do not conflict with:</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or regulation (including Anti-Money Laundering Laws, anti-corruption and anti-bribery laws, Anti-Terrorism Financing Laws, Sanctions);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binding on it, or any of its or his/her assets;</w:t>
      </w:r>
    </w:p>
    <w:p>
      <w:pPr>
        <w:spacing w:after="0" w:line="146"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Due authorisation: </w:t>
      </w:r>
      <w:r>
        <w:rPr>
          <w:rFonts w:ascii="Times New Roman" w:cs="Times New Roman" w:eastAsia="Times New Roman" w:hAnsi="Times New Roman"/>
          <w:sz w:val="12"/>
          <w:szCs w:val="12"/>
          <w:color w:val="auto"/>
        </w:rPr>
        <w:t>each Obligor has the power to enter into, perform and deliver, and has taken all necessary action to authorise its or his/her entry into, performance and delivery of, each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to which it or he/she is a party and the transactions contemplated thereunder;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in evidence: </w:t>
      </w:r>
      <w:r>
        <w:rPr>
          <w:rFonts w:ascii="Times New Roman" w:cs="Times New Roman" w:eastAsia="Times New Roman" w:hAnsi="Times New Roman"/>
          <w:sz w:val="12"/>
          <w:szCs w:val="12"/>
          <w:color w:val="auto"/>
        </w:rPr>
        <w:t>all consents, licences, approvals, authorisations, filings and registrations required:</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each Obligor to lawfully enter into, exercise its or his/her rights and comply with its or his/her obligations in each Transaction Document to which it or he/she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the obligations expressed to be assumed by each of the Obligors in the Transaction Documents are legal, valid and binding;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each Transaction Document to which each Obligor is a party admissible in evidence in its jurisdiction of incorporation,</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have been obtained or effected and are in full force and effect;</w:t>
      </w:r>
    </w:p>
    <w:p>
      <w:pPr>
        <w:spacing w:after="0" w:line="146" w:lineRule="exact"/>
        <w:rPr>
          <w:sz w:val="20"/>
          <w:szCs w:val="20"/>
          <w:color w:val="auto"/>
        </w:rPr>
      </w:pPr>
    </w:p>
    <w:p>
      <w:pPr>
        <w:jc w:val="both"/>
        <w:ind w:left="424" w:hanging="424"/>
        <w:spacing w:after="0" w:line="268" w:lineRule="auto"/>
        <w:tabs>
          <w:tab w:leader="none" w:pos="42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Governing law and judgments: </w:t>
      </w:r>
      <w:r>
        <w:rPr>
          <w:rFonts w:ascii="Times New Roman" w:cs="Times New Roman" w:eastAsia="Times New Roman" w:hAnsi="Times New Roman"/>
          <w:sz w:val="12"/>
          <w:szCs w:val="12"/>
          <w:color w:val="auto"/>
        </w:rPr>
        <w:t>Subject to the Legal Reservations, in any proceedings taken in any of the Obligors' jurisdiction of incorporation or residence in relation to any of the Transaction Documents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there is any express choice of the law of a particular country as the governing law thereof, that choice of law and any judgment or (if applicable) arbitral award obtained in that country will be recognised and enforced;</w:t>
      </w:r>
    </w:p>
    <w:p>
      <w:pPr>
        <w:spacing w:after="0" w:line="11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deductions or withholding: </w:t>
      </w:r>
      <w:r>
        <w:rPr>
          <w:rFonts w:ascii="Times New Roman" w:cs="Times New Roman" w:eastAsia="Times New Roman" w:hAnsi="Times New Roman"/>
          <w:sz w:val="12"/>
          <w:szCs w:val="12"/>
          <w:color w:val="auto"/>
        </w:rPr>
        <w:t>no Obligor is required under the laws of its jurisdiction of incorporation or residence to make any deduction for or on account of tax from any payment it may make under each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to which it or he is a party;</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filing or stamp Taxes: </w:t>
      </w:r>
      <w:r>
        <w:rPr>
          <w:rFonts w:ascii="Times New Roman" w:cs="Times New Roman" w:eastAsia="Times New Roman" w:hAnsi="Times New Roman"/>
          <w:sz w:val="12"/>
          <w:szCs w:val="12"/>
          <w:color w:val="auto"/>
        </w:rPr>
        <w:t>under the laws of the jurisdiction of incorporation of each Obligor and subject to any Perfection Requirements, it is not necessary that any of the Transaction Documents to which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Obligor is a party be filed, recorded or enrolled with any court or other authority in that jurisdiction or that any stamp, registration or similar tax be paid on or in relation thereto or the transactions contemplated thereby (other than any filing or recording or enrolling of any tax which is referred to in the legal opinions delivered to the Owner);</w:t>
      </w:r>
    </w:p>
    <w:p>
      <w:pPr>
        <w:spacing w:after="0" w:line="11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default: </w:t>
      </w:r>
      <w:r>
        <w:rPr>
          <w:rFonts w:ascii="Times New Roman" w:cs="Times New Roman" w:eastAsia="Times New Roman" w:hAnsi="Times New Roman"/>
          <w:sz w:val="12"/>
          <w:szCs w:val="12"/>
          <w:color w:val="auto"/>
        </w:rPr>
        <w:t>no Termination Event has occurred and is continuing or might reasonably be expected to result from any Obligor's entry into and performance of each Transaction Document to which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Obligor is a party;</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2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misleading information: </w:t>
      </w:r>
      <w:r>
        <w:rPr>
          <w:rFonts w:ascii="Times New Roman" w:cs="Times New Roman" w:eastAsia="Times New Roman" w:hAnsi="Times New Roman"/>
          <w:sz w:val="12"/>
          <w:szCs w:val="12"/>
          <w:color w:val="auto"/>
        </w:rPr>
        <w:t>subject to any qualification (if applicable) set out in such information, any factual information provided by the Charterers to the Owners was true and accurate in all material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respects as at the date it was provided or as the date at which such information was stated;</w:t>
      </w:r>
    </w:p>
    <w:p>
      <w:pPr>
        <w:spacing w:after="0" w:line="26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259" w:name="page260"/>
    <w:bookmarkEnd w:id="25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24" w:right="20" w:hanging="424"/>
        <w:spacing w:after="0" w:line="286" w:lineRule="auto"/>
        <w:tabs>
          <w:tab w:leader="none" w:pos="42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Subject to the Legal Reservations, the payment obligations of each Obligor under each Transaction Document to which it or he/she is a party rank at least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with the claims of 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of such Obligor, except for obligations mandatorily preferred by law applying to companies generally;</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proceedings: </w:t>
      </w:r>
      <w:r>
        <w:rPr>
          <w:rFonts w:ascii="Times New Roman" w:cs="Times New Roman" w:eastAsia="Times New Roman" w:hAnsi="Times New Roman"/>
          <w:sz w:val="12"/>
          <w:szCs w:val="12"/>
          <w:color w:val="auto"/>
        </w:rPr>
        <w:t>no litigation, arbitration or administrative proceedings of or before any court, arbitral body or agency have (to the best of the Charterers' knowledge) been started against an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if adversely determined, has a Material Adverse Effect;</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immunity: </w:t>
      </w:r>
      <w:r>
        <w:rPr>
          <w:rFonts w:ascii="Times New Roman" w:cs="Times New Roman" w:eastAsia="Times New Roman" w:hAnsi="Times New Roman"/>
          <w:sz w:val="12"/>
          <w:szCs w:val="12"/>
          <w:color w:val="auto"/>
        </w:rPr>
        <w:t>none of the Obligors nor any of its or his assets has any right to immunity from set-off, legal proceedings, attachment prior to judgment, other attachment or execution of judgment on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grounds of sovereign immunity or otherwise;</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winding-up: </w:t>
      </w:r>
      <w:r>
        <w:rPr>
          <w:rFonts w:ascii="Times New Roman" w:cs="Times New Roman" w:eastAsia="Times New Roman" w:hAnsi="Times New Roman"/>
          <w:sz w:val="12"/>
          <w:szCs w:val="12"/>
          <w:color w:val="auto"/>
        </w:rPr>
        <w:t>none of the Obligors is insolvent or in liquidation or administration or subject to any other formal or informal insolvency procedure, and no receiver, administrative receiver, administrator,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liquidator, trustee or analogous officer has been appointed in respect of it, or all or any part of its/his/her assets;</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Anti-Money Laundering Laws etc.: </w:t>
      </w:r>
      <w:r>
        <w:rPr>
          <w:rFonts w:ascii="Times New Roman" w:cs="Times New Roman" w:eastAsia="Times New Roman" w:hAnsi="Times New Roman"/>
          <w:sz w:val="12"/>
          <w:szCs w:val="12"/>
          <w:color w:val="auto"/>
        </w:rPr>
        <w:t>each Obligor is not in breach of Anti-Money Laundering Laws, Anti-Terrorism Financing Laws and/or Business Ethics Laws and each of the Obligor has instituted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maintained systems, controls, policies or procedures designed to:</w:t>
      </w:r>
    </w:p>
    <w:p>
      <w:pPr>
        <w:spacing w:after="0" w:line="107"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and detect incidences of bribery and corruption, money laundering and terrorism financing;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promote and achieve compliance with Anti-Money Laundering Laws, Anti-Terrorism Financing Laws and Business Ethics Laws;</w:t>
      </w:r>
    </w:p>
    <w:p>
      <w:pPr>
        <w:spacing w:after="0" w:line="14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nor any of their respective directors, officers, and to the best of the Charterers' knowledge and belief, employees;</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2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and their respective directors, officers, and to the best of the Charterers' knowledge and belief, employees, is in compliance with all Sanctions laws, and none of them have been or are currently being investigated on compliance with Sanctions, they have not received notice or are aware of any claim, action, suit or proceeding against any of them with respect to Sanctions and they have not taken any action to evade the application of Sanctions;</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260" w:name="page261"/>
    <w:bookmarkEnd w:id="26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1728" w:hanging="432"/>
        <w:spacing w:after="0" w:line="279" w:lineRule="auto"/>
        <w:tabs>
          <w:tab w:leader="none" w:pos="1728" w:val="left"/>
        </w:tabs>
        <w:numPr>
          <w:ilvl w:val="3"/>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 Sub-Charterer becomes a Restricted Persoon or acts in breach of any Sanctions, the Charterers shall, upon becoming aware of such event, (i) immediately terminate the Sub-Charter with such Sub-Charterer and (ii) procure a replacement Sub-Charter (reasonably acceptable to the Owners) as soon as practicable and in any case within 60 days; and</w:t>
      </w:r>
    </w:p>
    <w:p>
      <w:pPr>
        <w:spacing w:after="0" w:line="111" w:lineRule="exact"/>
        <w:rPr>
          <w:rFonts w:ascii="Times New Roman" w:cs="Times New Roman" w:eastAsia="Times New Roman" w:hAnsi="Times New Roman"/>
          <w:sz w:val="12"/>
          <w:szCs w:val="12"/>
          <w:color w:val="auto"/>
        </w:rPr>
      </w:pPr>
    </w:p>
    <w:p>
      <w:pPr>
        <w:ind w:left="1728" w:right="20" w:hanging="432"/>
        <w:spacing w:after="0" w:line="279" w:lineRule="auto"/>
        <w:tabs>
          <w:tab w:leader="none" w:pos="1728" w:val="left"/>
        </w:tabs>
        <w:numPr>
          <w:ilvl w:val="3"/>
          <w:numId w:val="2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an Approved Manager becomes a Restricted Person or acts in breach of any Sanctions, the Charterers shall, upon becoming aware of such event, immediately terminate its appointment and appoint a substitute Approved Manager (reasonably acceptable to the Owners) as soon as practicable and in any case within one month.</w:t>
      </w:r>
    </w:p>
    <w:p>
      <w:pPr>
        <w:spacing w:after="0" w:line="107" w:lineRule="exact"/>
        <w:rPr>
          <w:rFonts w:ascii="Times New Roman" w:cs="Times New Roman" w:eastAsia="Times New Roman" w:hAnsi="Times New Roman"/>
          <w:sz w:val="12"/>
          <w:szCs w:val="12"/>
          <w:color w:val="auto"/>
        </w:rPr>
      </w:pPr>
    </w:p>
    <w:p>
      <w:pPr>
        <w:ind w:left="1288" w:hanging="424"/>
        <w:spacing w:after="0" w:line="286" w:lineRule="auto"/>
        <w:tabs>
          <w:tab w:leader="none" w:pos="128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Security: </w:t>
      </w:r>
      <w:r>
        <w:rPr>
          <w:rFonts w:ascii="Times New Roman" w:cs="Times New Roman" w:eastAsia="Times New Roman" w:hAnsi="Times New Roman"/>
          <w:sz w:val="12"/>
          <w:szCs w:val="12"/>
          <w:color w:val="auto"/>
        </w:rPr>
        <w:t>each of the Obligors is the legal and beneficial owner of all assets and other property which it or he/she purports to charge, pledge, assign or otherwise secure pursuant to each Transaction Document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those Transaction Documents to which it or he/she is a party create and give rise to valid and effective security having the ranking expressed in those Transaction Documents;</w:t>
      </w:r>
    </w:p>
    <w:p>
      <w:pPr>
        <w:spacing w:after="0" w:line="10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Environmental Law:</w:t>
      </w:r>
    </w:p>
    <w:p>
      <w:pPr>
        <w:spacing w:after="0" w:line="154"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circumstances have occurred which would prevent the compliance by the Obligors in a manner or to an extent which has a Material Adverse Effect; and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Environmental Claim has been commenced against any Obligor where, if determined against such Obligor, has a Material Adverse Effect;</w:t>
      </w:r>
    </w:p>
    <w:p>
      <w:pPr>
        <w:spacing w:after="0" w:line="14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Taxation:</w:t>
      </w:r>
    </w:p>
    <w:p>
      <w:pPr>
        <w:spacing w:after="0" w:line="154" w:lineRule="exact"/>
        <w:rPr>
          <w:rFonts w:ascii="Times New Roman" w:cs="Times New Roman" w:eastAsia="Times New Roman" w:hAnsi="Times New Roman"/>
          <w:sz w:val="12"/>
          <w:szCs w:val="12"/>
          <w:color w:val="auto"/>
        </w:rPr>
      </w:pPr>
    </w:p>
    <w:p>
      <w:pPr>
        <w:ind w:left="1728" w:hanging="432"/>
        <w:spacing w:after="0" w:line="279" w:lineRule="auto"/>
        <w:tabs>
          <w:tab w:leader="none" w:pos="1728" w:val="left"/>
        </w:tabs>
        <w:numPr>
          <w:ilvl w:val="3"/>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is overdue in the filing of any Tax returns and no Obligor is overdue in the payment of any Taxes, save in the case of Taxes which are being contested on bona fide grounds or in the case the overdue payment amount does not exceeds US$50,000 and the relevant Obligor is taking steps to make prompt payment of the same;</w:t>
      </w:r>
    </w:p>
    <w:p>
      <w:pPr>
        <w:spacing w:after="0" w:line="111"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made or conducted against any Obligor with respect to Taxes;</w:t>
      </w:r>
    </w:p>
    <w:p>
      <w:pPr>
        <w:spacing w:after="0" w:line="14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Adverse Effect: </w:t>
      </w:r>
      <w:r>
        <w:rPr>
          <w:rFonts w:ascii="Times New Roman" w:cs="Times New Roman" w:eastAsia="Times New Roman" w:hAnsi="Times New Roman"/>
          <w:sz w:val="12"/>
          <w:szCs w:val="12"/>
          <w:color w:val="auto"/>
        </w:rPr>
        <w:t>no event or circumstance has occurred which has a Material Adverse Effect;</w:t>
      </w:r>
    </w:p>
    <w:p>
      <w:pPr>
        <w:spacing w:after="0" w:line="152" w:lineRule="exact"/>
        <w:rPr>
          <w:rFonts w:ascii="Times New Roman" w:cs="Times New Roman" w:eastAsia="Times New Roman" w:hAnsi="Times New Roman"/>
          <w:sz w:val="12"/>
          <w:szCs w:val="12"/>
          <w:color w:val="auto"/>
        </w:rPr>
      </w:pPr>
    </w:p>
    <w:p>
      <w:pPr>
        <w:jc w:val="both"/>
        <w:ind w:left="868" w:hanging="436"/>
        <w:spacing w:after="0" w:line="266" w:lineRule="auto"/>
        <w:tabs>
          <w:tab w:leader="none" w:pos="868" w:val="left"/>
        </w:tabs>
        <w:numPr>
          <w:ilvl w:val="1"/>
          <w:numId w:val="3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representation and warranty in Clause 47(a) (other than in sub-paragraphs (a)(xii) (</w:t>
      </w:r>
      <w:r>
        <w:rPr>
          <w:rFonts w:ascii="Times New Roman" w:cs="Times New Roman" w:eastAsia="Times New Roman" w:hAnsi="Times New Roman"/>
          <w:sz w:val="12"/>
          <w:szCs w:val="12"/>
          <w:i w:val="1"/>
          <w:iCs w:val="1"/>
          <w:color w:val="auto"/>
        </w:rPr>
        <w:t>No material proceedings</w:t>
      </w:r>
      <w:r>
        <w:rPr>
          <w:rFonts w:ascii="Times New Roman" w:cs="Times New Roman" w:eastAsia="Times New Roman" w:hAnsi="Times New Roman"/>
          <w:sz w:val="12"/>
          <w:szCs w:val="12"/>
          <w:color w:val="auto"/>
        </w:rPr>
        <w:t>) and (a)(vii) (</w:t>
      </w:r>
      <w:r>
        <w:rPr>
          <w:rFonts w:ascii="Times New Roman" w:cs="Times New Roman" w:eastAsia="Times New Roman" w:hAnsi="Times New Roman"/>
          <w:sz w:val="12"/>
          <w:szCs w:val="12"/>
          <w:i w:val="1"/>
          <w:iCs w:val="1"/>
          <w:color w:val="auto"/>
        </w:rPr>
        <w:t>No deductions or withholding</w:t>
      </w:r>
      <w:r>
        <w:rPr>
          <w:rFonts w:ascii="Times New Roman" w:cs="Times New Roman" w:eastAsia="Times New Roman" w:hAnsi="Times New Roman"/>
          <w:sz w:val="12"/>
          <w:szCs w:val="12"/>
          <w:color w:val="auto"/>
        </w:rPr>
        <w:t>)) above is deemed to be repeated by the Charterers by reference to the facts and circumstances then existing on each day on which Hire or any other amount is payable under this Charter and, the representation and warranty in Clause 47(a)(xvi)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above (other than in relation to any Approved Manager) shall be deemed to be made and repeated on the date when the Owners shall transfer the title of the Vessel under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undertakings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hereby undertake to the Owners that they will comply in full and procure compliance (where applicable) with the following undertakings throughout the Agreement Term:</w:t>
      </w:r>
    </w:p>
    <w:p>
      <w:pPr>
        <w:spacing w:after="0" w:line="1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61" w:name="page262"/>
    <w:bookmarkEnd w:id="26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37" w:lineRule="exact"/>
        <w:rPr>
          <w:sz w:val="20"/>
          <w:szCs w:val="20"/>
          <w:color w:val="auto"/>
        </w:rPr>
      </w:pPr>
    </w:p>
    <w:p>
      <w:pPr>
        <w:ind w:left="440" w:hanging="436"/>
        <w:spacing w:after="0"/>
        <w:tabs>
          <w:tab w:leader="none" w:pos="440" w:val="left"/>
        </w:tabs>
        <w:numPr>
          <w:ilvl w:val="0"/>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Financial Statements </w:t>
      </w:r>
      <w:r>
        <w:rPr>
          <w:rFonts w:ascii="Times New Roman" w:cs="Times New Roman" w:eastAsia="Times New Roman" w:hAnsi="Times New Roman"/>
          <w:sz w:val="12"/>
          <w:szCs w:val="12"/>
          <w:color w:val="auto"/>
        </w:rPr>
        <w:t>The Charterers shall supply, and shall procure the Charter Guarantor will supply, to the Owners as soon as the same become available, but in any event within:</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eighty (180) days after the end of the Charter Guarantor's financial year, the Charter Guarantor's audited consolidated financial statements for that financial year;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3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twenty (120) days after the 6-month period ending on 30 June in each financial year of the Charter Guarantor, the semi-annual consolidated unaudited financial statements of the Charter Guarantor, for that 6-month period;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So long as such financial statements are available at the Charter Guarantor’s website, the relevant obligation will be deemed to have been met.</w:t>
      </w:r>
    </w:p>
    <w:p>
      <w:pPr>
        <w:spacing w:after="0" w:line="146" w:lineRule="exact"/>
        <w:rPr>
          <w:sz w:val="20"/>
          <w:szCs w:val="20"/>
          <w:color w:val="auto"/>
        </w:rPr>
      </w:pPr>
    </w:p>
    <w:p>
      <w:pPr>
        <w:ind w:left="440" w:hanging="436"/>
        <w:spacing w:after="0"/>
        <w:tabs>
          <w:tab w:leader="none" w:pos="440"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Requirements as to financial statements </w:t>
      </w:r>
      <w:r>
        <w:rPr>
          <w:rFonts w:ascii="Times New Roman" w:cs="Times New Roman" w:eastAsia="Times New Roman" w:hAnsi="Times New Roman"/>
          <w:sz w:val="12"/>
          <w:szCs w:val="12"/>
          <w:color w:val="auto"/>
        </w:rPr>
        <w:t>Each set of financial statements delivered to the Owners under Clause 48(a)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in English;</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certified by an authorised signatory of the relevant Obligor as fairly representing its financial condition as at the date at which those financial statements were drawn up;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prepared in accordance with GAAP.</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Information: miscellaneous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notify the Owners of the occurrence of any Charter Guarantor Change of Control Event;</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supply to the Owners details of any litigation, arbitration or administrative proceedings which are current or pending against any Obligor provided such litigation, arbitration or administrative proceeding if adversely determined has a Material Adverse Effect;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supply to the Owners such further information regarding the financial condition, business and operations of any of the Obligor as the Owners or any Finance Party may reasonably request;</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so request, provide to the Owners a copy of such Sub-Charter which the Owners may reasonably request;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the Owners, or procure that the Approved Managers supply to the Owners, management report on a quarterly basis (including an estimate/budget of the Vessel's OPEX, such as crewing costs, insurances, repair and maintenance, stores, spares, lubricants and dry-docking expenses).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3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Notification of Termination Event </w:t>
      </w:r>
      <w:r>
        <w:rPr>
          <w:rFonts w:ascii="Times New Roman" w:cs="Times New Roman" w:eastAsia="Times New Roman" w:hAnsi="Times New Roman"/>
          <w:sz w:val="12"/>
          <w:szCs w:val="12"/>
          <w:color w:val="auto"/>
        </w:rPr>
        <w:t>The Charterers shall, and shall procure the Charter Guarantor will, promptly, upon becoming aware of the same, inform the Owners in writing of the occurrence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(and the steps, if any, being taken to remedy this) and, upon the Owners' request, confirm to the Owners that, save as previously notified to the Owners or as notified in such confirmation, no Potential Termination Event or Termination Event is continuing and, if applicable, specifying the steps being taken to remedy it.</w:t>
      </w:r>
    </w:p>
    <w:p>
      <w:pPr>
        <w:spacing w:after="0" w:line="11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37" w:lineRule="exact"/>
        <w:rPr>
          <w:sz w:val="20"/>
          <w:szCs w:val="20"/>
          <w:color w:val="auto"/>
        </w:rPr>
      </w:pPr>
    </w:p>
    <w:p>
      <w:pPr>
        <w:jc w:val="both"/>
        <w:ind w:left="445" w:hanging="436"/>
        <w:spacing w:after="0" w:line="268" w:lineRule="auto"/>
        <w:tabs>
          <w:tab w:leader="none" w:pos="445"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Maintenance of legal validity </w:t>
      </w:r>
      <w:r>
        <w:rPr>
          <w:rFonts w:ascii="Times New Roman" w:cs="Times New Roman" w:eastAsia="Times New Roman" w:hAnsi="Times New Roman"/>
          <w:sz w:val="12"/>
          <w:szCs w:val="12"/>
          <w:color w:val="auto"/>
        </w:rPr>
        <w:t>Each Obligor will comply with the terms of and do all that is necessary to maintain in full force and effect all Perfection Requirements and Authorizations required under any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law or regulation to enable it to perform its obligations under this Charter and the Transaction Documents to which it is a party and to ensure the legality, validity, enforceability or admissibility in evidence of such Transaction Documents in their jurisdiction of incorporation and all other applicable jurisdictions;</w:t>
      </w:r>
    </w:p>
    <w:p>
      <w:pPr>
        <w:spacing w:after="0" w:line="113"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0"/>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Taxation </w:t>
      </w:r>
      <w:r>
        <w:rPr>
          <w:rFonts w:ascii="Times New Roman" w:cs="Times New Roman" w:eastAsia="Times New Roman" w:hAnsi="Times New Roman"/>
          <w:sz w:val="12"/>
          <w:szCs w:val="12"/>
          <w:color w:val="auto"/>
        </w:rPr>
        <w:t>Each Obligor will pay and discharge all Taxes applicable to, or imposed on or in relation to, it, its business and its assets within the time period allowed without incurring penalties unless and only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extent that:</w:t>
      </w:r>
    </w:p>
    <w:p>
      <w:pPr>
        <w:spacing w:after="0" w:line="107"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65" w:hanging="424"/>
        <w:spacing w:after="0" w:line="283" w:lineRule="auto"/>
        <w:tabs>
          <w:tab w:leader="none" w:pos="865" w:val="left"/>
        </w:tabs>
        <w:numPr>
          <w:ilvl w:val="2"/>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being maintained for those Taxes and the costs required to contest them which have been disclosed in its latest financial statements delivered to the Owners under Clause 54.1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46"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1"/>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Negative pledge </w:t>
      </w:r>
      <w:r>
        <w:rPr>
          <w:rFonts w:ascii="Times New Roman" w:cs="Times New Roman" w:eastAsia="Times New Roman" w:hAnsi="Times New Roman"/>
          <w:sz w:val="12"/>
          <w:szCs w:val="12"/>
          <w:color w:val="auto"/>
        </w:rPr>
        <w:t>The Charterers will not create or permit to subsist any Security Interest (other than Permitted Security) or other third party rights over any of their present or future rights and interests in or towards 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or the Vessel other than a Security Interest created by the Transaction Documents, the Finance Documents or otherwise with the written consent of the Owners.</w:t>
      </w:r>
    </w:p>
    <w:p>
      <w:pPr>
        <w:spacing w:after="0" w:line="103"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1"/>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compliance </w:t>
      </w:r>
      <w:r>
        <w:rPr>
          <w:rFonts w:ascii="Times New Roman" w:cs="Times New Roman" w:eastAsia="Times New Roman" w:hAnsi="Times New Roman"/>
          <w:sz w:val="12"/>
          <w:szCs w:val="12"/>
          <w:color w:val="auto"/>
        </w:rPr>
        <w:t>The Charterers shall, and shall procure each Obligor to:</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 and</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 applicable to it where failure to do so has a Material Adverse Effect.</w:t>
      </w:r>
    </w:p>
    <w:p>
      <w:pPr>
        <w:spacing w:after="0" w:line="146" w:lineRule="exact"/>
        <w:rPr>
          <w:rFonts w:ascii="Times New Roman" w:cs="Times New Roman" w:eastAsia="Times New Roman" w:hAnsi="Times New Roman"/>
          <w:sz w:val="12"/>
          <w:szCs w:val="12"/>
          <w:color w:val="auto"/>
        </w:rPr>
      </w:pPr>
    </w:p>
    <w:p>
      <w:pPr>
        <w:ind w:left="445" w:hanging="436"/>
        <w:spacing w:after="0" w:line="286" w:lineRule="auto"/>
        <w:tabs>
          <w:tab w:leader="none" w:pos="445" w:val="left"/>
        </w:tabs>
        <w:numPr>
          <w:ilvl w:val="1"/>
          <w:numId w:val="3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Claims </w:t>
      </w:r>
      <w:r>
        <w:rPr>
          <w:rFonts w:ascii="Times New Roman" w:cs="Times New Roman" w:eastAsia="Times New Roman" w:hAnsi="Times New Roman"/>
          <w:sz w:val="12"/>
          <w:szCs w:val="12"/>
          <w:color w:val="auto"/>
        </w:rPr>
        <w:t>The Charterers shall, promptly inform the Owners in writing of any Environmental Claim against any Obligor which is current or pending which, if adversely determined against, such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have a Material Adverse Effect or, the claim amount of which exceeds US$1,500,000 (Dollars One Million Five Hundred Thousand only).</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1"/>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laws etc.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shall procure that each other Obligor will:</w:t>
      </w:r>
    </w:p>
    <w:p>
      <w:pPr>
        <w:spacing w:after="0" w:line="150" w:lineRule="exact"/>
        <w:rPr>
          <w:rFonts w:ascii="Times New Roman" w:cs="Times New Roman" w:eastAsia="Times New Roman" w:hAnsi="Times New Roman"/>
          <w:sz w:val="12"/>
          <w:szCs w:val="12"/>
          <w:color w:val="auto"/>
        </w:rPr>
      </w:pPr>
    </w:p>
    <w:p>
      <w:pPr>
        <w:ind w:left="1305" w:hanging="432"/>
        <w:spacing w:after="0"/>
        <w:tabs>
          <w:tab w:leader="none" w:pos="1305" w:val="left"/>
        </w:tabs>
        <w:numPr>
          <w:ilvl w:val="3"/>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applicable laws, including Anti-Money Laundering Laws, Anti-Terrorism Financing Laws and Business Ethics Laws;</w:t>
      </w:r>
    </w:p>
    <w:p>
      <w:pPr>
        <w:spacing w:after="0" w:line="150" w:lineRule="exact"/>
        <w:rPr>
          <w:rFonts w:ascii="Times New Roman" w:cs="Times New Roman" w:eastAsia="Times New Roman" w:hAnsi="Times New Roman"/>
          <w:sz w:val="12"/>
          <w:szCs w:val="12"/>
          <w:color w:val="auto"/>
        </w:rPr>
      </w:pPr>
    </w:p>
    <w:p>
      <w:pPr>
        <w:ind w:left="1305" w:hanging="432"/>
        <w:spacing w:after="0" w:line="279" w:lineRule="auto"/>
        <w:tabs>
          <w:tab w:leader="none" w:pos="1305" w:val="left"/>
        </w:tabs>
        <w:numPr>
          <w:ilvl w:val="3"/>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systems, controls, policies or procedures designed to promote and achieve ongoing compliance with Anti-Money Laundering Laws, Anti-Terrorism Financing Laws and Business Ethics Laws; and</w:t>
      </w:r>
    </w:p>
    <w:p>
      <w:pPr>
        <w:spacing w:after="0" w:line="111" w:lineRule="exact"/>
        <w:rPr>
          <w:rFonts w:ascii="Times New Roman" w:cs="Times New Roman" w:eastAsia="Times New Roman" w:hAnsi="Times New Roman"/>
          <w:sz w:val="12"/>
          <w:szCs w:val="12"/>
          <w:color w:val="auto"/>
        </w:rPr>
      </w:pPr>
    </w:p>
    <w:p>
      <w:pPr>
        <w:ind w:left="865" w:hanging="424"/>
        <w:spacing w:after="0" w:line="279" w:lineRule="auto"/>
        <w:tabs>
          <w:tab w:leader="none" w:pos="865" w:val="left"/>
        </w:tabs>
        <w:numPr>
          <w:ilvl w:val="2"/>
          <w:numId w:val="3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use, or permit or authorize any person to directly use, the MOA Purchase Price for any purpose that would breach any Sanctions, Anti-Money Laundering Laws, Anti-Terrorism Financing Laws or Business Ethics Laws; and</w:t>
      </w:r>
    </w:p>
    <w:p>
      <w:pPr>
        <w:spacing w:after="0" w:line="111" w:lineRule="exact"/>
        <w:rPr>
          <w:sz w:val="20"/>
          <w:szCs w:val="20"/>
          <w:color w:val="auto"/>
        </w:rPr>
      </w:pPr>
    </w:p>
    <w:p>
      <w:pPr>
        <w:jc w:val="center"/>
        <w:ind w:right="435"/>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860" w:hanging="424"/>
        <w:spacing w:after="0" w:line="279" w:lineRule="auto"/>
        <w:tabs>
          <w:tab w:leader="none" w:pos="860" w:val="left"/>
        </w:tabs>
        <w:numPr>
          <w:ilvl w:val="1"/>
          <w:numId w:val="3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lend, invest, contribute or otherwise make available the MOA Purchase Price to or for any other person in a manner which would result in a violation of any Sanctions, Anti-Money Laundering Laws, Anti-Terrorism Financing Laws or Business Ethics Laws.</w:t>
      </w:r>
    </w:p>
    <w:p>
      <w:pPr>
        <w:spacing w:after="0" w:line="107"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Sanctions </w:t>
      </w:r>
      <w:r>
        <w:rPr>
          <w:rFonts w:ascii="Times New Roman" w:cs="Times New Roman" w:eastAsia="Times New Roman" w:hAnsi="Times New Roman"/>
          <w:sz w:val="12"/>
          <w:szCs w:val="12"/>
          <w:color w:val="auto"/>
        </w:rPr>
        <w:t>The Charterers shall comply and shall procure that each other Obligor comply with all laws and regulations in respect of Sanctions, and in particular, they shall effect and maintain a sanctions compliance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policy or procedure to ensure compliance with all such laws and regulations implemented from time to time</w:t>
      </w:r>
      <w:r>
        <w:rPr>
          <w:rFonts w:ascii="Times New Roman" w:cs="Times New Roman" w:eastAsia="Times New Roman" w:hAnsi="Times New Roman"/>
          <w:sz w:val="12"/>
          <w:szCs w:val="12"/>
          <w:b w:val="1"/>
          <w:bCs w:val="1"/>
          <w:i w:val="1"/>
          <w:iCs w:val="1"/>
          <w:color w:val="auto"/>
        </w:rPr>
        <w:t>.</w:t>
      </w:r>
    </w:p>
    <w:p>
      <w:pPr>
        <w:spacing w:after="0" w:line="107" w:lineRule="exact"/>
        <w:rPr>
          <w:rFonts w:ascii="Times New Roman" w:cs="Times New Roman" w:eastAsia="Times New Roman" w:hAnsi="Times New Roman"/>
          <w:sz w:val="12"/>
          <w:szCs w:val="12"/>
          <w:color w:val="auto"/>
        </w:rPr>
      </w:pPr>
    </w:p>
    <w:p>
      <w:pPr>
        <w:ind w:left="4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preceding, the Charterers shall comply or procure compliance with the following undertakings commencing from the date hereof and up to the last day of the Agreement Term that:</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3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comply, and will procure that each other Obligor, each other member of the Charter Group and their respective directors, officers, materially comply with all laws and regulations in respect of Sanctions and is not a Restricted Person and does not act directly or indirectly on behalf of a Restricted Person, and in particular, they shall effect and maintain a sanctions compliance policy or procedure to ensure compliance with all such laws and regulations implemented from time to time;</w:t>
      </w:r>
    </w:p>
    <w:p>
      <w:pPr>
        <w:spacing w:after="0" w:line="119" w:lineRule="exact"/>
        <w:rPr>
          <w:sz w:val="20"/>
          <w:szCs w:val="20"/>
          <w:color w:val="auto"/>
        </w:rPr>
      </w:pPr>
    </w:p>
    <w:p>
      <w:pPr>
        <w:jc w:val="both"/>
        <w:ind w:left="860" w:right="20" w:hanging="424"/>
        <w:spacing w:after="0" w:line="300" w:lineRule="auto"/>
        <w:tabs>
          <w:tab w:leader="none" w:pos="860" w:val="left"/>
        </w:tabs>
        <w:numPr>
          <w:ilvl w:val="0"/>
          <w:numId w:val="3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Vessel shall not be employed, operated or managed in any manner which (x) is contrary to any Sanctions and in particular, the Vessel shall not be used by or to benefit any party which is a target of Sanctions and/or is a Restricted Person or call any port in North Korea, Iran, Syria, Cuba or Crimea or trade to any area or country where trading the Vessel to such area or country would constitute a breach of any Sanctions, (y) would result in any Obligor or the Owners becoming a Restricted Person or (z) would trigger the operation of any sanctions limitation or exclusion clause in any insurance documentation;</w:t>
      </w:r>
    </w:p>
    <w:p>
      <w:pPr>
        <w:spacing w:after="0" w:line="101" w:lineRule="exact"/>
        <w:rPr>
          <w:rFonts w:ascii="Times New Roman" w:cs="Times New Roman" w:eastAsia="Times New Roman" w:hAnsi="Times New Roman"/>
          <w:sz w:val="11"/>
          <w:szCs w:val="11"/>
          <w:color w:val="auto"/>
        </w:rPr>
      </w:pPr>
    </w:p>
    <w:p>
      <w:pPr>
        <w:jc w:val="both"/>
        <w:ind w:left="860" w:hanging="424"/>
        <w:spacing w:after="0" w:line="260" w:lineRule="auto"/>
        <w:tabs>
          <w:tab w:leader="none" w:pos="860"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and shall procure that each other Obligor shall promptly notify the Owners of any non-compliance, by any Obligor or their respective officers, directors, with all laws and regulations relating to Sanctions, Anti-Money Laundering Laws, Anti-Terrorism Financing Laws and/or Business Ethics Laws (including but not limited to notifying the Owners in writing immediately upon being aware that any Obligor or its directors or officers is a Restricted Person or has otherwise become a target of Sanctions) as well as, in the case of an Obligor, provide upon request all information (once available) in relation to its business and operations which may be relevant for the purposes of ascertaining whether any of the aforesaid parties are in compliance with such laws;</w:t>
      </w:r>
    </w:p>
    <w:p>
      <w:pPr>
        <w:spacing w:after="0" w:line="122"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and will use best endeavours to procure that each other Obligor will provide all information in relation to its business and operations which may be relevant for the purposes of ascertaining whether it is in compliance with all laws and regulations and Sanctions, Anti-Money Laundering Laws, Anti-Terrorism Financing Laws or Business Ethics Laws applicable to and/or binding on it, and in particular, the Charterers shall notify the Owners in writing immediately upon being aware that any of the Charterers' shareholders, directors and officers is a Restricted Person or has otherwise become a target of any Sanctions;</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undertake to procure that no Obligor shall use any revenue or benefit derived from any activity or dealing with a Restricted Person in discharging any obligation due or owing to the Owners;</w:t>
      </w:r>
    </w:p>
    <w:p>
      <w:pPr>
        <w:spacing w:after="0" w:line="150" w:lineRule="exact"/>
        <w:rPr>
          <w:rFonts w:ascii="Times New Roman" w:cs="Times New Roman" w:eastAsia="Times New Roman" w:hAnsi="Times New Roman"/>
          <w:sz w:val="12"/>
          <w:szCs w:val="12"/>
          <w:color w:val="auto"/>
        </w:rPr>
      </w:pPr>
    </w:p>
    <w:p>
      <w:pPr>
        <w:jc w:val="both"/>
        <w:ind w:left="860" w:right="20" w:hanging="424"/>
        <w:spacing w:after="0" w:line="265" w:lineRule="auto"/>
        <w:tabs>
          <w:tab w:leader="none" w:pos="860" w:val="left"/>
        </w:tabs>
        <w:numPr>
          <w:ilvl w:val="0"/>
          <w:numId w:val="3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and will not permit or authorise any other person to, utilise or employ the Vessel or to use, lend, make payments of, contribute or otherwise make available, all or any part of the proceeds of any transactions contemplated by the Transaction Documents to fund any trade, business or other activities (x) involving or for the benefit of any Restricted Party or (y) in any manner that would result in the Obligor or, the Owners being in breach of ant Sanctions or becoming a Restricted Person; and</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60" w:hanging="424"/>
        <w:spacing w:after="0" w:line="279" w:lineRule="auto"/>
        <w:tabs>
          <w:tab w:leader="none" w:pos="860" w:val="left"/>
        </w:tabs>
        <w:numPr>
          <w:ilvl w:val="1"/>
          <w:numId w:val="3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each Obligor shall, promptly upon becoming aware of them supply to the Owners details of any claim action, suit or proceedings against it with respect to Sanctions by any Sanctions Authority.</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Loans or other financial commitments </w:t>
      </w:r>
      <w:r>
        <w:rPr>
          <w:rFonts w:ascii="Times New Roman" w:cs="Times New Roman" w:eastAsia="Times New Roman" w:hAnsi="Times New Roman"/>
          <w:sz w:val="12"/>
          <w:szCs w:val="12"/>
          <w:color w:val="auto"/>
        </w:rPr>
        <w:t>Other than as necessarily required in the ordinary course of business, trading and operation of the Vessel, the Charterers shall not make any loan or enter in any guarantee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indemnity or otherwise voluntarily assume any actual or contingent liability in respect of any obligation of any other person except pursuant to the Transaction Documents and the Related Transaction Documents.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Earnings and Earnings Account</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which is continuing when directed by the Owners to do so, the Charterers shall procure that each of the Sub-Charterers shall, on each Hire Payment Date, credit all payments of "Hire" (as such term is described in each Sub-Charter) and all other amounts payable thereunder directly to the Owners' Account;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throughout the Agreement Term, the Charterers shall:</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receipt supply to the Owners monthly bank statements of the Earnings Account and shall promptly supply such other financial information and explanations as the Owners may from time to time reasonably require in connection with the Charterers; and</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any and all of the Earnings are deposited into the Earnings Account.</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Further assurance </w:t>
      </w:r>
      <w:r>
        <w:rPr>
          <w:rFonts w:ascii="Times New Roman" w:cs="Times New Roman" w:eastAsia="Times New Roman" w:hAnsi="Times New Roman"/>
          <w:sz w:val="12"/>
          <w:szCs w:val="12"/>
          <w:color w:val="auto"/>
        </w:rPr>
        <w:t>The Charterers shall at their own expense,</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take all such action as the Owners may reasonably require for the purpose of perfecting or protecting any of the Owners' rights with respect to the Security Interest created or evidenced by the Transaction Documents; and</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and perform such other and further acts and execute and deliver any and all such other agreements, instruments and documents as may be required by law to establish, maintain and protect the rights and remedies of the Owners and/or the Finance Parties (as the case may be) and to carry out and effect the intent and purpose of this Charter, the other Transaction Documents and, to the extent consistent with the terms of this Charter, the Finance Documents (as applicable).</w:t>
      </w:r>
    </w:p>
    <w:p>
      <w:pPr>
        <w:spacing w:after="0" w:line="114"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Change of business </w:t>
      </w:r>
      <w:r>
        <w:rPr>
          <w:rFonts w:ascii="Times New Roman" w:cs="Times New Roman" w:eastAsia="Times New Roman" w:hAnsi="Times New Roman"/>
          <w:sz w:val="12"/>
          <w:szCs w:val="12"/>
          <w:color w:val="auto"/>
        </w:rPr>
        <w:t>The Charterers shall not and will procure no Obligor will, without the prior written consent of the Owners, make any substantial change to the general nature of their respective businesses form that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carried on at the date of this Charter.</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of financial responsibility </w:t>
      </w:r>
      <w:r>
        <w:rPr>
          <w:rFonts w:ascii="Times New Roman" w:cs="Times New Roman" w:eastAsia="Times New Roman" w:hAnsi="Times New Roman"/>
          <w:sz w:val="12"/>
          <w:szCs w:val="12"/>
          <w:color w:val="auto"/>
        </w:rPr>
        <w:t>The Charterers shall, if required, obtain and maintain a certificate of financial responsibility in relation to the Vessel which is to call at the United States of America.</w:t>
      </w:r>
    </w:p>
    <w:p>
      <w:pPr>
        <w:spacing w:after="0" w:line="15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65" w:name="page266"/>
    <w:bookmarkEnd w:id="26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440" w:hanging="436"/>
        <w:spacing w:after="0" w:line="286" w:lineRule="auto"/>
        <w:tabs>
          <w:tab w:leader="none" w:pos="440"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Charterers shall not change or permit a change to the flag of the Vessel throughout the duration of this Charter without the prior written consent of the Owners or the Finance Parties (if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consent not to be unreasonably withheld or delayed). Any change to the flag of the Vessel shall be at the cost of the Charterers (which shall include any reasonable costs of the Finance Parties (if applicable)).</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and ISPS Compliance </w:t>
      </w:r>
      <w:r>
        <w:rPr>
          <w:rFonts w:ascii="Times New Roman" w:cs="Times New Roman" w:eastAsia="Times New Roman" w:hAnsi="Times New Roman"/>
          <w:sz w:val="12"/>
          <w:szCs w:val="12"/>
          <w:color w:val="auto"/>
        </w:rPr>
        <w:t>The Charterers shall ensure that each ISM Company and ISPS Company complies in all material respects with the ISM Code and the ISPS Code, respectively, or any replacements thereof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in particular (without prejudice to the generality of the foregoing) shall ensure that such company holds (i) a valid and current Document of Compliance issued pursuant to the ISM Code, (ii) a valid and current SMC issued in respect of the Vessel pursuant to the ISM Code, and (iii) an ISSC in respect of the Vessel, and the Charterers shall promptly, upon request, supply the Owners with copies of the same.</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Inspection of Vessel and inspection reports </w:t>
      </w:r>
      <w:r>
        <w:rPr>
          <w:rFonts w:ascii="Times New Roman" w:cs="Times New Roman" w:eastAsia="Times New Roman" w:hAnsi="Times New Roman"/>
          <w:sz w:val="12"/>
          <w:szCs w:val="12"/>
          <w:color w:val="auto"/>
        </w:rPr>
        <w:t>In the absence of a Termination Event which is continuing, subject to there being no undue interference with the operation of the Vessel,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be entitled to, once a year, (at the Charterers' cost) inspect or survey the Vessel or instruct a duly authorised surveyor to carry out such survey on their behalf (in each case at the Charterers' cost) in order to ascertain the condition of the Vessel and the Charterers shall provide all necessary assistance and facilities in connection with such inspection or survey;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further, if so requested in writing by the Owners and at the Charterers' cost, provide to the Owners one inspection report each year as to the condition of the Vessel,</w:t>
      </w:r>
    </w:p>
    <w:p>
      <w:pPr>
        <w:spacing w:after="0" w:line="146"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always however </w:t>
      </w:r>
      <w:r>
        <w:rPr>
          <w:rFonts w:ascii="Times New Roman" w:cs="Times New Roman" w:eastAsia="Times New Roman" w:hAnsi="Times New Roman"/>
          <w:sz w:val="12"/>
          <w:szCs w:val="12"/>
          <w:color w:val="auto"/>
        </w:rPr>
        <w:t>that if a Termination Event has occurred and the same be continuing, the Owners may at any time and at the Charterers' cost conduct such inspection without prior notice to the Charterers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be deemed to have granted such permission and shall provide such necessary assistance to the Owners in respect of such inspection.</w:t>
      </w:r>
    </w:p>
    <w:p>
      <w:pPr>
        <w:spacing w:after="0" w:line="103" w:lineRule="exact"/>
        <w:rPr>
          <w:sz w:val="20"/>
          <w:szCs w:val="20"/>
          <w:color w:val="auto"/>
        </w:rPr>
      </w:pPr>
    </w:p>
    <w:p>
      <w:pPr>
        <w:ind w:left="440" w:hanging="436"/>
        <w:spacing w:after="0"/>
        <w:tabs>
          <w:tab w:leader="none" w:pos="440" w:val="left"/>
        </w:tabs>
        <w:numPr>
          <w:ilvl w:val="0"/>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"Know your customer" checks </w:t>
      </w:r>
      <w:r>
        <w:rPr>
          <w:rFonts w:ascii="Times New Roman" w:cs="Times New Roman" w:eastAsia="Times New Roman" w:hAnsi="Times New Roman"/>
          <w:sz w:val="12"/>
          <w:szCs w:val="12"/>
          <w:color w:val="auto"/>
        </w:rPr>
        <w:t>If:</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applicable of) any law or regulation made after the dates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the Charterers after the date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Owners of any of their rights and obligations under this Charter,</w:t>
      </w:r>
    </w:p>
    <w:p>
      <w:pPr>
        <w:spacing w:after="0" w:line="150" w:lineRule="exact"/>
        <w:rPr>
          <w:sz w:val="20"/>
          <w:szCs w:val="20"/>
          <w:color w:val="auto"/>
        </w:rPr>
      </w:pPr>
    </w:p>
    <w:p>
      <w:pPr>
        <w:jc w:val="both"/>
        <w:ind w:left="440"/>
        <w:spacing w:after="0" w:line="265" w:lineRule="auto"/>
        <w:rPr>
          <w:sz w:val="20"/>
          <w:szCs w:val="20"/>
          <w:color w:val="auto"/>
        </w:rPr>
      </w:pPr>
      <w:r>
        <w:rPr>
          <w:rFonts w:ascii="Times New Roman" w:cs="Times New Roman" w:eastAsia="Times New Roman" w:hAnsi="Times New Roman"/>
          <w:sz w:val="12"/>
          <w:szCs w:val="12"/>
          <w:color w:val="auto"/>
        </w:rPr>
        <w:t>obliges the Owners to comply with "know your customer" or similar identification procedures in circumstances where the necessary information is not already available to it, the Charterers shall promptly upon the request of the Owners supply, or procure the supply of, such documentation and other evidence as is reasonably requested by the Owners to carry out and be satisfied they have complied with all necessary "know your customer" or other similar checks under all applicable laws and regulations pursuant to the transactions contemplated in the Transaction Documents.</w:t>
      </w:r>
    </w:p>
    <w:p>
      <w:pPr>
        <w:spacing w:after="0" w:line="115" w:lineRule="exact"/>
        <w:rPr>
          <w:sz w:val="20"/>
          <w:szCs w:val="20"/>
          <w:color w:val="auto"/>
        </w:rPr>
      </w:pPr>
    </w:p>
    <w:p>
      <w:pPr>
        <w:ind w:left="440" w:hanging="436"/>
        <w:spacing w:after="0"/>
        <w:tabs>
          <w:tab w:leader="none" w:pos="440" w:val="left"/>
        </w:tabs>
        <w:numPr>
          <w:ilvl w:val="0"/>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Dividends and share redemption</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make or pay (nor is the Charter Guarantor entitled to receive) any dividend or other distribution (in cash or in kind) following the occurrence of any Termination Event and while it is continuing;</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effect any form of redemption or return in respect of its limited liability company interests; and</w:t>
      </w:r>
    </w:p>
    <w:p>
      <w:pPr>
        <w:spacing w:after="0" w:line="15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66" w:name="page267"/>
    <w:bookmarkEnd w:id="26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60" w:hanging="424"/>
        <w:spacing w:after="0" w:line="279" w:lineRule="auto"/>
        <w:tabs>
          <w:tab w:leader="none" w:pos="860" w:val="left"/>
        </w:tabs>
        <w:numPr>
          <w:ilvl w:val="1"/>
          <w:numId w:val="3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Owners shall approve otherwise in writing, the Charterers shall not admit any new member or members or issue any further shares (certificated or uncertificated) unless issued to the Charter Guarantor and being charged in favour the Security Trustee and will procure that the Charter Guarantor will not consent to the admission of any new member of the Charterers.</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The Charterers shall ensure that at all times any unsecured and unsubordinated claims of the Owners against it under the Transaction Documents rank at least pari passu with the claims of all its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except those creditors whose claims are preferred by laws of general application to companies.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Merger and demerger </w:t>
      </w:r>
      <w:r>
        <w:rPr>
          <w:rFonts w:ascii="Times New Roman" w:cs="Times New Roman" w:eastAsia="Times New Roman" w:hAnsi="Times New Roman"/>
          <w:sz w:val="12"/>
          <w:szCs w:val="12"/>
          <w:color w:val="auto"/>
        </w:rPr>
        <w:t>The Charterers shall not enter into any amalgamation, merger, demerger or corporate restructuring without the prior written consent of the Owners, which shall not be unreasonably withheld.</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Subordination </w:t>
      </w:r>
      <w:r>
        <w:rPr>
          <w:rFonts w:ascii="Times New Roman" w:cs="Times New Roman" w:eastAsia="Times New Roman" w:hAnsi="Times New Roman"/>
          <w:sz w:val="12"/>
          <w:szCs w:val="12"/>
          <w:color w:val="auto"/>
        </w:rPr>
        <w:t>The Charterers acknowledge to and undertake with the Owners that, throughout the Agreement Term, any Financial Indebtedness incurred by the Charterers including all shareholder's and intercompany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loans from time to time granted by the shareholders of the Charterers, any Obligor or any other member of the Charterer Group:</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at all times be subordinated to the Owners' rights under the Transaction Documents;</w:t>
      </w:r>
    </w:p>
    <w:p>
      <w:pPr>
        <w:spacing w:after="0" w:line="150" w:lineRule="exact"/>
        <w:rPr>
          <w:sz w:val="20"/>
          <w:szCs w:val="20"/>
          <w:color w:val="auto"/>
        </w:rPr>
      </w:pPr>
    </w:p>
    <w:p>
      <w:pPr>
        <w:ind w:left="860" w:hanging="424"/>
        <w:spacing w:after="0"/>
        <w:tabs>
          <w:tab w:leader="none" w:pos="860"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be subordinated in all respects to all amounts owing and which may in future become owing by the Charterers under the Transaction Documents;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while the same is continuing, shall not be repaid or be subject to payment of interest (although interest may accrue);and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3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remain unsecured by any Security Interest over the whole or any part of the assets of the Charterers,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and the Charterers shall and shall procure that the Obligors and the relevant Affiliate to the Charterers and/or the Charter Guarantor shall upon the Owners' request, enter into a subordination agreement in favour of the Owners or such other arrangement acceptable to the Owners and such other counterparty.</w:t>
      </w:r>
    </w:p>
    <w:p>
      <w:pPr>
        <w:spacing w:after="0" w:line="107" w:lineRule="exact"/>
        <w:rPr>
          <w:sz w:val="20"/>
          <w:szCs w:val="20"/>
          <w:color w:val="auto"/>
        </w:rPr>
      </w:pPr>
    </w:p>
    <w:p>
      <w:pPr>
        <w:ind w:left="440" w:right="20" w:hanging="436"/>
        <w:spacing w:after="0" w:line="286" w:lineRule="auto"/>
        <w:tabs>
          <w:tab w:leader="none" w:pos="44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Management Agreement </w:t>
      </w:r>
      <w:r>
        <w:rPr>
          <w:rFonts w:ascii="Times New Roman" w:cs="Times New Roman" w:eastAsia="Times New Roman" w:hAnsi="Times New Roman"/>
          <w:sz w:val="12"/>
          <w:szCs w:val="12"/>
          <w:color w:val="auto"/>
        </w:rPr>
        <w:t>The Charterers shall not and shall procure neither of the Approved Managers to materially amend, vary, novate, supplement, supersede, waive or terminate any term of any Ship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Agreement without the prior written consent of the Owners.</w:t>
      </w:r>
    </w:p>
    <w:p>
      <w:pPr>
        <w:spacing w:after="0" w:line="103"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Greenhouse gas emissions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of the Owners, provide a duly executed and, if required by the Owners, notarised and apostilled original of the EU ETS Mandate Letter and take such action as the Owners may require for such EU ETS Mandate Letter to be submitted to and recorded by the relevant authorities;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that is reasonably required of them to comply with the EU-ETS Regulations;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3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requested by Owners, promptly provide to the Owners particulars of all and any outstanding charges due or collectable by the relevant entities charged with administering compliance with the EU-ETS Regulations applicable to it or in respect of the Vessel.</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67" w:name="page268"/>
    <w:bookmarkEnd w:id="26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jc w:val="both"/>
        <w:ind w:left="440"/>
        <w:spacing w:after="0" w:line="260" w:lineRule="auto"/>
        <w:rPr>
          <w:sz w:val="20"/>
          <w:szCs w:val="20"/>
          <w:color w:val="auto"/>
        </w:rPr>
      </w:pPr>
      <w:r>
        <w:rPr>
          <w:rFonts w:ascii="Times New Roman" w:cs="Times New Roman" w:eastAsia="Times New Roman" w:hAnsi="Times New Roman"/>
          <w:sz w:val="12"/>
          <w:szCs w:val="12"/>
          <w:color w:val="auto"/>
        </w:rPr>
        <w:t>The Charterers will pay or cause to be paid all amounts reasonably required to be paid by it or the Owners in respect of the Vessel arising out of or in connection with the EU-ETS Regulations, and the Charterers will promptly, and in any event within fifteen (15) Business Days of demand, indemnify the Owners for any and all amounts required to be paid by the Owners in connection with any EU-ETS Regulations in respect of the Vessel, together with (i) all losses, costs and expenses suffered or incurred by the Owners in connection with compliance by them with any EU-ETS Regulations in respect of the Vessel, and (ii) any penalties, charges or other amounts levied against the Owners due to any breach by the Charterers of its obligations under this Clause 48(y).</w:t>
      </w:r>
    </w:p>
    <w:p>
      <w:pPr>
        <w:spacing w:after="0" w:line="118" w:lineRule="exact"/>
        <w:rPr>
          <w:sz w:val="20"/>
          <w:szCs w:val="20"/>
          <w:color w:val="auto"/>
        </w:rPr>
      </w:pPr>
    </w:p>
    <w:p>
      <w:pPr>
        <w:ind w:left="440" w:hanging="436"/>
        <w:spacing w:after="0"/>
        <w:tabs>
          <w:tab w:leader="none" w:pos="440" w:val="left"/>
        </w:tabs>
        <w:numPr>
          <w:ilvl w:val="0"/>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negative undertakings </w:t>
      </w:r>
      <w:r>
        <w:rPr>
          <w:rFonts w:ascii="Times New Roman" w:cs="Times New Roman" w:eastAsia="Times New Roman" w:hAnsi="Times New Roman"/>
          <w:sz w:val="12"/>
          <w:szCs w:val="12"/>
          <w:color w:val="auto"/>
        </w:rPr>
        <w:t>The Charterers shall not, without the prior written consent of the Owners,</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transactions other than on arms’ length commercial terms; or</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 single transaction or a series of transactions (whether related or not) and whether voluntary or involuntary to sell, lease, transfer or otherwise dispose of any of its assets (save and except as provided under the terms of this Charter and other Transaction Documents); 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any business or activity other than the chartering and operation of vessels and other ancillary activities; or</w:t>
      </w:r>
    </w:p>
    <w:p>
      <w:pPr>
        <w:spacing w:after="0" w:line="150" w:lineRule="exact"/>
        <w:rPr>
          <w:sz w:val="20"/>
          <w:szCs w:val="20"/>
          <w:color w:val="auto"/>
        </w:rPr>
      </w:pPr>
    </w:p>
    <w:p>
      <w:pPr>
        <w:ind w:left="860" w:hanging="424"/>
        <w:spacing w:after="0"/>
        <w:tabs>
          <w:tab w:leader="none" w:pos="860" w:val="left"/>
        </w:tabs>
        <w:numPr>
          <w:ilvl w:val="2"/>
          <w:numId w:val="3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or its receivables on recourse terms or enter into or permit to subsist any other preferential arrangement having a similar effect.</w:t>
      </w:r>
    </w:p>
    <w:p>
      <w:pPr>
        <w:spacing w:after="0" w:line="146"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Valuation Reports </w:t>
      </w:r>
      <w:r>
        <w:rPr>
          <w:rFonts w:ascii="Times New Roman" w:cs="Times New Roman" w:eastAsia="Times New Roman" w:hAnsi="Times New Roman"/>
          <w:sz w:val="12"/>
          <w:szCs w:val="12"/>
          <w:color w:val="auto"/>
        </w:rPr>
        <w:t>The Charterers will, on or before each Test Date, deliver or procure the delivery to the Owners of the Valuation Reports (as required under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 to determine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Market Value) dated note earlier than ten (10) days before the Test Date.</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Value maintenance</w:t>
      </w:r>
    </w:p>
    <w:p>
      <w:pPr>
        <w:spacing w:after="0" w:line="154" w:lineRule="exact"/>
        <w:rPr>
          <w:rFonts w:ascii="Times New Roman" w:cs="Times New Roman" w:eastAsia="Times New Roman" w:hAnsi="Times New Roman"/>
          <w:sz w:val="12"/>
          <w:szCs w:val="12"/>
          <w:color w:val="auto"/>
        </w:rPr>
      </w:pPr>
    </w:p>
    <w:p>
      <w:pPr>
        <w:jc w:val="both"/>
        <w:ind w:left="840" w:hanging="431"/>
        <w:spacing w:after="0" w:line="257" w:lineRule="auto"/>
        <w:tabs>
          <w:tab w:leader="none" w:pos="840"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order to determine the Market Value on a Test Date for the purposes of testing the Value Maintenance Ratio, the Market Value shall be determined by the Owners to be (x) the mathematic average of two valuations from the Valuation Reports obtained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or, in the event the difference between the two Valuation Reports obtained is greater than 5%, the arithmetic average of the three Valuation Reports, the third Valuation Report being obtained from a further Approved Valuer selected by the Owners or, (y) if the Charterers fail to deliver or procure the delivery of the Valuation Reports to the Owners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the valuation from one Valuation Report arranged by the Owners (each such Valuation Report shall be at the costs of the Charterers); and in either case; if the valuation given by an Approved Valuer comes up with a value range, the lowest value within the range shall be taken to determine the Market Value.</w:t>
      </w:r>
    </w:p>
    <w:p>
      <w:pPr>
        <w:spacing w:after="0" w:line="125" w:lineRule="exact"/>
        <w:rPr>
          <w:rFonts w:ascii="Times New Roman" w:cs="Times New Roman" w:eastAsia="Times New Roman" w:hAnsi="Times New Roman"/>
          <w:sz w:val="12"/>
          <w:szCs w:val="12"/>
          <w:color w:val="auto"/>
        </w:rPr>
      </w:pPr>
    </w:p>
    <w:p>
      <w:pPr>
        <w:jc w:val="both"/>
        <w:ind w:left="840" w:hanging="431"/>
        <w:spacing w:after="0" w:line="265" w:lineRule="auto"/>
        <w:tabs>
          <w:tab w:leader="none" w:pos="840" w:val="left"/>
        </w:tabs>
        <w:numPr>
          <w:ilvl w:val="1"/>
          <w:numId w:val="3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after conducting the Value Maintenance Ratio test on the relevant Test Date, the Owners determine that the Value Maintenance Ratio is less than the Value Maintenance Threshold, then the Charterers shall, within thirty (30) days of the Owners' demand, provide cash collateral in the amount of the shortfall (the "</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and deposit the same in the Owners' Account in order to restore the Value Maintenance Ratio to comply with the Value Maintenance Threshold.</w:t>
      </w:r>
    </w:p>
    <w:p>
      <w:pPr>
        <w:spacing w:after="0" w:line="119"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68" w:name="page269"/>
    <w:bookmarkEnd w:id="268"/>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jc w:val="both"/>
        <w:ind w:left="2548" w:hanging="435"/>
        <w:spacing w:after="0" w:line="251" w:lineRule="auto"/>
        <w:tabs>
          <w:tab w:leader="none" w:pos="2548" w:val="left"/>
        </w:tabs>
        <w:numPr>
          <w:ilvl w:val="4"/>
          <w:numId w:val="3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Cash Collateral paid to the Owners in accordance with paragraph (ii) above shall secure the due observance and performance by the Obligors of their obligations and undertakings contained in the Transaction Documents. Following the occurrence of a Termination Event which is continuing in respect of any failure in payment of Hire, the Owners shall have the right to utilise the Cash Collateral or a part thereof to pay any outstanding Hire, whereupon the Charterers shall forthwith, and in any event within five (5) Business Days, pay and deposit with the Owners such additional amount as may be required to make up the Cash Collateral. Any remaining Cash Collateral shall only be returned to the Charterers if, (A) on a Test Date after the provision of such Cash Collateral, the Value Maintenance Ratio is no less than the Value Maintenance Threshold and (B) immediately following the return of such Cash Collateral, the Value Maintenance Ratio remains no less than the Value Maintenance Threshold provided that the Charterers may at any time after the expiration of the Agreement Term request for release and return of the remaining Cash Collateral.</w:t>
      </w:r>
    </w:p>
    <w:p>
      <w:pPr>
        <w:spacing w:after="0" w:line="129"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2"/>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(ii) above, the Charterers shall have the option (instead of providing the Cash Collateral), within (30) days of the Owners’ request:</w:t>
      </w:r>
    </w:p>
    <w:p>
      <w:pPr>
        <w:spacing w:after="0" w:line="150" w:lineRule="exact"/>
        <w:rPr>
          <w:rFonts w:ascii="Times New Roman" w:cs="Times New Roman" w:eastAsia="Times New Roman" w:hAnsi="Times New Roman"/>
          <w:sz w:val="12"/>
          <w:szCs w:val="12"/>
          <w:color w:val="auto"/>
        </w:rPr>
      </w:pPr>
    </w:p>
    <w:p>
      <w:pPr>
        <w:ind w:left="1708" w:right="20" w:hanging="430"/>
        <w:spacing w:after="0" w:line="279" w:lineRule="auto"/>
        <w:tabs>
          <w:tab w:leader="none" w:pos="1708" w:val="left"/>
        </w:tabs>
        <w:numPr>
          <w:ilvl w:val="3"/>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such amount to the Owners to prepay the Purchase Obligation Price, or provided the Purchase Obligation Price has been prepaid in full, any undue Fixed Hire in inverse order of maturity, to enable compliance with the Value Maintenance Ratio; or</w:t>
      </w:r>
    </w:p>
    <w:p>
      <w:pPr>
        <w:spacing w:after="0" w:line="111" w:lineRule="exact"/>
        <w:rPr>
          <w:rFonts w:ascii="Times New Roman" w:cs="Times New Roman" w:eastAsia="Times New Roman" w:hAnsi="Times New Roman"/>
          <w:sz w:val="12"/>
          <w:szCs w:val="12"/>
          <w:color w:val="auto"/>
        </w:rPr>
      </w:pPr>
    </w:p>
    <w:p>
      <w:pPr>
        <w:ind w:left="1708" w:hanging="430"/>
        <w:spacing w:after="0"/>
        <w:tabs>
          <w:tab w:leader="none" w:pos="1708" w:val="left"/>
        </w:tabs>
        <w:numPr>
          <w:ilvl w:val="3"/>
          <w:numId w:val="3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additional security satisfactory to the Owners (acting reasonably).</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Events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3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 events shall constitute a Termination Event:</w:t>
      </w:r>
    </w:p>
    <w:p>
      <w:pPr>
        <w:spacing w:after="0" w:line="146" w:lineRule="exact"/>
        <w:rPr>
          <w:sz w:val="20"/>
          <w:szCs w:val="20"/>
          <w:color w:val="auto"/>
        </w:rPr>
      </w:pPr>
    </w:p>
    <w:p>
      <w:pPr>
        <w:jc w:val="both"/>
        <w:ind w:left="1288" w:hanging="424"/>
        <w:spacing w:after="0" w:line="268" w:lineRule="auto"/>
        <w:tabs>
          <w:tab w:leader="none" w:pos="128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Failure to pay </w:t>
      </w:r>
      <w:r>
        <w:rPr>
          <w:rFonts w:ascii="Times New Roman" w:cs="Times New Roman" w:eastAsia="Times New Roman" w:hAnsi="Times New Roman"/>
          <w:sz w:val="12"/>
          <w:szCs w:val="12"/>
          <w:color w:val="auto"/>
        </w:rPr>
        <w:t>an Obligor fails to pay on the due date any sum payable pursuant to the Transaction Document to which it or he is a party; provided no Termination Event shall occur under Clause 49(a)(i)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relation to a failure to pay any Hire on the relevant due date if such Obligor can demonstrate to the reasonable satisfaction of the Owners that all necessary instructions were given to effect such payment and the non-receipt thereof is attributable solely to an administrative or technical error or an error in the banking system and payment of such Hire is made within three (3) Business Days of its original due date; or</w:t>
      </w:r>
    </w:p>
    <w:p>
      <w:pPr>
        <w:spacing w:after="0" w:line="113"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Specific covenants </w:t>
      </w:r>
      <w:r>
        <w:rPr>
          <w:rFonts w:ascii="Times New Roman" w:cs="Times New Roman" w:eastAsia="Times New Roman" w:hAnsi="Times New Roman"/>
          <w:sz w:val="12"/>
          <w:szCs w:val="12"/>
          <w:color w:val="auto"/>
        </w:rPr>
        <w:t>an Obligor fails comply with Clause 46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8" w:lineRule="auto"/>
        <w:tabs>
          <w:tab w:leader="none" w:pos="128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obligations </w:t>
      </w:r>
      <w:r>
        <w:rPr>
          <w:rFonts w:ascii="Times New Roman" w:cs="Times New Roman" w:eastAsia="Times New Roman" w:hAnsi="Times New Roman"/>
          <w:sz w:val="12"/>
          <w:szCs w:val="12"/>
          <w:color w:val="auto"/>
        </w:rPr>
        <w:t>an Obligor fails duly to perform or comply with any of the obligations expressed to be assumed by it in any Transaction Document (other than those referred to in Clause 49(a)(ii)(</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covenants</w:t>
      </w:r>
      <w:r>
        <w:rPr>
          <w:rFonts w:ascii="Times New Roman" w:cs="Times New Roman" w:eastAsia="Times New Roman" w:hAnsi="Times New Roman"/>
          <w:sz w:val="12"/>
          <w:szCs w:val="12"/>
          <w:color w:val="auto"/>
        </w:rPr>
        <w:t>)) and where, in the opinion of the Owners, such default is capable of remedy, such default is not remedied to the Owners' satisfaction within seven (7) Business Days after written notice from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Owners requesting action to remedy the same; or</w:t>
      </w:r>
    </w:p>
    <w:p>
      <w:pPr>
        <w:spacing w:after="0" w:line="113" w:lineRule="exact"/>
        <w:rPr>
          <w:rFonts w:ascii="Times New Roman" w:cs="Times New Roman" w:eastAsia="Times New Roman" w:hAnsi="Times New Roman"/>
          <w:sz w:val="12"/>
          <w:szCs w:val="12"/>
          <w:color w:val="auto"/>
        </w:rPr>
      </w:pPr>
    </w:p>
    <w:p>
      <w:pPr>
        <w:jc w:val="both"/>
        <w:ind w:left="1288" w:hanging="424"/>
        <w:spacing w:after="0" w:line="262" w:lineRule="auto"/>
        <w:tabs>
          <w:tab w:leader="none" w:pos="1288" w:val="left"/>
        </w:tabs>
        <w:numPr>
          <w:ilvl w:val="0"/>
          <w:numId w:val="3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Misrepresentation </w:t>
      </w:r>
      <w:r>
        <w:rPr>
          <w:rFonts w:ascii="Times New Roman" w:cs="Times New Roman" w:eastAsia="Times New Roman" w:hAnsi="Times New Roman"/>
          <w:sz w:val="12"/>
          <w:szCs w:val="12"/>
          <w:color w:val="auto"/>
        </w:rPr>
        <w:t>any representation or statement made by any Obligor in or pursuant to a Transaction Document to which it or he is a party or in any notice, certificate, instrument or statement contemplated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thereby or made or delivered pursuant hereto or thereto is, or proves to be, untrue or incorrect in any material respect when made or deemed to be repeated unless such misrepresentation is in the opinion of the Owners capable of remedy and is remedied to the Owners' satisfaction within thirty (30) days of the earlier of the relevant Obligor becoming aware of any such misrepresentation or the Owners' notice to the relevant Obligor of such misrepresentation; or</w:t>
      </w:r>
    </w:p>
    <w:p>
      <w:pPr>
        <w:spacing w:after="0" w:line="12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69" w:name="page270"/>
    <w:bookmarkEnd w:id="26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24" w:hanging="424"/>
        <w:spacing w:after="0"/>
        <w:tabs>
          <w:tab w:leader="none" w:pos="424" w:val="left"/>
        </w:tabs>
        <w:numPr>
          <w:ilvl w:val="0"/>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Cross default </w:t>
      </w:r>
      <w:r>
        <w:rPr>
          <w:rFonts w:ascii="Times New Roman" w:cs="Times New Roman" w:eastAsia="Times New Roman" w:hAnsi="Times New Roman"/>
          <w:sz w:val="12"/>
          <w:szCs w:val="12"/>
          <w:color w:val="auto"/>
        </w:rPr>
        <w:t>any of the following events: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not paid when due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declared to be, or otherwise becomes, due and payable prior to its specified maturity as a result of an event of default (however described);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 Obligor is cancelled or suspended by a creditor of an Obligor as a result of an event of default (however described);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 Obligor becomes entitled to declare any Financial Indebtedness of an Obligor due and payable prior to its specified maturity as a result of an event of default (however described),</w:t>
      </w:r>
    </w:p>
    <w:p>
      <w:pPr>
        <w:spacing w:after="0" w:line="146" w:lineRule="exact"/>
        <w:rPr>
          <w:sz w:val="20"/>
          <w:szCs w:val="20"/>
          <w:color w:val="auto"/>
        </w:rPr>
      </w:pPr>
    </w:p>
    <w:p>
      <w:pPr>
        <w:ind w:left="42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no Termination Event will occur under this Clause49(a)(iii) if, the aggregate amount of such Financial Indebtedness referred to in this Clause 49(a)(v) (x) in respect of the Charter Guarantor,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less than ten million Dollars (US$10,000,000) and (y) in respect of the Charterers, is less than five hundred thousand Dollars (US$500,000); or</w:t>
      </w:r>
    </w:p>
    <w:p>
      <w:pPr>
        <w:spacing w:after="0" w:line="103" w:lineRule="exact"/>
        <w:rPr>
          <w:sz w:val="20"/>
          <w:szCs w:val="20"/>
          <w:color w:val="auto"/>
        </w:rPr>
      </w:pPr>
    </w:p>
    <w:p>
      <w:pPr>
        <w:ind w:left="424" w:hanging="424"/>
        <w:spacing w:after="0"/>
        <w:tabs>
          <w:tab w:leader="none" w:pos="424" w:val="left"/>
        </w:tabs>
        <w:numPr>
          <w:ilvl w:val="0"/>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Insolvency</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deemed to, or 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3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sz w:val="20"/>
          <w:szCs w:val="20"/>
          <w:color w:val="auto"/>
        </w:rPr>
      </w:pPr>
    </w:p>
    <w:p>
      <w:pPr>
        <w:ind w:left="864"/>
        <w:spacing w:after="0" w:line="279" w:lineRule="auto"/>
        <w:rPr>
          <w:sz w:val="20"/>
          <w:szCs w:val="20"/>
          <w:color w:val="auto"/>
        </w:rPr>
      </w:pPr>
      <w:r>
        <w:rPr>
          <w:rFonts w:ascii="Times New Roman" w:cs="Times New Roman" w:eastAsia="Times New Roman" w:hAnsi="Times New Roman"/>
          <w:sz w:val="12"/>
          <w:szCs w:val="12"/>
          <w:color w:val="auto"/>
        </w:rPr>
        <w:t>other than the Charter Guarantor, by reason of actual or anticipated financial difficulties, commences negotiations with one or more of its creditors with a view to rescheduling any of its indebtedness; or</w:t>
      </w:r>
    </w:p>
    <w:p>
      <w:pPr>
        <w:spacing w:after="0" w:line="111" w:lineRule="exact"/>
        <w:rPr>
          <w:sz w:val="20"/>
          <w:szCs w:val="20"/>
          <w:color w:val="auto"/>
        </w:rPr>
      </w:pPr>
    </w:p>
    <w:p>
      <w:pPr>
        <w:jc w:val="both"/>
        <w:ind w:left="864" w:hanging="432"/>
        <w:spacing w:after="0" w:line="260" w:lineRule="auto"/>
        <w:tabs>
          <w:tab w:leader="none" w:pos="864"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any of it Subsidiaries or any of their respective directors or authorised representatives by reason of actual or anticipated financial difficulties take any steps (whether by submitting or presenting a document setting out a proposal or proposed terms or otherwise) with more than 35% (by value) of creditors of the Charter Group (taken as a whole) with a view to obtaining any form of moratorium, suspension or deferral of payments or reorganisation of debt (or certain debt), provided that this Clause 49(a)(vi)(B) shall not apply where the relevant steps are being taken solely with the Owners or any of the Owners Subsidiaries; or</w:t>
      </w:r>
    </w:p>
    <w:p>
      <w:pPr>
        <w:spacing w:after="0" w:line="12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the assets of an Obligor is less than its liabilities (taking into account contingent and prospective liabilities);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3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 Obligor. If a moratorium occurs, the ending of the moratorium will not remedy any Termination Event caused by that moratorium; or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270" w:name="page271"/>
    <w:bookmarkEnd w:id="270"/>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24" w:hanging="424"/>
        <w:spacing w:after="0"/>
        <w:tabs>
          <w:tab w:leader="none" w:pos="424" w:val="left"/>
        </w:tabs>
        <w:numPr>
          <w:ilvl w:val="0"/>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Winding-up </w:t>
      </w: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316" w:lineRule="exact"/>
        <w:rPr>
          <w:rFonts w:ascii="Times New Roman" w:cs="Times New Roman" w:eastAsia="Times New Roman" w:hAnsi="Times New Roman"/>
          <w:sz w:val="12"/>
          <w:szCs w:val="12"/>
          <w:color w:val="auto"/>
        </w:rPr>
      </w:pPr>
    </w:p>
    <w:p>
      <w:pPr>
        <w:ind w:left="864" w:right="20" w:hanging="432"/>
        <w:spacing w:after="0" w:line="279" w:lineRule="auto"/>
        <w:tabs>
          <w:tab w:leader="none" w:pos="864" w:val="left"/>
        </w:tabs>
        <w:numPr>
          <w:ilvl w:val="1"/>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bankruptcy or reorganisation (by way of voluntary arrangement, scheme of arrangement or otherwise) of an Obligor;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 Obligor;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administrative receiver, administrator, compulsory manager, trustee or other similar officer in respect of an Obligor or any of its assets;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Interest over any assets of an Obligor;</w:t>
      </w:r>
    </w:p>
    <w:p>
      <w:pPr>
        <w:spacing w:after="0" w:line="150" w:lineRule="exact"/>
        <w:rPr>
          <w:sz w:val="20"/>
          <w:szCs w:val="20"/>
          <w:color w:val="auto"/>
        </w:rPr>
      </w:pPr>
    </w:p>
    <w:p>
      <w:pPr>
        <w:ind w:left="424"/>
        <w:spacing w:after="0" w:line="279" w:lineRule="auto"/>
        <w:rPr>
          <w:sz w:val="20"/>
          <w:szCs w:val="20"/>
          <w:color w:val="auto"/>
        </w:rPr>
      </w:pPr>
      <w:r>
        <w:rPr>
          <w:rFonts w:ascii="Times New Roman" w:cs="Times New Roman" w:eastAsia="Times New Roman" w:hAnsi="Times New Roman"/>
          <w:sz w:val="12"/>
          <w:szCs w:val="12"/>
          <w:color w:val="auto"/>
        </w:rPr>
        <w:t>or any analogous procedure or step is taken in any jurisdiction. This Clause 49(a)(vii) shall not apply to (x) any winding-up petition which is frivolous or vexatious and is discharged, stayed or dismissed within twenty one (21) days of commencement or (y) any arrest or detention of the Vessel from which the Vessel is released within twenty one (21) days from the date of that arrest or detention; or</w:t>
      </w:r>
    </w:p>
    <w:p>
      <w:pPr>
        <w:spacing w:after="0" w:line="107" w:lineRule="exact"/>
        <w:rPr>
          <w:sz w:val="20"/>
          <w:szCs w:val="20"/>
          <w:color w:val="auto"/>
        </w:rPr>
      </w:pPr>
    </w:p>
    <w:p>
      <w:pPr>
        <w:ind w:left="424" w:hanging="424"/>
        <w:spacing w:after="0"/>
        <w:tabs>
          <w:tab w:leader="none" w:pos="42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Cessation of business </w:t>
      </w:r>
      <w:r>
        <w:rPr>
          <w:rFonts w:ascii="Times New Roman" w:cs="Times New Roman" w:eastAsia="Times New Roman" w:hAnsi="Times New Roman"/>
          <w:sz w:val="12"/>
          <w:szCs w:val="12"/>
          <w:color w:val="auto"/>
        </w:rPr>
        <w:t>any Obligor ceases or threatens to cease, to carry on all or, any material part of such Obligor's business;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Unlawfulness </w:t>
      </w:r>
      <w:r>
        <w:rPr>
          <w:rFonts w:ascii="Times New Roman" w:cs="Times New Roman" w:eastAsia="Times New Roman" w:hAnsi="Times New Roman"/>
          <w:sz w:val="12"/>
          <w:szCs w:val="12"/>
          <w:color w:val="auto"/>
        </w:rPr>
        <w:t>at any time:</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any Obligor to perform or comply with any or all of its obligations under the Transaction Documents to which it or 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obligations of the Charterers under the Transaction Documents to which they are parties are not or cease to be legal, valid and binding; or</w:t>
      </w:r>
    </w:p>
    <w:p>
      <w:pPr>
        <w:spacing w:after="0" w:line="150" w:lineRule="exact"/>
        <w:rPr>
          <w:rFonts w:ascii="Times New Roman" w:cs="Times New Roman" w:eastAsia="Times New Roman" w:hAnsi="Times New Roman"/>
          <w:sz w:val="12"/>
          <w:szCs w:val="12"/>
          <w:color w:val="auto"/>
        </w:rPr>
      </w:pPr>
    </w:p>
    <w:p>
      <w:pPr>
        <w:ind w:left="864" w:right="20" w:hanging="432"/>
        <w:spacing w:after="0" w:line="279" w:lineRule="auto"/>
        <w:tabs>
          <w:tab w:leader="none" w:pos="864" w:val="left"/>
        </w:tabs>
        <w:numPr>
          <w:ilvl w:val="1"/>
          <w:numId w:val="3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Documents or any Encumbrance created or purported to be created by the Transaction Documents ceases to be legal, valid, binding, enforceable or effective or is alleged by a party to such Transaction Document (other than the Owners) to be ineffective,</w:t>
      </w:r>
    </w:p>
    <w:p>
      <w:pPr>
        <w:spacing w:after="0" w:line="11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and no agreement is reached between the Owners and the Charterers to agree an alternative arrangement within thirty (30) days from the date of occurrence of any of the events stated above; or</w:t>
      </w:r>
    </w:p>
    <w:p>
      <w:pPr>
        <w:spacing w:after="0" w:line="146" w:lineRule="exact"/>
        <w:rPr>
          <w:sz w:val="20"/>
          <w:szCs w:val="20"/>
          <w:color w:val="auto"/>
        </w:rPr>
      </w:pPr>
    </w:p>
    <w:p>
      <w:pPr>
        <w:ind w:left="424" w:hanging="424"/>
        <w:spacing w:after="0"/>
        <w:tabs>
          <w:tab w:leader="none" w:pos="424"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Repudiation </w:t>
      </w:r>
      <w:r>
        <w:rPr>
          <w:rFonts w:ascii="Times New Roman" w:cs="Times New Roman" w:eastAsia="Times New Roman" w:hAnsi="Times New Roman"/>
          <w:sz w:val="12"/>
          <w:szCs w:val="12"/>
          <w:color w:val="auto"/>
        </w:rPr>
        <w:t>an Obligor repudiates any Transaction Document to which it is a party or does or causes to be done any act or thing evidencing an intention to repudiate any such Transaction Document;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w:t>
      </w:r>
      <w:r>
        <w:rPr>
          <w:rFonts w:ascii="Times New Roman" w:cs="Times New Roman" w:eastAsia="Times New Roman" w:hAnsi="Times New Roman"/>
          <w:sz w:val="12"/>
          <w:szCs w:val="12"/>
          <w:color w:val="auto"/>
        </w:rPr>
        <w:t>at any time any act, condition or thing required to be done, fulfilled or performed in order: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any Obligor lawfully to enter into, exercise its rights under and perform the respective obligations expressed to be assumed by it in the Transaction Documents;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that the obligations expressed to be assumed by each of the Obligors in the Transaction Documents are legal, valid and binding;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admissible in evidence in any applicable jurisdiction,</w:t>
      </w:r>
    </w:p>
    <w:p>
      <w:pPr>
        <w:spacing w:after="0" w:line="150" w:lineRule="exact"/>
        <w:rPr>
          <w:sz w:val="20"/>
          <w:szCs w:val="20"/>
          <w:color w:val="auto"/>
        </w:rPr>
      </w:pPr>
    </w:p>
    <w:p>
      <w:pPr>
        <w:ind w:left="4724" w:right="1760" w:hanging="4285"/>
        <w:spacing w:after="0" w:line="530" w:lineRule="auto"/>
        <w:rPr>
          <w:sz w:val="20"/>
          <w:szCs w:val="20"/>
          <w:color w:val="auto"/>
        </w:rPr>
      </w:pPr>
      <w:r>
        <w:rPr>
          <w:rFonts w:ascii="Times New Roman" w:cs="Times New Roman" w:eastAsia="Times New Roman" w:hAnsi="Times New Roman"/>
          <w:sz w:val="12"/>
          <w:szCs w:val="12"/>
          <w:color w:val="auto"/>
        </w:rPr>
        <w:t>is not done, fulfilled or performed within thirty (30) days after notification from the Owners to the relevant Obligor requiring the same to be done, fulfilled or performed; or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-105410</wp:posOffset>
            </wp:positionV>
            <wp:extent cx="717804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271" w:name="page272"/>
    <w:bookmarkEnd w:id="27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24" w:hanging="424"/>
        <w:spacing w:after="0"/>
        <w:tabs>
          <w:tab w:leader="none" w:pos="424" w:val="left"/>
        </w:tabs>
        <w:numPr>
          <w:ilvl w:val="0"/>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Code and ISPS Code </w:t>
      </w:r>
      <w:r>
        <w:rPr>
          <w:rFonts w:ascii="Times New Roman" w:cs="Times New Roman" w:eastAsia="Times New Roman" w:hAnsi="Times New Roman"/>
          <w:sz w:val="12"/>
          <w:szCs w:val="12"/>
          <w:color w:val="auto"/>
        </w:rPr>
        <w:t>for any reason whatsoever, the Vessel ceases to:</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the ISM Code or the ISPS Code;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managed by an Approved Manager on terms in all respects approved by the Owners,</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in each case, which is not remedied within three (3) Business Days after the earlier of written notice from the Owners requesting action to remedy the same or the Charterers becoming aware of the same; or</w:t>
      </w:r>
    </w:p>
    <w:p>
      <w:pPr>
        <w:spacing w:after="0" w:line="146" w:lineRule="exact"/>
        <w:rPr>
          <w:sz w:val="20"/>
          <w:szCs w:val="20"/>
          <w:color w:val="auto"/>
        </w:rPr>
      </w:pPr>
    </w:p>
    <w:p>
      <w:pPr>
        <w:ind w:left="424" w:hanging="424"/>
        <w:spacing w:after="0"/>
        <w:tabs>
          <w:tab w:leader="none" w:pos="42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 and AML laws etc.,</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is in breach of any Sanctions, Anti-Money Laundering Laws, Anti-Terrorism Financing Laws or Business Ethics Laws;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becomes a Restricted Person, or is owned or controlled by a Restricted Person, or owns or controls a Restricted Person;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as a result of any Sanctions, the Owners are prohibited from performing any of their obligations under the Transaction Documents or the transactions contemplated under the Transaction Documents; or</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Sub-Charterer becomes a Restricted Person and the Owners fail to effect immediate termination of the Sub-Charter with such Sub-Charterer or fail to procure (within 60 days) a replacement Sub-Charter reasonably satisfactory to the Owners; or</w:t>
      </w:r>
    </w:p>
    <w:p>
      <w:pPr>
        <w:spacing w:after="0" w:line="107"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Arrest </w:t>
      </w:r>
      <w:r>
        <w:rPr>
          <w:rFonts w:ascii="Times New Roman" w:cs="Times New Roman" w:eastAsia="Times New Roman" w:hAnsi="Times New Roman"/>
          <w:sz w:val="12"/>
          <w:szCs w:val="12"/>
          <w:color w:val="auto"/>
        </w:rPr>
        <w:t>the Vessel is arrested or seized for any reason whatsoever (other than caused solely and directly by any action or omission from the Owners) unless the Vessel is released and returned to the possession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the Charterers within sixty (60) days of such arrest or seizure; or</w:t>
      </w:r>
    </w:p>
    <w:p>
      <w:pPr>
        <w:spacing w:after="0" w:line="103" w:lineRule="exact"/>
        <w:rPr>
          <w:rFonts w:ascii="Times New Roman" w:cs="Times New Roman" w:eastAsia="Times New Roman" w:hAnsi="Times New Roman"/>
          <w:sz w:val="12"/>
          <w:szCs w:val="12"/>
          <w:color w:val="auto"/>
        </w:rPr>
      </w:pPr>
    </w:p>
    <w:p>
      <w:pPr>
        <w:jc w:val="both"/>
        <w:ind w:left="424" w:right="20" w:hanging="424"/>
        <w:spacing w:after="0" w:line="268" w:lineRule="auto"/>
        <w:tabs>
          <w:tab w:leader="none" w:pos="42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registration of the Vessel becomes void or voidable or liable to cancellation or termination, or the country of registration of the Vessel becomes involved in war (whether or not declared)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civil war or is occupied by any other power and the Owners consider that, as a result, safety of Owners' title to the Vessel is materially prejudiced other than caused directly or indirectly by the actions of the Owners; or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adverse change </w:t>
      </w:r>
      <w:r>
        <w:rPr>
          <w:rFonts w:ascii="Times New Roman" w:cs="Times New Roman" w:eastAsia="Times New Roman" w:hAnsi="Times New Roman"/>
          <w:sz w:val="12"/>
          <w:szCs w:val="12"/>
          <w:color w:val="auto"/>
        </w:rPr>
        <w:t>at any time there shall occur any event or change which has a Material Adverse Effect; or</w:t>
      </w:r>
    </w:p>
    <w:p>
      <w:pPr>
        <w:spacing w:after="0" w:line="150"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litigation </w:t>
      </w:r>
      <w:r>
        <w:rPr>
          <w:rFonts w:ascii="Times New Roman" w:cs="Times New Roman" w:eastAsia="Times New Roman" w:hAnsi="Times New Roman"/>
          <w:sz w:val="12"/>
          <w:szCs w:val="12"/>
          <w:color w:val="auto"/>
        </w:rPr>
        <w:t>any litigation, arbitration or administrative proceedings of or before any court, arbitral body or agency have been started or threatened in connection with any Obligor which, if adversely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determined, has a Material Adverse Effect; or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MOA and Initial Sub-Charter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Sellers' default (as such term is described in the MOA) occurs under the MOA; or</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3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Sub-Charteris is terminated, cancelled, repudiated or otherwise ceases to remain in full force and effect before the end of its agreed term, provided that no Termination Event will occur under this sub-paragraph, if a replacement Sub-Charter with material terms and conditions satisfactory to the Owners is entered into by the Charterers and assigned to the Owners in form and substance acceptable the Owners within 60 days after the termination, cancellation, repudiation or cessation of effectiveness of the Initial Sub-Charter; or</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272" w:name="page273"/>
    <w:bookmarkEnd w:id="27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860" w:hanging="424"/>
        <w:spacing w:after="0"/>
        <w:tabs>
          <w:tab w:leader="none" w:pos="860" w:val="left"/>
        </w:tabs>
        <w:numPr>
          <w:ilvl w:val="1"/>
          <w:numId w:val="3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Related Charter </w:t>
      </w:r>
      <w:r>
        <w:rPr>
          <w:rFonts w:ascii="Times New Roman" w:cs="Times New Roman" w:eastAsia="Times New Roman" w:hAnsi="Times New Roman"/>
          <w:sz w:val="12"/>
          <w:szCs w:val="12"/>
          <w:color w:val="auto"/>
        </w:rPr>
        <w:t>a "Termination Event" (as such term is defined in each Related Charter) occurs under any Related Charter which is continuing.</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options after occurrence of a Termination Event </w:t>
      </w:r>
      <w:r>
        <w:rPr>
          <w:rFonts w:ascii="Times New Roman" w:cs="Times New Roman" w:eastAsia="Times New Roman" w:hAnsi="Times New Roman"/>
          <w:sz w:val="12"/>
          <w:szCs w:val="12"/>
          <w:color w:val="auto"/>
        </w:rPr>
        <w:t>At any time after a Termination Event shall have occurred and be continuing and if applicable, following the lapse of any applicable grace period,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w:t>
      </w:r>
    </w:p>
    <w:p>
      <w:pPr>
        <w:spacing w:after="0" w:line="107"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their option and by delivering to the Charterers a Termination Notice, terminate this Charter with immediate effect or on the date specified in such Termination Notice, and withdraw the Vessel from the service of the Charterers without noting any protest and without interference by any court or any other formality whatsoever, whereupon the Vessel shall no longer be in the possession of the Charterers with the consent of the Owners, and the Charterers shall redeliver the Vessel to the Owners in accordance with Clauses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and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whereupon the Owners may:</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fail to pay the Termination Sum in full on the Termination Payment Date) at their option (but shall be under no obligation to), sell the Vessel to such party, at such time and on such terms and conditions as they may, in their absolution discretion, think fit; and/or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use or dispose of the Vessel as the Owners may see fit subject only to the terms of this Charter;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any amount then standing to the credit to the Earnings Account against any Unpaid Sum or such other amounts which the Charterer or other Obligors may owe under the Transaction Documents;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sub-paragraph (ii) above) enforce any Security Interest created pursuant to the relevant Transaction Documents.</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of Termination Sum </w:t>
      </w:r>
      <w:r>
        <w:rPr>
          <w:rFonts w:ascii="Times New Roman" w:cs="Times New Roman" w:eastAsia="Times New Roman" w:hAnsi="Times New Roman"/>
          <w:sz w:val="12"/>
          <w:szCs w:val="12"/>
          <w:color w:val="auto"/>
        </w:rPr>
        <w:t>On the Termination Payment Date in respect of any termination of the chartering of the Vessel under this Charter in accordance with paragraph (b) above, the Charterers shall pay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Owners an amount equal to the Termination Sum.</w:t>
      </w:r>
    </w:p>
    <w:p>
      <w:pPr>
        <w:spacing w:after="0" w:line="103"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application of Termination Sum </w:t>
      </w:r>
      <w:r>
        <w:rPr>
          <w:rFonts w:ascii="Times New Roman" w:cs="Times New Roman" w:eastAsia="Times New Roman" w:hAnsi="Times New Roman"/>
          <w:sz w:val="12"/>
          <w:szCs w:val="12"/>
          <w:color w:val="auto"/>
        </w:rPr>
        <w:t>Following any termination to which this Clause 49 applies, all sums payable in accordance with paragraph (c) above shall be paid to such account or accounts as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Transfer of title </w:t>
      </w:r>
      <w:r>
        <w:rPr>
          <w:rFonts w:ascii="Times New Roman" w:cs="Times New Roman" w:eastAsia="Times New Roman" w:hAnsi="Times New Roman"/>
          <w:sz w:val="12"/>
          <w:szCs w:val="12"/>
          <w:color w:val="auto"/>
        </w:rPr>
        <w:t>If the chartering of the Vessel or, as the case may be, the obligation of the Owners to deliver and charter the Vessel to the Charterers is terminated in accordance with the terms of this Charter,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obligation of the Charterers to pay Hire shall cease once the Charterers have made the payment pursuant to paragraph (c) above to the satisfaction of the Owners, whereupon the Owners shall arrange for title of the Vessel to be transferred to the Charterers in accordance with paragraphs (d) to (h)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3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Sale of Vessel </w:t>
      </w:r>
      <w:r>
        <w:rPr>
          <w:rFonts w:ascii="Times New Roman" w:cs="Times New Roman" w:eastAsia="Times New Roman" w:hAnsi="Times New Roman"/>
          <w:sz w:val="12"/>
          <w:szCs w:val="12"/>
          <w:color w:val="auto"/>
        </w:rPr>
        <w:t>Following any termination to which this Clause 49 applies, if the Charterers have not paid to the Owners the Termination Sum on the applicable Termination Payment Date (and consequently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have not transferred title to the Vessel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the Owners shall be entitled (but not obliged) to sell the Vessel and apply the proceeds of a sale of the Vessel received or receivable, net of any fees, commissions, documented costs, disbursements or other expenses incurred by the Owners as a result of the Owners arranging the proposed sale (the "</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against the Termination Sum and:</w:t>
      </w:r>
    </w:p>
    <w:p>
      <w:pPr>
        <w:spacing w:after="0" w:line="28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73" w:name="page274"/>
    <w:bookmarkEnd w:id="27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5" w:lineRule="exact"/>
        <w:rPr>
          <w:sz w:val="20"/>
          <w:szCs w:val="20"/>
          <w:color w:val="auto"/>
        </w:rPr>
      </w:pPr>
    </w:p>
    <w:p>
      <w:pPr>
        <w:ind w:left="1288" w:right="20" w:hanging="424"/>
        <w:spacing w:after="0" w:line="283" w:lineRule="auto"/>
        <w:tabs>
          <w:tab w:leader="none" w:pos="128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do not exceed the Termination Sum, the Owners claim from the Charterers for any shortfall together with interest accrued thereon pursuant to paragraph (g)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of Clause 40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from the due date for payment thereof to the date of actual payment; or</w:t>
      </w:r>
    </w:p>
    <w:p>
      <w:pPr>
        <w:spacing w:after="0" w:line="106"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0"/>
          <w:numId w:val="3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exceed the Termination Sum, any surplus shall be applied in the order set out in clause 4.2 (</w:t>
      </w:r>
      <w:r>
        <w:rPr>
          <w:rFonts w:ascii="Times New Roman" w:cs="Times New Roman" w:eastAsia="Times New Roman" w:hAnsi="Times New Roman"/>
          <w:sz w:val="12"/>
          <w:szCs w:val="12"/>
          <w:i w:val="1"/>
          <w:iCs w:val="1"/>
          <w:color w:val="auto"/>
        </w:rPr>
        <w:t>Application of Transaction Document Proceeds</w:t>
      </w:r>
      <w:r>
        <w:rPr>
          <w:rFonts w:ascii="Times New Roman" w:cs="Times New Roman" w:eastAsia="Times New Roman" w:hAnsi="Times New Roman"/>
          <w:sz w:val="12"/>
          <w:szCs w:val="12"/>
          <w:color w:val="auto"/>
        </w:rPr>
        <w:t>) of the Security Trust Deed,</w:t>
      </w:r>
    </w:p>
    <w:p>
      <w:pPr>
        <w:spacing w:after="0" w:line="148"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in the event:</w:t>
      </w:r>
    </w:p>
    <w:p>
      <w:pPr>
        <w:spacing w:after="0" w:line="154" w:lineRule="exact"/>
        <w:rPr>
          <w:sz w:val="20"/>
          <w:szCs w:val="20"/>
          <w:color w:val="auto"/>
        </w:rPr>
      </w:pPr>
    </w:p>
    <w:p>
      <w:pPr>
        <w:ind w:left="1268" w:hanging="422"/>
        <w:spacing w:after="0"/>
        <w:tabs>
          <w:tab w:leader="none" w:pos="126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have not yet entered into any agreement for the sale, charter or employment of the Vessel;</w:t>
      </w:r>
    </w:p>
    <w:p>
      <w:pPr>
        <w:spacing w:after="0" w:line="146" w:lineRule="exact"/>
        <w:rPr>
          <w:rFonts w:ascii="Times New Roman" w:cs="Times New Roman" w:eastAsia="Times New Roman" w:hAnsi="Times New Roman"/>
          <w:sz w:val="12"/>
          <w:szCs w:val="12"/>
          <w:color w:val="auto"/>
        </w:rPr>
      </w:pPr>
    </w:p>
    <w:p>
      <w:pPr>
        <w:ind w:left="1268" w:hanging="422"/>
        <w:spacing w:after="0" w:line="286" w:lineRule="auto"/>
        <w:tabs>
          <w:tab w:leader="none" w:pos="126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furnish the Owners with an Offer no later than the date falling thirty (30) days after the Termination Payment Date (or such later date as may be agreed by the Owners, the "</w:t>
      </w:r>
      <w:r>
        <w:rPr>
          <w:rFonts w:ascii="Times New Roman" w:cs="Times New Roman" w:eastAsia="Times New Roman" w:hAnsi="Times New Roman"/>
          <w:sz w:val="12"/>
          <w:szCs w:val="12"/>
          <w:b w:val="1"/>
          <w:bCs w:val="1"/>
          <w:color w:val="auto"/>
        </w:rPr>
        <w:t>Latest MOA Date</w:t>
      </w:r>
      <w:r>
        <w:rPr>
          <w:rFonts w:ascii="Times New Roman" w:cs="Times New Roman" w:eastAsia="Times New Roman" w:hAnsi="Times New Roman"/>
          <w:sz w:val="12"/>
          <w:szCs w:val="12"/>
          <w:color w:val="auto"/>
        </w:rPr>
        <w:t>"); and</w:t>
      </w:r>
    </w:p>
    <w:p>
      <w:pPr>
        <w:spacing w:after="0" w:line="103" w:lineRule="exact"/>
        <w:rPr>
          <w:rFonts w:ascii="Times New Roman" w:cs="Times New Roman" w:eastAsia="Times New Roman" w:hAnsi="Times New Roman"/>
          <w:sz w:val="12"/>
          <w:szCs w:val="12"/>
          <w:color w:val="auto"/>
        </w:rPr>
      </w:pPr>
    </w:p>
    <w:p>
      <w:pPr>
        <w:jc w:val="both"/>
        <w:ind w:left="1268" w:hanging="422"/>
        <w:spacing w:after="0" w:line="259" w:lineRule="auto"/>
        <w:tabs>
          <w:tab w:leader="none" w:pos="1268" w:val="left"/>
        </w:tabs>
        <w:numPr>
          <w:ilvl w:val="0"/>
          <w:numId w:val="3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buyer which has made the Offer (the "</w:t>
      </w:r>
      <w:r>
        <w:rPr>
          <w:rFonts w:ascii="Times New Roman" w:cs="Times New Roman" w:eastAsia="Times New Roman" w:hAnsi="Times New Roman"/>
          <w:sz w:val="12"/>
          <w:szCs w:val="12"/>
          <w:b w:val="1"/>
          <w:bCs w:val="1"/>
          <w:color w:val="auto"/>
        </w:rPr>
        <w:t>Potential Buyer</w:t>
      </w:r>
      <w:r>
        <w:rPr>
          <w:rFonts w:ascii="Times New Roman" w:cs="Times New Roman" w:eastAsia="Times New Roman" w:hAnsi="Times New Roman"/>
          <w:sz w:val="12"/>
          <w:szCs w:val="12"/>
          <w:color w:val="auto"/>
        </w:rPr>
        <w:t>") is acceptable to the Owners (acting reasonably, such acceptance not to be unreasonably withheld or delayed), the Owners shall, subject to the entry into of a memorandum of agreement for the Vessel between the Potential Buyer and the Owners which shall be on terms acceptable to the Owners (the "</w:t>
      </w:r>
      <w:r>
        <w:rPr>
          <w:rFonts w:ascii="Times New Roman" w:cs="Times New Roman" w:eastAsia="Times New Roman" w:hAnsi="Times New Roman"/>
          <w:sz w:val="12"/>
          <w:szCs w:val="12"/>
          <w:b w:val="1"/>
          <w:bCs w:val="1"/>
          <w:color w:val="auto"/>
        </w:rPr>
        <w:t>Potential Buyer MOA</w:t>
      </w:r>
      <w:r>
        <w:rPr>
          <w:rFonts w:ascii="Times New Roman" w:cs="Times New Roman" w:eastAsia="Times New Roman" w:hAnsi="Times New Roman"/>
          <w:sz w:val="12"/>
          <w:szCs w:val="12"/>
          <w:color w:val="auto"/>
        </w:rPr>
        <w:t>") by the Latest MOA Date, sell the Vessel to the Potential Buyer in accordance with the terms of the Potential Buyer MOA. For the avoidance of doubt, the Owners may at its sole discretion (acting reasonably) proceed to complete any sale, charter or employment of the Vessel arranged by the Owners notwithstanding the Offer furnished by the Charterers. The proceeds of such sale shall, for the avoidance of any doubt, be applied in accordance with this Clause 49(f)(i) and (ii) as above.</w:t>
      </w:r>
    </w:p>
    <w:p>
      <w:pPr>
        <w:spacing w:after="0" w:line="123"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For the purposes of this Clause 49(f):</w:t>
      </w:r>
    </w:p>
    <w:p>
      <w:pPr>
        <w:spacing w:after="0" w:line="146" w:lineRule="exact"/>
        <w:rPr>
          <w:sz w:val="20"/>
          <w:szCs w:val="20"/>
          <w:color w:val="auto"/>
        </w:rPr>
      </w:pPr>
    </w:p>
    <w:p>
      <w:pPr>
        <w:ind w:left="86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Offer</w:t>
      </w:r>
      <w:r>
        <w:rPr>
          <w:rFonts w:ascii="Times New Roman" w:cs="Times New Roman" w:eastAsia="Times New Roman" w:hAnsi="Times New Roman"/>
          <w:sz w:val="12"/>
          <w:szCs w:val="12"/>
          <w:color w:val="auto"/>
        </w:rPr>
        <w:t>" means a firm offer for the purchase of the Vessel:</w:t>
      </w:r>
    </w:p>
    <w:p>
      <w:pPr>
        <w:spacing w:after="0" w:line="154" w:lineRule="exact"/>
        <w:rPr>
          <w:sz w:val="20"/>
          <w:szCs w:val="20"/>
          <w:color w:val="auto"/>
        </w:rPr>
      </w:pPr>
    </w:p>
    <w:p>
      <w:pPr>
        <w:ind w:left="1268" w:hanging="431"/>
        <w:spacing w:after="0"/>
        <w:tabs>
          <w:tab w:leader="none" w:pos="126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purchase price in cash (payable on delivery and acceptance of the Vessel) not less than the Relevant Amount; and</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0"/>
          <w:numId w:val="3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customary terms for sale and purchase of commercial vessels of similar type.</w:t>
      </w:r>
    </w:p>
    <w:p>
      <w:pPr>
        <w:spacing w:after="0" w:line="146" w:lineRule="exact"/>
        <w:rPr>
          <w:sz w:val="20"/>
          <w:szCs w:val="20"/>
          <w:color w:val="auto"/>
        </w:rPr>
      </w:pPr>
    </w:p>
    <w:p>
      <w:pPr>
        <w:jc w:val="both"/>
        <w:ind w:left="86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 the aggregate of the Termination Sum to be determined by the Owners payable on the delivery date of the Vessel under any Potential Buyer MOA and to the extent not already included within such Termination Sum, any actual or estimated costs associated with the entry into the Potential Buyer MOA by the Potential Buyer and the conclusion of the transaction and the delivery of the Vessel thereunder, including any brokers' fees or commission.</w:t>
      </w:r>
    </w:p>
    <w:p>
      <w:pPr>
        <w:spacing w:after="0" w:line="114" w:lineRule="exact"/>
        <w:rPr>
          <w:sz w:val="20"/>
          <w:szCs w:val="20"/>
          <w:color w:val="auto"/>
        </w:rPr>
      </w:pPr>
    </w:p>
    <w:p>
      <w:pPr>
        <w:jc w:val="both"/>
        <w:ind w:left="868" w:hanging="436"/>
        <w:spacing w:after="0" w:line="262" w:lineRule="auto"/>
        <w:tabs>
          <w:tab w:leader="none" w:pos="868"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reserved </w:t>
      </w:r>
      <w:r>
        <w:rPr>
          <w:rFonts w:ascii="Times New Roman" w:cs="Times New Roman" w:eastAsia="Times New Roman" w:hAnsi="Times New Roman"/>
          <w:sz w:val="12"/>
          <w:szCs w:val="12"/>
          <w:color w:val="auto"/>
        </w:rPr>
        <w:t>Without prejudice to the forgoing or to any other rights of the Owners under the Charter, at any time after a Termination Notice is served under paragraph (b) above, the Owners may, acting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their sole discretion without prejudice to the Charterers'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retake possession of the Vessel and, the Charterers agree that the Owners, for such purpose, may put into force and exercise all their rights and entitlements at law and may enter upon any premises belonging to or in the occupation or under the control of the Charterers where the Vessel may be located as well as giving instructions to the Charterers' servants or agents for this purpose.</w:t>
      </w:r>
    </w:p>
    <w:p>
      <w:pPr>
        <w:spacing w:after="0" w:line="117" w:lineRule="exact"/>
        <w:rPr>
          <w:rFonts w:ascii="Times New Roman" w:cs="Times New Roman" w:eastAsia="Times New Roman" w:hAnsi="Times New Roman"/>
          <w:sz w:val="12"/>
          <w:szCs w:val="12"/>
          <w:color w:val="auto"/>
        </w:rPr>
      </w:pPr>
    </w:p>
    <w:p>
      <w:pPr>
        <w:ind w:left="868" w:hanging="436"/>
        <w:spacing w:after="0" w:line="286" w:lineRule="auto"/>
        <w:tabs>
          <w:tab w:leader="none" w:pos="868" w:val="left"/>
        </w:tabs>
        <w:numPr>
          <w:ilvl w:val="1"/>
          <w:numId w:val="3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Cumulative rights </w:t>
      </w:r>
      <w:r>
        <w:rPr>
          <w:rFonts w:ascii="Times New Roman" w:cs="Times New Roman" w:eastAsia="Times New Roman" w:hAnsi="Times New Roman"/>
          <w:sz w:val="12"/>
          <w:szCs w:val="12"/>
          <w:color w:val="auto"/>
        </w:rPr>
        <w:t>The rights conferred upon the Owners by the provisions of this Clause 49 are cumulative and in addition to any rights which they may otherwise have in law or in equity or by virtue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provisions of this Charter.</w:t>
      </w:r>
    </w:p>
    <w:p>
      <w:pPr>
        <w:spacing w:after="0" w:line="10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Sub-chartering and assignment</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without the prior written consent of the Owners (such consent not to be unreasonably withheld or delayed):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the Vessel on demise charter for any period;</w:t>
      </w:r>
    </w:p>
    <w:p>
      <w:pPr>
        <w:spacing w:after="0" w:line="312"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74" w:name="page275"/>
    <w:bookmarkEnd w:id="27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1288" w:hanging="424"/>
        <w:spacing w:after="0" w:line="279" w:lineRule="auto"/>
        <w:tabs>
          <w:tab w:leader="none" w:pos="1288" w:val="left"/>
        </w:tabs>
        <w:numPr>
          <w:ilvl w:val="2"/>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consecutive time charter in respect of the Vessel for a term which exceeds, or which by virtue of any optional extension may exceed, twelve (12) months, or which would expire after the end of the Charter Period (except for the Initial Sub-Charter or as may be permitted under any Sub-Charter);</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de-activate or lay up the Vessel;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their rights under this Charter.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that the Owners' consent to any sub-bareboat chartering may be subject (amongst other things) to the Owners being satisfied as to the intended flag during such sub-bareboat chartering.</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57" w:lineRule="auto"/>
        <w:tabs>
          <w:tab w:leader="none" w:pos="868" w:val="left"/>
        </w:tabs>
        <w:numPr>
          <w:ilvl w:val="1"/>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anything contained in this Clause 50, the Charterers shall only enter into a Sub-Charter which is for a purpose for which the Vessel is suited and with a Sub-Charterer who is not a Restricted Person and in each case, the Charterers shall assign to the Owners all their earnings arising out of and in connection with any Sub-Charter and, subject to the Charterers' Assignment, all their rights and interest of any Sub-charter (as such term is defined in the Charterers' Assignment) upon such terms and conditions as the Owners may require and the Charterers shall serve a notice on any Sub-Charterer (subject to the Charterers' Assignment) and shall use reasonable commercial endeavors to obtain a written acknowledgement of such earnings assignment from such Sub-Charterer in such form as is required in good faith by the Owners or any Finance Party (as the case may be).</w:t>
      </w:r>
    </w:p>
    <w:p>
      <w:pPr>
        <w:spacing w:after="0" w:line="125"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(c) above, the Vessel shall not be employed, operated or managed in any manner which:</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contrary to any Sanctions and in particular, the Vessel shall not be used by or to benefit any party which is a target of Sanctions and/or is a Restricted Person or trade to any Restricted Country;</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result or reasonably be expected to result in any Obligor, the Sub-Charterers, or the Owners becoming a Restricted Person;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trigger the operation of any Sanctions limitation or exclusion clause in any insurance documentation.</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Charterers' costs, provide the Owners with copies of the Vessel's contracts of employment (including contracts of employment entered into by the Sub-Charterer) and reasonable details relating to performance of such employment contracts every twelve (12) months from the Actual Delivery Date and from time to time, in each case, upon the Owners' written request.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Name of Vessel</w:t>
      </w:r>
    </w:p>
    <w:p>
      <w:pPr>
        <w:spacing w:after="0" w:line="154" w:lineRule="exact"/>
        <w:rPr>
          <w:rFonts w:ascii="Times New Roman" w:cs="Times New Roman" w:eastAsia="Times New Roman" w:hAnsi="Times New Roman"/>
          <w:sz w:val="12"/>
          <w:szCs w:val="12"/>
          <w:b w:val="1"/>
          <w:bCs w:val="1"/>
          <w:color w:val="auto"/>
        </w:rPr>
      </w:pPr>
    </w:p>
    <w:p>
      <w:pPr>
        <w:ind w:left="828" w:hanging="396"/>
        <w:spacing w:after="0"/>
        <w:tabs>
          <w:tab w:leader="none" w:pos="828" w:val="left"/>
        </w:tabs>
        <w:numPr>
          <w:ilvl w:val="1"/>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prior written consent has been given by the Owners (such approval not to be unreasonably withheld or delayed):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Vessel may be chosen by the Charterers; and</w:t>
      </w:r>
    </w:p>
    <w:p>
      <w:pPr>
        <w:spacing w:after="0" w:line="150"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75" w:name="page276"/>
    <w:bookmarkEnd w:id="275"/>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41" w:lineRule="exact"/>
        <w:rPr>
          <w:sz w:val="20"/>
          <w:szCs w:val="20"/>
          <w:color w:val="auto"/>
        </w:rPr>
      </w:pPr>
    </w:p>
    <w:p>
      <w:pPr>
        <w:ind w:left="1288" w:hanging="424"/>
        <w:spacing w:after="0"/>
        <w:tabs>
          <w:tab w:leader="none" w:pos="1288" w:val="left"/>
        </w:tabs>
        <w:numPr>
          <w:ilvl w:val="2"/>
          <w:numId w:val="3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may be painted in the colours, display the funnel insignia and fly the house flag as required by the Charterers.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termination of this Charter (other than a Default Termination), the Charterers shall have the right to require the Owners to change the name of the Vessel so that the Charterers can use the name.</w:t>
      </w:r>
    </w:p>
    <w:p>
      <w:pPr>
        <w:spacing w:after="0" w:line="146" w:lineRule="exact"/>
        <w:rPr>
          <w:rFonts w:ascii="Times New Roman" w:cs="Times New Roman" w:eastAsia="Times New Roman" w:hAnsi="Times New Roman"/>
          <w:sz w:val="12"/>
          <w:szCs w:val="12"/>
          <w:color w:val="auto"/>
        </w:rPr>
      </w:pPr>
    </w:p>
    <w:p>
      <w:pPr>
        <w:jc w:val="both"/>
        <w:ind w:left="428" w:right="10060" w:hanging="428"/>
        <w:spacing w:after="0" w:line="498" w:lineRule="auto"/>
        <w:tabs>
          <w:tab w:leader="none" w:pos="428" w:val="left"/>
        </w:tabs>
        <w:numPr>
          <w:ilvl w:val="0"/>
          <w:numId w:val="34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Transfer of title </w:t>
      </w:r>
      <w:r>
        <w:rPr>
          <w:rFonts w:ascii="Times New Roman" w:cs="Times New Roman" w:eastAsia="Times New Roman" w:hAnsi="Times New Roman"/>
          <w:sz w:val="12"/>
          <w:szCs w:val="12"/>
          <w:b w:val="1"/>
          <w:bCs w:val="1"/>
          <w:i w:val="1"/>
          <w:iCs w:val="1"/>
          <w:color w:val="auto"/>
        </w:rPr>
        <w:t>Purchase option</w:t>
      </w:r>
    </w:p>
    <w:p>
      <w:pPr>
        <w:ind w:left="868" w:hanging="436"/>
        <w:spacing w:after="0" w:line="206" w:lineRule="auto"/>
        <w:tabs>
          <w:tab w:leader="none" w:pos="868" w:val="left"/>
        </w:tabs>
        <w:numPr>
          <w:ilvl w:val="1"/>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from the date falling after and including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have the option to elect to purchase the Vessel from the Owners for the Purchase Option Price on the Purchase Option Date, subject to satisfaction of the following conditions:</w:t>
      </w:r>
    </w:p>
    <w:p>
      <w:pPr>
        <w:spacing w:after="0" w:line="133" w:lineRule="exact"/>
        <w:rPr>
          <w:rFonts w:ascii="Times New Roman" w:cs="Times New Roman" w:eastAsia="Times New Roman" w:hAnsi="Times New Roman"/>
          <w:sz w:val="12"/>
          <w:szCs w:val="12"/>
          <w:color w:val="auto"/>
        </w:rPr>
      </w:pPr>
    </w:p>
    <w:p>
      <w:pPr>
        <w:ind w:left="1288" w:right="20" w:hanging="424"/>
        <w:spacing w:after="0" w:line="279" w:lineRule="auto"/>
        <w:tabs>
          <w:tab w:leader="none" w:pos="1288" w:val="left"/>
        </w:tabs>
        <w:numPr>
          <w:ilvl w:val="2"/>
          <w:numId w:val="3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have notified the Owners by serving an irrevocable written notice at least forty-five (45) days prior to the proposed Purchase Option Date of the Charterers' intention to exercise the option to purchase the Vessel on a Purchase Option Date (the "</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w:t>
      </w:r>
    </w:p>
    <w:p>
      <w:pPr>
        <w:spacing w:after="0" w:line="104" w:lineRule="exact"/>
        <w:rPr>
          <w:sz w:val="20"/>
          <w:szCs w:val="20"/>
          <w:color w:val="auto"/>
        </w:rPr>
      </w:pPr>
    </w:p>
    <w:p>
      <w:pPr>
        <w:ind w:left="1288" w:hanging="424"/>
        <w:spacing w:after="0"/>
        <w:tabs>
          <w:tab w:leader="none" w:pos="1288"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Purchase Option Date is a Hire Payment Date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74"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Total Loss having occurred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3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and which is continuing or would occur as a result of such early termination.</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3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Option Notice, once given, shall be irrevocable and, unless with the Owners approve otherwise in writing, the Charterers shall have absolute obligation to pay the Purchase Option Price on the declared Purchase Option Date. Upon receipt of full payment of the Purchase Option Price on the Purchase Option Date, the Owners shall arrange for the title of the Vessel to be transferred to the Charterers in accordance with paragraphs (d) to (h) below.</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Purchase obligation</w:t>
      </w:r>
    </w:p>
    <w:p>
      <w:pPr>
        <w:spacing w:after="0" w:line="154" w:lineRule="exact"/>
        <w:rPr>
          <w:sz w:val="20"/>
          <w:szCs w:val="20"/>
          <w:color w:val="auto"/>
        </w:rPr>
      </w:pPr>
    </w:p>
    <w:p>
      <w:pPr>
        <w:jc w:val="both"/>
        <w:ind w:left="868" w:hanging="436"/>
        <w:spacing w:after="0" w:line="265" w:lineRule="auto"/>
        <w:tabs>
          <w:tab w:leader="none" w:pos="868" w:val="left"/>
        </w:tabs>
        <w:numPr>
          <w:ilvl w:val="0"/>
          <w:numId w:val="3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Charterers do not exercise the option to purchase the Vessel prior to the expiry of the Charter Period in accordance with the preceding provisions of this Clause 52, the Charterers shall be obligated to pay the Purchase Obligation Price and purchase the Vessel from the Owners on the last day of the Charter Period in accordance with paragraphs (d) to (h) below against the full payment of the Purchase Obligation Price and all other amounts payable to the Owners under the Transaction Documents.</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Transfer of title</w:t>
      </w:r>
    </w:p>
    <w:p>
      <w:pPr>
        <w:spacing w:after="0" w:line="154" w:lineRule="exact"/>
        <w:rPr>
          <w:sz w:val="20"/>
          <w:szCs w:val="20"/>
          <w:color w:val="auto"/>
        </w:rPr>
      </w:pPr>
    </w:p>
    <w:p>
      <w:pPr>
        <w:ind w:left="5588" w:right="5600" w:hanging="5156"/>
        <w:spacing w:after="0" w:line="530" w:lineRule="auto"/>
        <w:tabs>
          <w:tab w:leader="none" w:pos="1302" w:val="left"/>
        </w:tabs>
        <w:numPr>
          <w:ilvl w:val="0"/>
          <w:numId w:val="3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(as and where applicable) upon the Owners’ receipt in full of the Termination Sum, or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78040"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76" w:name="page277"/>
    <w:bookmarkEnd w:id="276"/>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2160" w:hanging="428"/>
        <w:spacing w:after="0" w:line="258" w:lineRule="auto"/>
        <w:tabs>
          <w:tab w:leader="none" w:pos="2160" w:val="left"/>
        </w:tabs>
        <w:numPr>
          <w:ilvl w:val="0"/>
          <w:numId w:val="3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a Termination Event) upon (i) the Owners’ receipt of the full payment of the Purchase Option Price on the Purchase Option Date or (ii) full payment of the Purchase Obligation Price on the last day of the Charter Period,</w:t>
      </w:r>
    </w:p>
    <w:p>
      <w:pPr>
        <w:spacing w:after="0" w:line="123"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and subject to payment of all Unpaid Sum under the Transaction Documents and Unpaid Sum (as such terms is defined in each Related Charter) under the Related Transaction Documents and the Charterers’ compliance with the other terms and conditions set out in this Clause, the Owners shall do the following:</w:t>
      </w:r>
    </w:p>
    <w:p>
      <w:pPr>
        <w:spacing w:after="0" w:line="111" w:lineRule="exact"/>
        <w:rPr>
          <w:sz w:val="20"/>
          <w:szCs w:val="20"/>
          <w:color w:val="auto"/>
        </w:rPr>
      </w:pPr>
    </w:p>
    <w:p>
      <w:pPr>
        <w:ind w:left="860" w:hanging="424"/>
        <w:spacing w:after="0"/>
        <w:tabs>
          <w:tab w:leader="none" w:pos="860"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title to and ownership of the Vessel to the Charterers by delivering to the Charterers (in each case at the Charterers' costs):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and acknowledged, notarised, legalised and/or apostilled (each to the extent compulsorily required by the Charterers' nominated flag state and as applicable) bill of sale;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Transfer PDA and such other documents as the Charterers may in good faith require to register the Vessel in their name;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3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procure the deletion of any mortgage or prior Encumbrance created by the Owners in relation to the Vessel at the Charterers' cost and provide a copy of the Vessel's certificate of ownership and encumbrance from the registries dated the date of delivery evidencing that the Vessel is free from registered encumbrances and mortgages,</w:t>
      </w:r>
    </w:p>
    <w:p>
      <w:pPr>
        <w:spacing w:after="0" w:line="107"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provided always </w:t>
      </w:r>
      <w:r>
        <w:rPr>
          <w:rFonts w:ascii="Times New Roman" w:cs="Times New Roman" w:eastAsia="Times New Roman" w:hAnsi="Times New Roman"/>
          <w:sz w:val="12"/>
          <w:szCs w:val="12"/>
          <w:color w:val="auto"/>
        </w:rPr>
        <w:t>that prior to such transfer or deletion (as the case may be), the Owners shall have received the letter of indemnity as referred to in paragraph (g) below from the Charterers and the Charter Guarantor,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have performed all their obligations in connection herewith and with the Vessel, including without limitation the full payment of all Unpaid Sums, Taxes, charges, duties, costs and disbursements (including reasonable and documented legal fees) in relation to the Vessel.</w:t>
      </w:r>
    </w:p>
    <w:p>
      <w:pPr>
        <w:spacing w:after="0" w:line="118" w:lineRule="exact"/>
        <w:rPr>
          <w:sz w:val="20"/>
          <w:szCs w:val="20"/>
          <w:color w:val="auto"/>
        </w:rPr>
      </w:pPr>
    </w:p>
    <w:p>
      <w:pPr>
        <w:jc w:val="both"/>
        <w:ind w:left="440" w:hanging="436"/>
        <w:spacing w:after="0" w:line="265" w:lineRule="auto"/>
        <w:tabs>
          <w:tab w:leader="none" w:pos="440"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in accordance with paragraph (d) above shall be made in all respects at the Charterers' expense on an "as is, where is" basis and the Owners shall give the Charterers no representations, warranties, agreements or guarantees whatsoever concerning or in connection with the Vessel, the Insurances, the Vessel's condition, state or class or anything related to the Vessel, expressed or implied, statutory or otherwise save that the Vessel is free of mortgages, liens and encumbrances created by the Owners.</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no responsibility for the registrability of a bill of sale referred to in paragraph (d) above executed by the Owners, as far as such bill of sale is prescribed in forms generally acceptable to the Vessel's registry at the date of execution of such bill of sale.</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prior to the receipt of the bill of sale referred to in paragraph (d) above, furnish the Owners with a letter of indemnity (in a form satisfactory to the Owners in good faith and with a validity period not less than 12 months from delivery of the Vessel evidenced by the duly executed Title Transfer PDA) duly executed by the Charter Guarantor whereby the Charter Guarantor shall state that, among other things, the Owners have and will have no interest, concern or connection with the Vessel after the date of such letter and that the Charter Guarantor shall indemnify the Owners and keep the Owners indemnified against any claims made by any person arising in connection with the Vessel.</w:t>
      </w:r>
    </w:p>
    <w:p>
      <w:pPr>
        <w:spacing w:after="0" w:line="12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3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chartering of the Vessel is terminated in accordance with this Clause 52, the obligation of the Charterers to pay the Hire shall cease once the Charterers have paid the relevant Purchase Option Price, Purchase Obligation Price, or the Termination Sum (as applicable) and any other sums payable by the Charterers to the Owners as required hereunder.</w:t>
      </w:r>
    </w:p>
    <w:p>
      <w:pPr>
        <w:spacing w:after="0" w:line="111"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277" w:name="page278"/>
    <w:bookmarkEnd w:id="27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3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i w:val="1"/>
          <w:iCs w:val="1"/>
          <w:color w:val="auto"/>
        </w:rPr>
        <w:t>Early Prepayment Event</w:t>
      </w:r>
    </w:p>
    <w:p>
      <w:pPr>
        <w:spacing w:after="0" w:line="154" w:lineRule="exact"/>
        <w:rPr>
          <w:sz w:val="20"/>
          <w:szCs w:val="20"/>
          <w:color w:val="auto"/>
        </w:rPr>
      </w:pPr>
    </w:p>
    <w:p>
      <w:pPr>
        <w:ind w:left="868" w:hanging="436"/>
        <w:spacing w:after="0"/>
        <w:tabs>
          <w:tab w:leader="none" w:pos="868" w:val="left"/>
        </w:tabs>
        <w:numPr>
          <w:ilvl w:val="0"/>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during the Agreement Term, a Charter Guarantor Change of Control Event occurs, then:</w:t>
      </w:r>
    </w:p>
    <w:p>
      <w:pPr>
        <w:spacing w:after="0" w:line="150"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1"/>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notify the Owners;</w:t>
      </w:r>
    </w:p>
    <w:p>
      <w:pPr>
        <w:spacing w:after="0" w:line="148" w:lineRule="exact"/>
        <w:rPr>
          <w:rFonts w:ascii="Times New Roman" w:cs="Times New Roman" w:eastAsia="Times New Roman" w:hAnsi="Times New Roman"/>
          <w:sz w:val="12"/>
          <w:szCs w:val="12"/>
          <w:color w:val="auto"/>
        </w:rPr>
      </w:pPr>
    </w:p>
    <w:p>
      <w:pPr>
        <w:jc w:val="both"/>
        <w:ind w:left="1268" w:hanging="431"/>
        <w:spacing w:after="0" w:line="261" w:lineRule="auto"/>
        <w:tabs>
          <w:tab w:leader="none" w:pos="1268" w:val="left"/>
        </w:tabs>
        <w:numPr>
          <w:ilvl w:val="1"/>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no Total Loss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having occurred and no Termination Event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having occurred and being continuing, and regardless of whether the notice referred to in paragraph (A) above has been received by the Owners, the Owners may (but shall not be obliged to) notify the Charterers of its intention to terminate the Charter and require the transfer of title to the Vessel from the Owners to the Charterers in exchange for payment by the Charterers to the Owners of the Termination Sum within 15 days from receipt of such Owners’ notification or on such later date specified by the Owners in writing; and</w:t>
      </w:r>
    </w:p>
    <w:p>
      <w:pPr>
        <w:spacing w:after="0" w:line="121" w:lineRule="exact"/>
        <w:rPr>
          <w:rFonts w:ascii="Times New Roman" w:cs="Times New Roman" w:eastAsia="Times New Roman" w:hAnsi="Times New Roman"/>
          <w:sz w:val="12"/>
          <w:szCs w:val="12"/>
          <w:color w:val="auto"/>
        </w:rPr>
      </w:pPr>
    </w:p>
    <w:p>
      <w:pPr>
        <w:ind w:left="1268" w:hanging="431"/>
        <w:spacing w:after="0"/>
        <w:tabs>
          <w:tab w:leader="none" w:pos="1268" w:val="left"/>
        </w:tabs>
        <w:numPr>
          <w:ilvl w:val="1"/>
          <w:numId w:val="3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the Termination Sum pursuant to the above.</w:t>
      </w:r>
    </w:p>
    <w:p>
      <w:pPr>
        <w:spacing w:after="0" w:line="150" w:lineRule="exact"/>
        <w:rPr>
          <w:sz w:val="20"/>
          <w:szCs w:val="20"/>
          <w:color w:val="auto"/>
        </w:rPr>
      </w:pPr>
    </w:p>
    <w:p>
      <w:pPr>
        <w:ind w:left="868" w:right="20"/>
        <w:spacing w:after="0" w:line="279" w:lineRule="auto"/>
        <w:rPr>
          <w:sz w:val="20"/>
          <w:szCs w:val="20"/>
          <w:color w:val="auto"/>
        </w:rPr>
      </w:pPr>
      <w:r>
        <w:rPr>
          <w:rFonts w:ascii="Times New Roman" w:cs="Times New Roman" w:eastAsia="Times New Roman" w:hAnsi="Times New Roman"/>
          <w:sz w:val="12"/>
          <w:szCs w:val="12"/>
          <w:color w:val="auto"/>
        </w:rPr>
        <w:t>For the avoidance of doubt, Hire shall in any event continue to be payable for the full period and this Charter shall otherwise continue to be in full force and effect until the Termination Sum has been received in full by the Owners.</w:t>
      </w:r>
    </w:p>
    <w:p>
      <w:pPr>
        <w:spacing w:after="0" w:line="107" w:lineRule="exact"/>
        <w:rPr>
          <w:sz w:val="20"/>
          <w:szCs w:val="20"/>
          <w:color w:val="auto"/>
        </w:rPr>
      </w:pPr>
    </w:p>
    <w:p>
      <w:pPr>
        <w:ind w:left="428" w:hanging="428"/>
        <w:spacing w:after="0"/>
        <w:tabs>
          <w:tab w:leader="none" w:pos="428" w:val="left"/>
        </w:tabs>
        <w:numPr>
          <w:ilvl w:val="0"/>
          <w:numId w:val="35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Total Loss</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0" w:lineRule="auto"/>
        <w:tabs>
          <w:tab w:leader="none" w:pos="86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circumstances exist giving rise to a Total Loss, the Charterers shall promptly notify the Owners of the facts of such Total Loss. If the Charterers wish to proceed on the basis of a Total Loss and advise the Owners thereof, the Owners shall agree to the Vessel being treated as a Total Loss for all purposes of this Charter. The Owners shall thereupon abandon the Vessel to the Charterers and/or execute such documents as may be required to enable the Charterers to abandon the Vessel to insurers and claim a Total Loss. Without prejudice to the obligations of the Charterers to pay to the Owners all monies then due or thereafter to become due under this Charter, if the Vessel shall become a Total Loss during the Charter Period, the Charter Period shall end on the Settlement Date.</w:t>
      </w:r>
    </w:p>
    <w:p>
      <w:pPr>
        <w:spacing w:after="0" w:line="12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becomes a Total Loss during the Charter Period, the Charterers shall, on the Settlement Date, pay to the Owners the amount calculated in accordance with paragraph (c) below.</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5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the Settlement Date, the Charterers shall pay to the Owners an amount equal to the Termination Sum as at the applicable Termination Payment Date. The foregoing obligations of the Charterers under this paragraph</w:t>
      </w:r>
    </w:p>
    <w:p>
      <w:pPr>
        <w:spacing w:after="0" w:line="28" w:lineRule="exact"/>
        <w:rPr>
          <w:rFonts w:ascii="Times New Roman" w:cs="Times New Roman" w:eastAsia="Times New Roman" w:hAnsi="Times New Roman"/>
          <w:sz w:val="11"/>
          <w:szCs w:val="11"/>
          <w:color w:val="auto"/>
        </w:rPr>
      </w:pPr>
    </w:p>
    <w:p>
      <w:pPr>
        <w:ind w:left="868"/>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(c) shall apply regardless of whether or not any moneys are payable under any Insurances in respect of the Vessel, regardless of the amount payable thereunder, regardless of the cause of the Total Loss and regardless of whether or not any of the said compensation shall become payable.</w:t>
      </w:r>
    </w:p>
    <w:p>
      <w:pPr>
        <w:spacing w:after="0" w:line="120" w:lineRule="exact"/>
        <w:rPr>
          <w:rFonts w:ascii="Times New Roman" w:cs="Times New Roman" w:eastAsia="Times New Roman" w:hAnsi="Times New Roman"/>
          <w:sz w:val="11"/>
          <w:szCs w:val="11"/>
          <w:color w:val="auto"/>
        </w:rPr>
      </w:pPr>
    </w:p>
    <w:p>
      <w:pPr>
        <w:ind w:left="868" w:hanging="436"/>
        <w:spacing w:after="0"/>
        <w:tabs>
          <w:tab w:leader="none" w:pos="86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Total Loss Proceeds shall be paid to such account or accounts as the Owners 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52"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Owners' request, provide satisfactory evidence, in the reasonable opinion of the Owners, as to the date on which the constructive total loss of the Vessel occurred pursuant to the definition of Total Loss.</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continue to pay Hire on the days and in the amounts required under this Charter notwithstanding that the Vessel shall become a Total Loss provided always that no further instalments of Hire shall become due and payable after the Charterers have made the payment pursuant to paragraph (c) above.</w:t>
      </w:r>
    </w:p>
    <w:p>
      <w:pPr>
        <w:spacing w:after="0" w:line="1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78" w:name="page279"/>
    <w:bookmarkEnd w:id="278"/>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28" w:hanging="428"/>
        <w:spacing w:after="0"/>
        <w:tabs>
          <w:tab w:leader="none" w:pos="428" w:val="left"/>
        </w:tabs>
        <w:numPr>
          <w:ilvl w:val="0"/>
          <w:numId w:val="3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Appointment of Approved Manager</w:t>
      </w:r>
    </w:p>
    <w:p>
      <w:pPr>
        <w:spacing w:after="0" w:line="138" w:lineRule="exact"/>
        <w:rPr>
          <w:rFonts w:ascii="Times New Roman" w:cs="Times New Roman" w:eastAsia="Times New Roman" w:hAnsi="Times New Roman"/>
          <w:sz w:val="12"/>
          <w:szCs w:val="12"/>
          <w:b w:val="1"/>
          <w:bCs w:val="1"/>
          <w:color w:val="auto"/>
        </w:rPr>
      </w:pPr>
    </w:p>
    <w:p>
      <w:pPr>
        <w:ind w:left="868" w:right="20" w:hanging="436"/>
        <w:spacing w:after="0" w:line="279" w:lineRule="auto"/>
        <w:tabs>
          <w:tab w:leader="none" w:pos="86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and shall procure the Approved Managers will not appoint anyone other than the Approved Managers as managers or sub-manager of the Vessel without the prior written consent of the Owners (such consent not to be unreasonably withheld or delayed).</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ensure that the Vessel is at all times managed by the Approved Managers pursuant to the Ship Management Agreements as approved by the Owners in writing in advance.</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Managers shall provide a Manager's Undertaking (in such form as the Owners may reasonably require) and, unless the Owners approve otherwise, the Manager's Undertaking shall in express terms confirm and undertake (among other things) that all claims of the Approved Managers against the Charterers (other than any Permitted Credit as such term is defined in the relevant Manager's Undertakings) shall be subordinated to the claims of the Owners under the Transaction Documents.</w:t>
      </w:r>
    </w:p>
    <w:p>
      <w:pPr>
        <w:spacing w:after="0" w:line="118"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a Termination Event and while the same is continuing, the Owners reserves the right to appoint such other ship management company as replacement for any Approved Manager which the Charterers may appoint.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Fees and expenses</w:t>
      </w:r>
    </w:p>
    <w:p>
      <w:pPr>
        <w:spacing w:after="0" w:line="154" w:lineRule="exact"/>
        <w:rPr>
          <w:rFonts w:ascii="Times New Roman" w:cs="Times New Roman" w:eastAsia="Times New Roman" w:hAnsi="Times New Roman"/>
          <w:sz w:val="12"/>
          <w:szCs w:val="12"/>
          <w:b w:val="1"/>
          <w:bCs w:val="1"/>
          <w:color w:val="auto"/>
        </w:rPr>
      </w:pPr>
    </w:p>
    <w:p>
      <w:pPr>
        <w:ind w:left="848" w:hanging="425"/>
        <w:spacing w:after="0" w:line="279" w:lineRule="auto"/>
        <w:tabs>
          <w:tab w:leader="none" w:pos="84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upon signing of this Charter, the Charterers shall pay to the Owners a non-refundable arrangement fee in an amount of US$445,000 (Dollars Four Hundred Forty Five Thousand only), which equals to one percent (1%) of the Original Principle (the "</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costs, fees (including documented legal fees) and disbursements reasonably incurred by the Owners and the Charterers in connection with:</w:t>
      </w:r>
    </w:p>
    <w:p>
      <w:pPr>
        <w:spacing w:after="0" w:line="150" w:lineRule="exact"/>
        <w:rPr>
          <w:rFonts w:ascii="Times New Roman" w:cs="Times New Roman" w:eastAsia="Times New Roman" w:hAnsi="Times New Roman"/>
          <w:sz w:val="12"/>
          <w:szCs w:val="12"/>
          <w:color w:val="auto"/>
        </w:rPr>
      </w:pPr>
    </w:p>
    <w:p>
      <w:pPr>
        <w:ind w:left="1268" w:hanging="404"/>
        <w:spacing w:after="0" w:line="279" w:lineRule="auto"/>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preparation and execution of this Charter and the other Transaction Documents or any Related Transaction Documents (in respect of the Related Charter listed in Schedule 3 hereto) and any amendment thereto (in an aggregate amount not exceeding US$100,000);</w:t>
      </w:r>
    </w:p>
    <w:p>
      <w:pPr>
        <w:spacing w:after="0" w:line="111"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under the MOA and this Charter, including, without limitation, the Registration Costs, the initial and annual registration fees and tonnage tax payable to the relevant ship registry;</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remaining terms of this Charter, preparation or procurement of any survey, inspection, Valuation Report, tax or insurance advice;</w:t>
      </w:r>
    </w:p>
    <w:p>
      <w:pPr>
        <w:spacing w:after="0" w:line="148"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exercising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activities relevant to the transaction contemplated herein, subject to any terms which may be agreed between the Owners and the Charterers in relation to any fees.</w:t>
      </w:r>
    </w:p>
    <w:p>
      <w:pPr>
        <w:spacing w:after="0" w:line="150" w:lineRule="exact"/>
        <w:rPr>
          <w:rFonts w:ascii="Times New Roman" w:cs="Times New Roman" w:eastAsia="Times New Roman" w:hAnsi="Times New Roman"/>
          <w:sz w:val="12"/>
          <w:szCs w:val="12"/>
          <w:color w:val="auto"/>
        </w:rPr>
      </w:pPr>
    </w:p>
    <w:p>
      <w:pPr>
        <w:ind w:left="848" w:hanging="416"/>
        <w:spacing w:after="0"/>
        <w:tabs>
          <w:tab w:leader="none" w:pos="848" w:val="left"/>
        </w:tabs>
        <w:numPr>
          <w:ilvl w:val="1"/>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any of the Delivery Costs from time to time; and</w:t>
      </w:r>
    </w:p>
    <w:p>
      <w:pPr>
        <w:spacing w:after="0" w:line="150" w:lineRule="exact"/>
        <w:rPr>
          <w:rFonts w:ascii="Times New Roman" w:cs="Times New Roman" w:eastAsia="Times New Roman" w:hAnsi="Times New Roman"/>
          <w:sz w:val="12"/>
          <w:szCs w:val="12"/>
          <w:color w:val="auto"/>
        </w:rPr>
      </w:pPr>
    </w:p>
    <w:p>
      <w:pPr>
        <w:ind w:left="1268" w:hanging="404"/>
        <w:spacing w:after="0" w:line="279" w:lineRule="auto"/>
        <w:tabs>
          <w:tab w:leader="none" w:pos="1268" w:val="left"/>
        </w:tabs>
        <w:numPr>
          <w:ilvl w:val="2"/>
          <w:numId w:val="3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promptly on the Owners' written demand the amount of all costs and expenses (including legal fees) incurred by the Owners in connection with the enforcement of, or the preservation of any rights under, any Transaction Document.</w:t>
      </w:r>
    </w:p>
    <w:p>
      <w:pPr>
        <w:spacing w:after="0" w:line="1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79" w:name="page280"/>
    <w:bookmarkEnd w:id="279"/>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28" w:hanging="428"/>
        <w:spacing w:after="0"/>
        <w:tabs>
          <w:tab w:leader="none" w:pos="428" w:val="left"/>
        </w:tabs>
        <w:numPr>
          <w:ilvl w:val="0"/>
          <w:numId w:val="3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Stamp duties and Taxes</w:t>
      </w:r>
    </w:p>
    <w:p>
      <w:pPr>
        <w:spacing w:after="0" w:line="138"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shall pay promptly but in any event within ten (10) Business Days (or other period as may be agreed by both parties) of demand all stamp, documentary or other like duties and Taxes to which the Charter, the MOA and the other Transaction Documents may be subject or give rise and shall indemnify the Owners within ten (10) Business Days of demand against any and all liabilities directly arising with respect to or resulting from any delay on the part of the Charterers to pay such duties or Taxes.</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Operational notifiable events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are to be advised as soon as possible after the occurrence of any of the following events:</w:t>
      </w:r>
    </w:p>
    <w:p>
      <w:pPr>
        <w:spacing w:after="0" w:line="150" w:lineRule="exact"/>
        <w:rPr>
          <w:rFonts w:ascii="Times New Roman" w:cs="Times New Roman" w:eastAsia="Times New Roman" w:hAnsi="Times New Roman"/>
          <w:sz w:val="12"/>
          <w:szCs w:val="12"/>
          <w:color w:val="auto"/>
        </w:rPr>
      </w:pPr>
    </w:p>
    <w:p>
      <w:pPr>
        <w:ind w:left="1268" w:hanging="404"/>
        <w:spacing w:after="0"/>
        <w:tabs>
          <w:tab w:leader="none" w:pos="126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material condition of class is applied by the Classification Society which is not promptly complied with taking into account any applicable grace period;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arrested, confiscated, seized, requisitioned, impounded, forfeited or detained by any government or other competent authorities or any other persons for a period of at least two (2) days;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 class or flag authority refuses to issue or withdraw trading certification;</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fire requiring the use of fixed fire systems or collision / grounding provided such events exceed the Threshold Amount;</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planned for dry-docking, whether in accordance with Clause 10(g) (Part II) or any Sub-Charter and whether routine or emergency;</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material alteration and/or damage to the Vessel in excess of the Threshold Amount;</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taken under tow save for any routine towage (including when leaving or entering a port);</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death or serious injury on board;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Incident provided such incident has a Material Adverse Effect.</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upon the Owners' written request, supply to the Owners annual in-house full ship inspection report by the end of each calendar year.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5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indemnities</w:t>
      </w:r>
    </w:p>
    <w:p>
      <w:pPr>
        <w:spacing w:after="0" w:line="152" w:lineRule="exact"/>
        <w:rPr>
          <w:rFonts w:ascii="Times New Roman" w:cs="Times New Roman" w:eastAsia="Times New Roman" w:hAnsi="Times New Roman"/>
          <w:sz w:val="12"/>
          <w:szCs w:val="12"/>
          <w:b w:val="1"/>
          <w:bCs w:val="1"/>
          <w:color w:val="auto"/>
        </w:rPr>
      </w:pPr>
    </w:p>
    <w:p>
      <w:pPr>
        <w:jc w:val="both"/>
        <w:ind w:left="868" w:hanging="436"/>
        <w:spacing w:after="0" w:line="257" w:lineRule="auto"/>
        <w:tabs>
          <w:tab w:leader="none" w:pos="868" w:val="left"/>
        </w:tabs>
        <w:numPr>
          <w:ilvl w:val="1"/>
          <w:numId w:val="3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of the transactions contemplated hereby are consummated, the Charterers shall, in addition to the provisions under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of this Charter, indemnify, protect, defend and hold harmless the Owners, the Security Trustee and the Finance Parties and their respective officers, directors, agents and employees (collectively, the "</w:t>
      </w:r>
      <w:r>
        <w:rPr>
          <w:rFonts w:ascii="Times New Roman" w:cs="Times New Roman" w:eastAsia="Times New Roman" w:hAnsi="Times New Roman"/>
          <w:sz w:val="12"/>
          <w:szCs w:val="12"/>
          <w:b w:val="1"/>
          <w:bCs w:val="1"/>
          <w:color w:val="auto"/>
        </w:rPr>
        <w:t>Indemnitees</w:t>
      </w:r>
      <w:r>
        <w:rPr>
          <w:rFonts w:ascii="Times New Roman" w:cs="Times New Roman" w:eastAsia="Times New Roman" w:hAnsi="Times New Roman"/>
          <w:sz w:val="12"/>
          <w:szCs w:val="12"/>
          <w:color w:val="auto"/>
        </w:rPr>
        <w:t>") (without duplication with any payment or insurance proceeds paid to the Indemnitees) throughout the Agreement Term from, against and in respect of, any and all liabilities, obligations, losses, damages, penalties, fines, documented fees, claims, actions, proceedings, judgement, order or other sanction, lien, salvage, general average, suits, documented costs, expenses and disbursements, including reasonable legal fees and expenses, of whatsoever kind and nature, other than taxes imposed on the overall gross income of the Indemnitees, (collectively, the "</w:t>
      </w:r>
      <w:r>
        <w:rPr>
          <w:rFonts w:ascii="Times New Roman" w:cs="Times New Roman" w:eastAsia="Times New Roman" w:hAnsi="Times New Roman"/>
          <w:sz w:val="12"/>
          <w:szCs w:val="12"/>
          <w:b w:val="1"/>
          <w:bCs w:val="1"/>
          <w:color w:val="auto"/>
        </w:rPr>
        <w:t>Expenses</w:t>
      </w:r>
      <w:r>
        <w:rPr>
          <w:rFonts w:ascii="Times New Roman" w:cs="Times New Roman" w:eastAsia="Times New Roman" w:hAnsi="Times New Roman"/>
          <w:sz w:val="12"/>
          <w:szCs w:val="12"/>
          <w:color w:val="auto"/>
        </w:rPr>
        <w:t>"), imposed on, suffered or incurred by or asserted against any Indemnitee, in any way relating to, resulting from or arising out of or in connection with, in each case, directly or indirectly, any one or more of the following:</w:t>
      </w:r>
    </w:p>
    <w:p>
      <w:pPr>
        <w:spacing w:after="0" w:line="12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0" w:name="page281"/>
    <w:bookmarkEnd w:id="280"/>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24" w:hanging="424"/>
        <w:spacing w:after="0"/>
        <w:tabs>
          <w:tab w:leader="none" w:pos="424"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and any other Transaction Documents and any amendment, supplement or modification thereof or thereto pursuant to the terms of this Charter or requested by the Charterers;</w:t>
      </w:r>
    </w:p>
    <w:p>
      <w:pPr>
        <w:spacing w:after="0" w:line="138"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or any part thereof, including with respect to:</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design, possession, use or non-use, operation, maintenance, testing, repair, overhaul, condition, alteration, modification, addition, improvement, storage, seaworthiness, replacement, repair of the Vessel or any part (including, in each case, latent or other defects, whether or not discoverable and any claim for patent, trademark, or copyright infringement and all liabilities, obligations, losses, damages and claims in any way relating to or arising out of spillage of cargo or fuel, out of injury to persons, properties or the environment or strict liability in tort);</w:t>
      </w:r>
    </w:p>
    <w:p>
      <w:pPr>
        <w:spacing w:after="0" w:line="11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or penalty arising out of violations of applicable law by the Charterers, the Sub-Charterers or any other sub-charterers;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death or property damage of shippers or others;</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in respect of the Vessel or any part thereof including, without limitation, liens arising out of or in connection with any cargo claims (whether or not such claims arose prior to or during the Charter Period) but excluding any liens arising out of or in connection with a direct act or omission of the Owners;</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registration and/or tonnage fees (whether periodic or not) in respect of the Vessel payable to any registry of ships and any service fees payable to any service provider in relation to maintaining such registration at any registry of ships; 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claims in relation to any loss or damage to cargo on board the Vessel during the Charter Period;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expenses suffered or incurred by the Owners which arise under or in connection with any applicable Environmental Law or any applicable Sanctions or any claim or penalty arising out of Sanctions or violations of applicable law by any of the Obligors, or any Sub-charterers;</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or failure to perform or observe, or any other non-compliance with, any covenant or agreement or other obligation to be performed by the Charterers under any Transaction Document to which it is a party or the falsity of any representation or warranty of the Charterers in any Transaction Document to which it is a party or the occurrence of any Termination Event;</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preventing or attempting to prevent the arrest, confiscation, seizure, taking and execution, requisition, impounding, forfeiture or detention of the Vessel, or in securing or attempting to secure the release of the Vessel in connection with the exercise of the rights of a holder of a lien created by the Charterers;</w:t>
      </w:r>
    </w:p>
    <w:p>
      <w:pPr>
        <w:spacing w:after="0" w:line="111"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incurred or suffered by the Owners in:</w:t>
      </w:r>
    </w:p>
    <w:p>
      <w:pPr>
        <w:spacing w:after="0" w:line="14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procuring the delivery of the Vessel to the Charterers under Clause 35 (</w:t>
      </w:r>
      <w:r>
        <w:rPr>
          <w:rFonts w:ascii="Times New Roman" w:cs="Times New Roman" w:eastAsia="Times New Roman" w:hAnsi="Times New Roman"/>
          <w:sz w:val="12"/>
          <w:szCs w:val="12"/>
          <w:i w:val="1"/>
          <w:iCs w:val="1"/>
          <w:color w:val="auto"/>
        </w:rPr>
        <w:t>Delivery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3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non-delivery to or acceptance by the Charterers of the Vessel under this Charter;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281" w:name="page282"/>
    <w:bookmarkEnd w:id="281"/>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1728" w:hanging="432"/>
        <w:spacing w:after="0"/>
        <w:tabs>
          <w:tab w:leader="none" w:pos="1728" w:val="left"/>
        </w:tabs>
        <w:numPr>
          <w:ilvl w:val="3"/>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recovering possession of the Vessel following termination of this Charter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38"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redelivery of the Vessel at the expiry of the Charter Period;</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from the Master or officers of the Vessel or the Charterers' agents signing bills of lading or other documents;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w:t>
      </w:r>
    </w:p>
    <w:p>
      <w:pPr>
        <w:spacing w:after="0" w:line="150" w:lineRule="exact"/>
        <w:rPr>
          <w:rFonts w:ascii="Times New Roman" w:cs="Times New Roman" w:eastAsia="Times New Roman" w:hAnsi="Times New Roman"/>
          <w:sz w:val="12"/>
          <w:szCs w:val="12"/>
          <w:color w:val="auto"/>
        </w:rPr>
      </w:pPr>
    </w:p>
    <w:p>
      <w:pPr>
        <w:ind w:left="1728" w:hanging="432"/>
        <w:spacing w:after="0"/>
        <w:tabs>
          <w:tab w:leader="none" w:pos="1728" w:val="left"/>
        </w:tabs>
        <w:numPr>
          <w:ilvl w:val="3"/>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arrest, seizure, taking into custody or other detention by any court or other tribunal or by any governmental entity; or</w:t>
      </w:r>
    </w:p>
    <w:p>
      <w:pPr>
        <w:spacing w:after="0" w:line="150" w:lineRule="exact"/>
        <w:rPr>
          <w:rFonts w:ascii="Times New Roman" w:cs="Times New Roman" w:eastAsia="Times New Roman" w:hAnsi="Times New Roman"/>
          <w:sz w:val="12"/>
          <w:szCs w:val="12"/>
          <w:color w:val="auto"/>
        </w:rPr>
      </w:pPr>
    </w:p>
    <w:p>
      <w:pPr>
        <w:jc w:val="both"/>
        <w:ind w:left="1728" w:hanging="432"/>
        <w:spacing w:after="0" w:line="265" w:lineRule="auto"/>
        <w:tabs>
          <w:tab w:leader="none" w:pos="1728" w:val="left"/>
        </w:tabs>
        <w:numPr>
          <w:ilvl w:val="3"/>
          <w:numId w:val="3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subjection to distress by reason of any process, claim, exercise of any rights conferred by a lien or by any other action whatsoever, of the Vessel which are expended, suffered or incurred as a result of or in connection with any claim or against, or liability of, the Charterers or any other member of the Charter Group, together with any documented costs and expenses or other outgoings which may be paid or incurred by the Owners in releasing the Vessel from any such arrest, seizure, custody, detention or distress.</w:t>
      </w:r>
    </w:p>
    <w:p>
      <w:pPr>
        <w:spacing w:after="0" w:line="118"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promptly on the Owners written demand within ten (10) Business Days the amount of all documented costs and expenses (including legal fees) incurred by the Owners in connection with the enforcement of, or the preservation of any rights under, any Transaction Document including (without limitation) (i) any documented losses, costs and expenses which the Owners may from time to time sustain, incur or become liable for by reason of the Owners being deemed by any court or authority to be an operator, or in any way concerned in the operation, of the Vessel and (ii) collecting and recovering the proceeds of any claim under any of the Insurances.</w:t>
      </w:r>
    </w:p>
    <w:p>
      <w:pPr>
        <w:spacing w:after="0" w:line="122"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3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right to damages or other claim which either party may, at any time, have against the other hereunder, it is hereby agreed and declared that the indemnities of the Owners by the Charterers contained in this Charter shall continue to have full force and effect notwithstanding any termination, cancellation or expiration of this Charter for a further period of 12 months following such termination, cancellation or expiration.</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assurances and undertakings</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and shall procure each of the other Obligor will, make all applications and execute all other documents and do all other acts and things as may be necessary to implement and to carry out their obligations under, and the intent of, this Charter.</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act in good faith to each other in respect of any dealings or matters under, or in connection with,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Cumulative rights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rights, powers and remedies provided in this Charter are cumulative and not exclusive of any rights, powers or remedies at law or in equity unless specifically otherwise stated.</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waiver</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 delay, failure or forbearance by a party to exercise (in whole or in part) any right, power or remedy under, or in connection with, this Charter will operate as a waiver. No waiver of any breach of any provision of this Charter will be effective unless that waiver is in writing and signed by the party against whom that waiver is claimed. No waiver of any breach will be, or be deemed to be, a waiver of any other or subsequent breach.</w:t>
      </w:r>
    </w:p>
    <w:p>
      <w:pPr>
        <w:spacing w:after="0" w:line="1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2" w:name="page283"/>
    <w:bookmarkEnd w:id="282"/>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for the other Transaction Documents and the Quiet Enjoyment Letter, this Charter contains all the understandings and agreements of whatsoever kind and nature existing between the parties in respect of this Charter, the rights, interests, undertakings agreements and obligations of the parties to this Charter and shall supersede all previous and contemporaneous negotiations and agreements.</w:t>
      </w:r>
    </w:p>
    <w:p>
      <w:pPr>
        <w:spacing w:after="0" w:line="111"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may not be amended, altered or modified except by a written instrument executed by each of the parties to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Invalidity</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any term or provision of this Charter or the application thereof to any person or circumstances shall to any extent be invalid or unenforceable the remainder of this Charter or application of such term or provision to persons or circumstances (other than those as to which it is already invalid or unenforceable) shall (to the extent that such invalidity or unenforceability does not materially affect the operation of this Charter) not be affected thereby and each term and provision of this Charter shall be valid and be enforceable to the fullest extent permitted by law.</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English language</w:t>
      </w:r>
    </w:p>
    <w:p>
      <w:pPr>
        <w:spacing w:after="0" w:line="154" w:lineRule="exact"/>
        <w:rPr>
          <w:rFonts w:ascii="Times New Roman" w:cs="Times New Roman" w:eastAsia="Times New Roman" w:hAnsi="Times New Roman"/>
          <w:sz w:val="12"/>
          <w:szCs w:val="12"/>
          <w:b w:val="1"/>
          <w:bCs w:val="1"/>
          <w:color w:val="auto"/>
        </w:rPr>
      </w:pPr>
    </w:p>
    <w:p>
      <w:pPr>
        <w:ind w:left="428"/>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notices, communications and financial statements and reports under or in connection with this Charter and the other Transaction Documents shall be in English language or, if in any other language, shall be accompanied by a translation into English. In the event of any conflict between the English text and the text in any other language, the English text shall prevail.</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partnership</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Nothing in this Charter creates, constitutes or evidences any partnership, joint venture, agency, trust or employer/employee relationship between the parties, and neither party may make, or allow to be made any representation that any such relationship exists between the parties. Neither party shall have the authority to act for, or incur any obligation on behalf of, the other party, except as expressly provided in this Charter.</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154" w:lineRule="exact"/>
        <w:rPr>
          <w:rFonts w:ascii="Times New Roman" w:cs="Times New Roman" w:eastAsia="Times New Roman" w:hAnsi="Times New Roman"/>
          <w:sz w:val="12"/>
          <w:szCs w:val="12"/>
          <w:b w:val="1"/>
          <w:bCs w:val="1"/>
          <w:color w:val="auto"/>
        </w:rPr>
      </w:pPr>
    </w:p>
    <w:p>
      <w:pPr>
        <w:ind w:left="848" w:hanging="416"/>
        <w:spacing w:after="0"/>
        <w:tabs>
          <w:tab w:leader="none" w:pos="848" w:val="left"/>
        </w:tabs>
        <w:numPr>
          <w:ilvl w:val="1"/>
          <w:numId w:val="3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Owners under this Charter shall be sent in writing by courier, registered letter or email and addressed to:</w:t>
      </w:r>
    </w:p>
    <w:p>
      <w:pPr>
        <w:sectPr>
          <w:pgSz w:w="11900" w:h="16838" w:orient="portrait"/>
          <w:cols w:equalWidth="0" w:num="1">
            <w:col w:w="11308"/>
          </w:cols>
          <w:pgMar w:left="292" w:top="205" w:right="299" w:bottom="1440" w:gutter="0" w:footer="0" w:header="0"/>
        </w:sectPr>
      </w:pP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1"/>
          <w:szCs w:val="11"/>
          <w:color w:val="auto"/>
        </w:rPr>
        <w:t>Address: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3F, Building No.8, Beijing Friendship Hotel, Haidian District, Beijing, 100873, China</w:t>
      </w:r>
    </w:p>
    <w:p>
      <w:pPr>
        <w:spacing w:after="0" w:line="162" w:lineRule="exact"/>
        <w:rPr>
          <w:sz w:val="20"/>
          <w:szCs w:val="20"/>
          <w:color w:val="auto"/>
        </w:rPr>
      </w:pPr>
    </w:p>
    <w:p>
      <w:pPr>
        <w:sectPr>
          <w:pgSz w:w="11900" w:h="16838" w:orient="portrait"/>
          <w:cols w:equalWidth="0" w:num="2">
            <w:col w:w="1268" w:space="260"/>
            <w:col w:w="9780"/>
          </w:cols>
          <w:pgMar w:left="292" w:top="205" w:right="299" w:bottom="1440" w:gutter="0" w:footer="0" w:header="0"/>
          <w:type w:val="continuous"/>
        </w:sectPr>
      </w:pPr>
    </w:p>
    <w:p>
      <w:pPr>
        <w:ind w:left="848"/>
        <w:spacing w:after="0"/>
        <w:rPr>
          <w:sz w:val="20"/>
          <w:szCs w:val="20"/>
          <w:color w:val="auto"/>
        </w:rPr>
      </w:pPr>
      <w:r>
        <w:rPr>
          <w:rFonts w:ascii="Times New Roman" w:cs="Times New Roman" w:eastAsia="Times New Roman" w:hAnsi="Times New Roman"/>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 Zhao Qing / Zhu Xin</w:t>
      </w:r>
    </w:p>
    <w:p>
      <w:pPr>
        <w:spacing w:after="0" w:line="162" w:lineRule="exact"/>
        <w:rPr>
          <w:sz w:val="20"/>
          <w:szCs w:val="20"/>
          <w:color w:val="auto"/>
        </w:rPr>
      </w:pPr>
    </w:p>
    <w:p>
      <w:pPr>
        <w:sectPr>
          <w:pgSz w:w="11900" w:h="16838" w:orient="portrait"/>
          <w:cols w:equalWidth="0" w:num="2">
            <w:col w:w="1168" w:space="360"/>
            <w:col w:w="9780"/>
          </w:cols>
          <w:pgMar w:left="292" w:top="205" w:right="299" w:bottom="1440" w:gutter="0" w:footer="0" w:header="0"/>
          <w:type w:val="continuous"/>
        </w:sectPr>
      </w:pPr>
    </w:p>
    <w:p>
      <w:pPr>
        <w:ind w:left="848"/>
        <w:spacing w:after="0"/>
        <w:rPr>
          <w:sz w:val="20"/>
          <w:szCs w:val="20"/>
          <w:color w:val="auto"/>
        </w:rPr>
      </w:pPr>
      <w:r>
        <w:rPr>
          <w:rFonts w:ascii="Times New Roman" w:cs="Times New Roman" w:eastAsia="Times New Roman" w:hAnsi="Times New Roman"/>
          <w:sz w:val="11"/>
          <w:szCs w:val="1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fangzhaoqing@msfl.com.cn / zhuxin@msfl.com.cn</w:t>
      </w:r>
    </w:p>
    <w:p>
      <w:pPr>
        <w:spacing w:after="0" w:line="162" w:lineRule="exact"/>
        <w:rPr>
          <w:sz w:val="20"/>
          <w:szCs w:val="20"/>
          <w:color w:val="auto"/>
        </w:rPr>
      </w:pPr>
    </w:p>
    <w:p>
      <w:pPr>
        <w:sectPr>
          <w:pgSz w:w="11900" w:h="16838" w:orient="portrait"/>
          <w:cols w:equalWidth="0" w:num="2">
            <w:col w:w="1328" w:space="200"/>
            <w:col w:w="9780"/>
          </w:cols>
          <w:pgMar w:left="292" w:top="205" w:right="299" w:bottom="1440" w:gutter="0" w:footer="0" w:header="0"/>
          <w:type w:val="continuous"/>
        </w:sectPr>
      </w:pPr>
    </w:p>
    <w:p>
      <w:pPr>
        <w:ind w:left="848"/>
        <w:spacing w:after="0"/>
        <w:rPr>
          <w:sz w:val="20"/>
          <w:szCs w:val="20"/>
          <w:color w:val="auto"/>
        </w:rPr>
      </w:pPr>
      <w:r>
        <w:rPr>
          <w:rFonts w:ascii="Times New Roman" w:cs="Times New Roman" w:eastAsia="Times New Roman" w:hAnsi="Times New Roman"/>
          <w:sz w:val="12"/>
          <w:szCs w:val="12"/>
          <w:color w:val="auto"/>
        </w:rPr>
        <w:t>or to such other address or email address as the Owners may notify to the Charterers in accordance with this Clause 66.</w:t>
      </w:r>
    </w:p>
    <w:p>
      <w:pPr>
        <w:spacing w:after="0" w:line="150" w:lineRule="exact"/>
        <w:rPr>
          <w:sz w:val="20"/>
          <w:szCs w:val="20"/>
          <w:color w:val="auto"/>
        </w:rPr>
      </w:pPr>
    </w:p>
    <w:p>
      <w:pPr>
        <w:ind w:left="848" w:right="3860" w:hanging="416"/>
        <w:spacing w:after="0" w:line="500" w:lineRule="auto"/>
        <w:tabs>
          <w:tab w:leader="none" w:pos="843" w:val="left"/>
        </w:tabs>
        <w:numPr>
          <w:ilvl w:val="0"/>
          <w:numId w:val="3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Charterers under this Charter shall be sent in writing by courier, registered letter or email and addressed to: Address: 3-5 Menandrou street, Kifissia, Athens, 14561</w:t>
      </w:r>
    </w:p>
    <w:p>
      <w:pPr>
        <w:spacing w:after="0" w:line="1"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Email: legalconfidential@technomar.gr</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Tel: +30 2106233670</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Attention: Mrs. Maria Danezi</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to such other address, phone number or email address as the Charterers may notify to the Owners in accordance with this Clause 66.</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type w:val="continuous"/>
        </w:sectPr>
      </w:pPr>
    </w:p>
    <w:bookmarkStart w:id="283" w:name="page284"/>
    <w:bookmarkEnd w:id="283"/>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68" w:hanging="436"/>
        <w:spacing w:after="0" w:line="279" w:lineRule="auto"/>
        <w:tabs>
          <w:tab w:leader="none" w:pos="868" w:val="left"/>
        </w:tabs>
        <w:numPr>
          <w:ilvl w:val="1"/>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notice shall be deemed to have reached the party to whom it was addressed, when dispatched and acknowledged received (in case of a facsimile or an email) or when delivered (in case of courier or a registered letter). A notice or other such communication received on a non-working day or after business hours in the place of receipt shall be deemed to be served on the next following working day in such place.</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by one party to another under or in connection with the Transaction Documents may be made or delivered by electronic mail or other electronic means (including, without limitation, by way of posting to a secure website) if those two parties:</w:t>
      </w:r>
    </w:p>
    <w:p>
      <w:pPr>
        <w:spacing w:after="0" w:line="11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to be made between an Obligor and the Owners may only be made in that way to the extent that those two parties agree that, unless and until notified to the contrary, this is to be an accepted form of communication or delivery.</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made or delivered by one party to another will be effective only when actually received (or made available) in readable form and in the case of any electronic communication or document made or delivered by a party to the Owners only if it is addressed in such a manner as the Owners shall specify for this purpose.</w:t>
      </w:r>
    </w:p>
    <w:p>
      <w:pPr>
        <w:spacing w:after="0" w:line="111"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3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or document which becomes effective, in accordance with paragraph (iv) above, after 5:00 p.m. in the place in which the party to whom the relevant communication or document is sent or made available has its address for the purpose of this.</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Conflicts</w:t>
      </w:r>
    </w:p>
    <w:p>
      <w:pPr>
        <w:spacing w:after="0" w:line="152" w:lineRule="exact"/>
        <w:rPr>
          <w:rFonts w:ascii="Times New Roman" w:cs="Times New Roman" w:eastAsia="Times New Roman" w:hAnsi="Times New Roman"/>
          <w:sz w:val="12"/>
          <w:szCs w:val="12"/>
          <w:b w:val="1"/>
          <w:bCs w:val="1"/>
          <w:color w:val="auto"/>
        </w:rPr>
      </w:pPr>
    </w:p>
    <w:p>
      <w:pPr>
        <w:ind w:left="428"/>
        <w:spacing w:after="0" w:line="28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Unless stated otherwise, in the event of there being any conflict between the provisions of Clauses 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(Part II) to 31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(Part II) and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shall prevail.</w:t>
      </w:r>
    </w:p>
    <w:p>
      <w:pPr>
        <w:spacing w:after="0" w:line="10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Survival of Charterers' obligations</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termination of this Charter for any cause whatsoever shall not affect the rights of the Owners under the Transaction Documents to recover from the Charterers any money due to the Owners in consequence thereof pursuant and subject to the terms hereof and all other rights of the Owners (including but not limited to any rights, benefits or indemnities which are provided to continue after the termination of this Charter, always subject to any applicable validity limitation stipulated in the relevant provisions of this Charter) are reserved hereunder pursuant and subject to the terms hereof.</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This Charter may be executed in any number of counterparts and any single counterpart or set of counterparts signed, in either case, by all the parties hereto shall be deemed to constitute a full and original agreement for all purposes.</w:t>
      </w:r>
    </w:p>
    <w:p>
      <w:pPr>
        <w:spacing w:after="0" w:line="1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4" w:name="page285"/>
    <w:bookmarkEnd w:id="284"/>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54" w:lineRule="exact"/>
        <w:rPr>
          <w:sz w:val="20"/>
          <w:szCs w:val="20"/>
          <w:color w:val="auto"/>
        </w:rPr>
      </w:pPr>
    </w:p>
    <w:p>
      <w:pPr>
        <w:ind w:left="428" w:hanging="428"/>
        <w:spacing w:after="0"/>
        <w:tabs>
          <w:tab w:leader="none" w:pos="428" w:val="left"/>
        </w:tabs>
        <w:numPr>
          <w:ilvl w:val="0"/>
          <w:numId w:val="3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Parties Act</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an Indemnitee or a Finance Party from time to time and is not a party to this Charter shall be entitled to enforce such terms of this Charter as provided for in this Charter in relation to the obligations of the Charterers to such Indemnitee or (as the case may be) Finance Party, subject to the provisions of Clause 30 (</w:t>
      </w:r>
      <w:r>
        <w:rPr>
          <w:rFonts w:ascii="Times New Roman" w:cs="Times New Roman" w:eastAsia="Times New Roman" w:hAnsi="Times New Roman"/>
          <w:sz w:val="12"/>
          <w:szCs w:val="12"/>
          <w:i w:val="1"/>
          <w:iCs w:val="1"/>
          <w:color w:val="auto"/>
        </w:rPr>
        <w:t>Dispute Resolution</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Arbitration</w:t>
      </w:r>
      <w:r>
        <w:rPr>
          <w:rFonts w:ascii="Times New Roman" w:cs="Times New Roman" w:eastAsia="Times New Roman" w:hAnsi="Times New Roman"/>
          <w:sz w:val="12"/>
          <w:szCs w:val="12"/>
          <w:color w:val="auto"/>
        </w:rPr>
        <w:t>) and the Third Parties Act. The Third Parties Act applies to this Charter as set out in this Clause 70.</w:t>
      </w:r>
    </w:p>
    <w:p>
      <w:pPr>
        <w:spacing w:after="0" w:line="118"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as provided above, a person who is not a party to this Charter has no right under the Third Parties Act to enforce or to enjoy the benefit of any term of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Waiver of immunity</w:t>
      </w:r>
    </w:p>
    <w:p>
      <w:pPr>
        <w:spacing w:after="0" w:line="154" w:lineRule="exact"/>
        <w:rPr>
          <w:rFonts w:ascii="Times New Roman" w:cs="Times New Roman" w:eastAsia="Times New Roman" w:hAnsi="Times New Roman"/>
          <w:sz w:val="12"/>
          <w:szCs w:val="12"/>
          <w:b w:val="1"/>
          <w:bCs w:val="1"/>
          <w:color w:val="auto"/>
        </w:rPr>
      </w:pPr>
    </w:p>
    <w:p>
      <w:pPr>
        <w:jc w:val="both"/>
        <w:ind w:left="868" w:hanging="436"/>
        <w:spacing w:after="0" w:line="265" w:lineRule="auto"/>
        <w:tabs>
          <w:tab w:leader="none" w:pos="86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parties may in any jurisdiction claim for themselves or their assets or revenues immunity from any proceedings, suit, execution, attachment (whether in aid of execution, before judgment or otherwise) or other legal process and to the extent that such immunity (whether or not claimed) may be attributed in any such jurisdiction to the parties or their assets or revenues, the parties agree not to claim and irrevocably waive such immunity to the full extent permitted by the laws of such jurisdiction.</w:t>
      </w:r>
    </w:p>
    <w:p>
      <w:pPr>
        <w:spacing w:after="0" w:line="118"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consent generally in respect of any proceedings to the giving of any relief and the issue of any process in connection with such proceedings including (without limitation) the making, enforcement or execution against any property whatsoever (irrespective of its use or intended use) of any order or judgment which is made or given in such proceedings. The Parties agree that in any proceedings in England this waiver shall have the fullest scope permitted by the English State Immunity Act 1978 and that this waiver is intended to be irrevocable for the purposes of such Act.</w:t>
      </w:r>
    </w:p>
    <w:p>
      <w:pPr>
        <w:spacing w:after="0" w:line="11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FATCA</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(d)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1168" w:hanging="317"/>
        <w:spacing w:after="0"/>
        <w:tabs>
          <w:tab w:leader="none" w:pos="1168" w:val="left"/>
        </w:tabs>
        <w:numPr>
          <w:ilvl w:val="2"/>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648" w:hanging="372"/>
        <w:spacing w:after="0"/>
        <w:tabs>
          <w:tab w:leader="none" w:pos="1648" w:val="left"/>
        </w:tabs>
        <w:numPr>
          <w:ilvl w:val="3"/>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648" w:hanging="372"/>
        <w:spacing w:after="0"/>
        <w:tabs>
          <w:tab w:leader="none" w:pos="1648" w:val="left"/>
        </w:tabs>
        <w:numPr>
          <w:ilvl w:val="3"/>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11"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868" w:right="20" w:hanging="436"/>
        <w:spacing w:after="0" w:line="279" w:lineRule="auto"/>
        <w:tabs>
          <w:tab w:leader="none" w:pos="868" w:val="left"/>
        </w:tabs>
        <w:numPr>
          <w:ilvl w:val="1"/>
          <w:numId w:val="3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paragraph (b)(i) above that it is a FATCA Exempt Party and it subsequently becomes aware that it is not or has ceased to be a FATCA Exempt Party, that Party shall notify that other Party reasonably promptly.</w:t>
      </w:r>
    </w:p>
    <w:p>
      <w:pPr>
        <w:spacing w:after="0" w:line="1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5" w:name="page286"/>
    <w:bookmarkEnd w:id="285"/>
    <w:p>
      <w:pPr>
        <w:jc w:val="right"/>
        <w:spacing w:after="0"/>
        <w:rPr>
          <w:sz w:val="20"/>
          <w:szCs w:val="20"/>
          <w:color w:val="auto"/>
        </w:rPr>
      </w:pPr>
      <w:r>
        <w:rPr>
          <w:rFonts w:ascii="Arial" w:cs="Arial" w:eastAsia="Arial" w:hAnsi="Arial"/>
          <w:sz w:val="10"/>
          <w:szCs w:val="10"/>
          <w:b w:val="1"/>
          <w:bCs w:val="1"/>
          <w:color w:val="auto"/>
        </w:rPr>
        <w:t>ISTANBUL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868" w:hanging="436"/>
        <w:spacing w:after="0"/>
        <w:tabs>
          <w:tab w:leader="none" w:pos="86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oblige the Owners to do anything, and paragraph (b)(iii) above shall not oblige any other Party to do anything, which would or might in its reasonable opinion constitute a breach of:</w:t>
      </w:r>
    </w:p>
    <w:p>
      <w:pPr>
        <w:spacing w:after="0" w:line="147"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9"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41"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paragraph (b)(i) or (ii) above (including, for the avoidance of doubt, where paragraph (d) above applies), then such Party shall be treated for the purposes of this Charter and the other Transaction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Obligor may make any FATCA Deduction it is required by FATCA to make, and any payment required in connection with that FATCA Deduction, no Party or Obligor shall be required to increase any payment in respect of which it makes such a FATCA Deduction or otherwise compensate the recipient of the payment for that FATCA Deduction.</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or Obligor (if applicable) shall promptly, upon becoming aware that it must make a FATCA Deduction (or that there is any change in the rate or the basis of such FATCA Deduction) notify the Party or Obligor (if applicable) to whom it is making the payment.</w:t>
      </w:r>
    </w:p>
    <w:p>
      <w:pPr>
        <w:spacing w:after="0" w:line="111" w:lineRule="exact"/>
        <w:rPr>
          <w:rFonts w:ascii="Times New Roman" w:cs="Times New Roman" w:eastAsia="Times New Roman" w:hAnsi="Times New Roman"/>
          <w:sz w:val="12"/>
          <w:szCs w:val="12"/>
          <w:color w:val="auto"/>
        </w:rPr>
      </w:pPr>
    </w:p>
    <w:p>
      <w:pPr>
        <w:ind w:left="848" w:right="6140" w:hanging="416"/>
        <w:spacing w:after="0" w:line="497" w:lineRule="auto"/>
        <w:tabs>
          <w:tab w:leader="none" w:pos="861" w:val="left"/>
        </w:tabs>
        <w:numPr>
          <w:ilvl w:val="0"/>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72, the following terms shall have the following meanings: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United States Internal Revenue Code of 1986, as amended.</w:t>
      </w: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348" w:hanging="502"/>
        <w:spacing w:after="0"/>
        <w:tabs>
          <w:tab w:leader="none" w:pos="13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through 1474 of the Code or any associated regulations;</w:t>
      </w:r>
    </w:p>
    <w:p>
      <w:pPr>
        <w:spacing w:after="0" w:line="78" w:lineRule="exact"/>
        <w:rPr>
          <w:rFonts w:ascii="Times New Roman" w:cs="Times New Roman" w:eastAsia="Times New Roman" w:hAnsi="Times New Roman"/>
          <w:sz w:val="12"/>
          <w:szCs w:val="12"/>
          <w:color w:val="auto"/>
        </w:rPr>
      </w:pPr>
    </w:p>
    <w:p>
      <w:pPr>
        <w:ind w:left="1348" w:right="20" w:hanging="502"/>
        <w:spacing w:after="0" w:line="279" w:lineRule="auto"/>
        <w:tabs>
          <w:tab w:leader="none" w:pos="13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(i) above; or</w:t>
      </w:r>
    </w:p>
    <w:p>
      <w:pPr>
        <w:spacing w:after="0" w:line="39" w:lineRule="exact"/>
        <w:rPr>
          <w:rFonts w:ascii="Times New Roman" w:cs="Times New Roman" w:eastAsia="Times New Roman" w:hAnsi="Times New Roman"/>
          <w:sz w:val="12"/>
          <w:szCs w:val="12"/>
          <w:color w:val="auto"/>
        </w:rPr>
      </w:pPr>
    </w:p>
    <w:p>
      <w:pPr>
        <w:ind w:left="1348" w:hanging="502"/>
        <w:spacing w:after="0" w:line="279" w:lineRule="auto"/>
        <w:tabs>
          <w:tab w:leader="none" w:pos="1348" w:val="left"/>
        </w:tabs>
        <w:numPr>
          <w:ilvl w:val="1"/>
          <w:numId w:val="3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(i) or (ii) above with the US Internal Revenue Service, the US government or any governmental or taxation authority in any other jurisdiction.</w:t>
      </w:r>
    </w:p>
    <w:p>
      <w:pPr>
        <w:spacing w:after="0" w:line="35"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this Charter or the other Transaction Documents required by FATCA.</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Charter and any non-contractual obligations arising out of or in connection with it shall in all respect be governed by and construed in accordance with English law.</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3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Arbitration</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3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dispute arising out of or in connection with this Charter shall be referred to arbitration in London in accordance with the Arbitration Act 1996 or any statutory modification or re-enactment thereof save to the extent necessary to give effect to the provisions of this Clause.</w:t>
      </w:r>
    </w:p>
    <w:p>
      <w:pPr>
        <w:spacing w:after="0" w:line="111"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6" w:name="page287"/>
    <w:bookmarkEnd w:id="286"/>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23" w:lineRule="exact"/>
        <w:rPr>
          <w:sz w:val="20"/>
          <w:szCs w:val="20"/>
          <w:color w:val="auto"/>
        </w:rPr>
      </w:pPr>
    </w:p>
    <w:p>
      <w:pPr>
        <w:ind w:left="868" w:hanging="436"/>
        <w:spacing w:after="0"/>
        <w:tabs>
          <w:tab w:leader="none" w:pos="86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57" w:lineRule="auto"/>
        <w:tabs>
          <w:tab w:leader="none" w:pos="86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reference shall be to three arbitrators, one to be appointed by each party and the third, subject to the provisions of the LMAA Terms, by the two so appointed.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the sole arbitrator had been appointed by agreement.</w:t>
      </w:r>
    </w:p>
    <w:p>
      <w:pPr>
        <w:spacing w:after="0" w:line="125"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tabs>
          <w:tab w:leader="none" w:pos="868" w:val="left"/>
        </w:tabs>
        <w:numPr>
          <w:ilvl w:val="1"/>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maintain the information provided in connection with the Transaction Documents strictly confidential and agree to disclose to no person other than:</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board of directors, employees (only on a need to know basis), and shareholders, professional advisors (including the legal and accounting advisors and auditors) and rating agencies;</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may be required to be disclosed under applicable law or regulations or for the purpose of legal proceedings;</w:t>
      </w:r>
    </w:p>
    <w:p>
      <w:pPr>
        <w:spacing w:after="0" w:line="146" w:lineRule="exact"/>
        <w:rPr>
          <w:rFonts w:ascii="Times New Roman" w:cs="Times New Roman" w:eastAsia="Times New Roman" w:hAnsi="Times New Roman"/>
          <w:sz w:val="12"/>
          <w:szCs w:val="12"/>
          <w:color w:val="auto"/>
        </w:rPr>
      </w:pPr>
    </w:p>
    <w:p>
      <w:pPr>
        <w:jc w:val="both"/>
        <w:ind w:left="1288" w:hanging="424"/>
        <w:spacing w:after="0" w:line="262" w:lineRule="auto"/>
        <w:tabs>
          <w:tab w:leader="none" w:pos="1288" w:val="left"/>
        </w:tabs>
        <w:numPr>
          <w:ilvl w:val="2"/>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Owners, (1) to any of its Affiliate (more than one of them, collectively, the “</w:t>
      </w:r>
      <w:r>
        <w:rPr>
          <w:rFonts w:ascii="Times New Roman" w:cs="Times New Roman" w:eastAsia="Times New Roman" w:hAnsi="Times New Roman"/>
          <w:sz w:val="12"/>
          <w:szCs w:val="12"/>
          <w:b w:val="1"/>
          <w:bCs w:val="1"/>
          <w:color w:val="auto"/>
        </w:rPr>
        <w:t>Permitted Parties</w:t>
      </w:r>
      <w:r>
        <w:rPr>
          <w:rFonts w:ascii="Times New Roman" w:cs="Times New Roman" w:eastAsia="Times New Roman" w:hAnsi="Times New Roman"/>
          <w:sz w:val="12"/>
          <w:szCs w:val="12"/>
          <w:color w:val="auto"/>
        </w:rPr>
        <w:t>”), any Finance Party or other actual or potential financier providing funding for the acquisition or refinancing of the Vessel (provided the same have entered into similar confidentiality arrangements), (2) to professional advisers, auditors, insurers or insurance brokers and service providers of the Permitted Parties who are under a duty of confidentiality to the Permitted Parties and (3) as required by any law or any government, quasi-government, administrative, regulatory or supervisory body or authority, court or tribunal with jurisdiction over any of the Permitted Parties;</w:t>
      </w:r>
    </w:p>
    <w:p>
      <w:pPr>
        <w:spacing w:after="0" w:line="121"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Charterers, to any Sub-Charterers (but subject always to paragraph (b) below) in respect of obtaining any consent required under the terms of any relevant Sub-Charter;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Approved Managers, the classification society and flag authorities, in each case as may be necessary in connection with the transactions contemplated hereunder; and</w:t>
      </w:r>
    </w:p>
    <w:p>
      <w:pPr>
        <w:spacing w:after="0" w:line="150" w:lineRule="exact"/>
        <w:rPr>
          <w:rFonts w:ascii="Times New Roman" w:cs="Times New Roman" w:eastAsia="Times New Roman" w:hAnsi="Times New Roman"/>
          <w:sz w:val="12"/>
          <w:szCs w:val="12"/>
          <w:color w:val="auto"/>
        </w:rPr>
      </w:pPr>
    </w:p>
    <w:p>
      <w:pPr>
        <w:ind w:left="1288" w:right="20" w:hanging="424"/>
        <w:spacing w:after="0" w:line="279" w:lineRule="auto"/>
        <w:tabs>
          <w:tab w:leader="none" w:pos="1288" w:val="left"/>
        </w:tabs>
        <w:numPr>
          <w:ilvl w:val="2"/>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 classification society or other entity which the Owners, any of their Affiliates or a Finance Party has engaged to make the calculations necessary to enable the Owners, any of their Affiliates or a Finance Party to comply with their reporting obligations under the Poseidon Principles.</w:t>
      </w:r>
    </w:p>
    <w:p>
      <w:pPr>
        <w:spacing w:after="0" w:line="111"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3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disclosure by each Party shall be subject to the prior written consent of the other Party, provided that the Charterers may disclose any information provided in connection with the Transaction Documents to their subcontractors and any Sub-Charterers, in each case subject to the procurement of a confidentiality undertaking (in form and substance satisfactory to the Owners) from such sub-contractor or Sub-Charterers.</w:t>
      </w:r>
    </w:p>
    <w:p>
      <w:pPr>
        <w:spacing w:after="0" w:line="273"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7" w:name="page288"/>
    <w:bookmarkEnd w:id="287"/>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ind w:left="428" w:hanging="428"/>
        <w:spacing w:after="0"/>
        <w:tabs>
          <w:tab w:leader="none" w:pos="428" w:val="left"/>
        </w:tabs>
        <w:numPr>
          <w:ilvl w:val="0"/>
          <w:numId w:val="3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and Transfer</w:t>
      </w:r>
    </w:p>
    <w:p>
      <w:pPr>
        <w:spacing w:after="0" w:line="154" w:lineRule="exact"/>
        <w:rPr>
          <w:rFonts w:ascii="Times New Roman" w:cs="Times New Roman" w:eastAsia="Times New Roman" w:hAnsi="Times New Roman"/>
          <w:sz w:val="12"/>
          <w:szCs w:val="12"/>
          <w:b w:val="1"/>
          <w:bCs w:val="1"/>
          <w:color w:val="auto"/>
        </w:rPr>
      </w:pPr>
    </w:p>
    <w:p>
      <w:pPr>
        <w:ind w:left="868" w:hanging="436"/>
        <w:spacing w:after="0" w:line="279" w:lineRule="auto"/>
        <w:tabs>
          <w:tab w:leader="none" w:pos="868" w:val="left"/>
        </w:tabs>
        <w:numPr>
          <w:ilvl w:val="1"/>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be permitted to assign or transfer any of their rights or obligations under this Charter without the Owners’ written approval. The Owners shall have the right to assign or transfer any or all of their rights under this Charter in accordance with the provisions of Clause 5 of the Security Trust Deed.</w:t>
      </w:r>
    </w:p>
    <w:p>
      <w:pPr>
        <w:spacing w:after="0" w:line="109" w:lineRule="exact"/>
        <w:rPr>
          <w:rFonts w:ascii="Times New Roman" w:cs="Times New Roman" w:eastAsia="Times New Roman" w:hAnsi="Times New Roman"/>
          <w:sz w:val="12"/>
          <w:szCs w:val="12"/>
          <w:color w:val="auto"/>
        </w:rPr>
      </w:pPr>
    </w:p>
    <w:p>
      <w:pPr>
        <w:ind w:left="868" w:right="20" w:hanging="436"/>
        <w:spacing w:after="0" w:line="283" w:lineRule="auto"/>
        <w:tabs>
          <w:tab w:leader="none" w:pos="868" w:val="left"/>
        </w:tabs>
        <w:numPr>
          <w:ilvl w:val="1"/>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the Charterer undertakes to execute, provide or procure the execution or provision (as the case may be) of such further information or document as is necessary to effect the assignment and/or transfer referred to in sub-paragraph (a) above.</w:t>
      </w:r>
    </w:p>
    <w:p>
      <w:pPr>
        <w:spacing w:after="0" w:line="10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3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Financing Charter</w:t>
      </w:r>
    </w:p>
    <w:p>
      <w:pPr>
        <w:spacing w:after="0" w:line="154" w:lineRule="exact"/>
        <w:rPr>
          <w:rFonts w:ascii="Times New Roman" w:cs="Times New Roman" w:eastAsia="Times New Roman" w:hAnsi="Times New Roman"/>
          <w:sz w:val="12"/>
          <w:szCs w:val="12"/>
          <w:b w:val="1"/>
          <w:bCs w:val="1"/>
          <w:color w:val="auto"/>
        </w:rPr>
      </w:pPr>
    </w:p>
    <w:p>
      <w:pPr>
        <w:jc w:val="both"/>
        <w:ind w:left="848" w:hanging="425"/>
        <w:spacing w:after="0" w:line="260" w:lineRule="auto"/>
        <w:tabs>
          <w:tab w:leader="none" w:pos="848" w:val="left"/>
        </w:tabs>
        <w:numPr>
          <w:ilvl w:val="1"/>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hereto acknowledge and agree that this Charter shall be construed as a "financing charter" for all purposes under the Liberian Maritime Law, and this Charter is intended to be treated as a preferred mortgage over the whole of the Vessel in favour of the Owners under any provision of law now existing or hereafter coming into force in the Republic of Liberia. The Charterers grant to the Owners, and the Owners retain as security for the payment and performance of all the Obligors their respective obligations under and in connection with the Transaction Documents, whether now or hereafter incurred, all of the Charterers’ interest in and to the whole of the Vessel. The Charterers shall cause this Charter to be recorded in accordance with said Law.</w:t>
      </w:r>
    </w:p>
    <w:p>
      <w:pPr>
        <w:spacing w:after="0" w:line="12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3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recording this Charter as a Financing Charter under the laws of the Republic of Liberia, the maximum aggregate of the nominal amount of all charter hire payments, termination payments, purchase or put option amounts payable, or which may become payable, is United States Dollars Forty Four Million Five Hundred Thousand (US$44,500,000), plus interest, liabilities, indemnities, costs, expenses, fees and performance of the Charterers’ covenants.</w:t>
      </w:r>
    </w:p>
    <w:p>
      <w:pPr>
        <w:spacing w:after="0" w:line="11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[Execution page and scheduled to follow]</w:t>
      </w:r>
    </w:p>
    <w:p>
      <w:pPr>
        <w:spacing w:after="0" w:line="15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88" w:name="page289"/>
    <w:bookmarkEnd w:id="288"/>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PROTOCOL OF DELIVERY AND ACCEPTANCE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It is hereby certified that pursuant to a bareboat charter dated ___________________ and made between </w:t>
      </w:r>
      <w:r>
        <w:rPr>
          <w:rFonts w:ascii="Times New Roman" w:cs="Times New Roman" w:eastAsia="Times New Roman" w:hAnsi="Times New Roman"/>
          <w:sz w:val="12"/>
          <w:szCs w:val="12"/>
          <w:b w:val="1"/>
          <w:bCs w:val="1"/>
          <w:color w:val="auto"/>
        </w:rPr>
        <w:t>OCEAN TIANXIU SHIPPING LIMITED</w:t>
      </w:r>
      <w:r>
        <w:rPr>
          <w:rFonts w:ascii="Times New Roman" w:cs="Times New Roman" w:eastAsia="Times New Roman" w:hAnsi="Times New Roman"/>
          <w:sz w:val="12"/>
          <w:szCs w:val="12"/>
          <w:color w:val="auto"/>
        </w:rPr>
        <w:t>, a company incorporated and existing under the laws the laws of the Hong Kong</w:t>
      </w:r>
    </w:p>
    <w:p>
      <w:pPr>
        <w:spacing w:after="0" w:line="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2"/>
          <w:szCs w:val="12"/>
          <w:color w:val="auto"/>
        </w:rPr>
        <w:t>Special Administrative Region of the People’s Republic of China and having its registered office at Units 904-907, 9/F, Dah Sing Financial Centre, 248 Queen's Road East,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as owner and </w:t>
      </w:r>
      <w:r>
        <w:rPr>
          <w:rFonts w:ascii="Times New Roman" w:cs="Times New Roman" w:eastAsia="Times New Roman" w:hAnsi="Times New Roman"/>
          <w:sz w:val="12"/>
          <w:szCs w:val="12"/>
          <w:b w:val="1"/>
          <w:bCs w:val="1"/>
          <w:color w:val="auto"/>
        </w:rPr>
        <w:t>GLOBAL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SHIP LEASE 79 LLC</w:t>
      </w:r>
      <w:r>
        <w:rPr>
          <w:rFonts w:ascii="Times New Roman" w:cs="Times New Roman" w:eastAsia="Times New Roman" w:hAnsi="Times New Roman"/>
          <w:sz w:val="12"/>
          <w:szCs w:val="12"/>
          <w:color w:val="auto"/>
        </w:rPr>
        <w:t>, a limited liability company incorporated and existing under the laws of the Republic of Liberia and having its registered office at 80 Broad Street, Monrovia, Liberia (the "</w:t>
      </w:r>
      <w:r>
        <w:rPr>
          <w:rFonts w:ascii="Times New Roman" w:cs="Times New Roman" w:eastAsia="Times New Roman" w:hAnsi="Times New Roman"/>
          <w:sz w:val="12"/>
          <w:szCs w:val="12"/>
          <w:b w:val="1"/>
          <w:bCs w:val="1"/>
          <w:color w:val="auto"/>
        </w:rPr>
        <w:t>Bareboat Charterer</w:t>
      </w:r>
      <w:r>
        <w:rPr>
          <w:rFonts w:ascii="Times New Roman" w:cs="Times New Roman" w:eastAsia="Times New Roman" w:hAnsi="Times New Roman"/>
          <w:sz w:val="12"/>
          <w:szCs w:val="12"/>
          <w:color w:val="auto"/>
        </w:rPr>
        <w:t>") as bareboat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charterer (as may be amended and supplemented from time to time, the "</w:t>
      </w:r>
      <w:r>
        <w:rPr>
          <w:rFonts w:ascii="Times New Roman" w:cs="Times New Roman" w:eastAsia="Times New Roman" w:hAnsi="Times New Roman"/>
          <w:sz w:val="12"/>
          <w:szCs w:val="12"/>
          <w:b w:val="1"/>
          <w:bCs w:val="1"/>
          <w:color w:val="auto"/>
        </w:rPr>
        <w:t>Bareboat Charter</w:t>
      </w:r>
      <w:r>
        <w:rPr>
          <w:rFonts w:ascii="Times New Roman" w:cs="Times New Roman" w:eastAsia="Times New Roman" w:hAnsi="Times New Roman"/>
          <w:sz w:val="12"/>
          <w:szCs w:val="12"/>
          <w:color w:val="auto"/>
        </w:rPr>
        <w:t>") in respect of one (1) bulk carrier named "</w:t>
      </w:r>
      <w:r>
        <w:rPr>
          <w:rFonts w:ascii="Times New Roman" w:cs="Times New Roman" w:eastAsia="Times New Roman" w:hAnsi="Times New Roman"/>
          <w:sz w:val="12"/>
          <w:szCs w:val="12"/>
          <w:b w:val="1"/>
          <w:bCs w:val="1"/>
          <w:color w:val="auto"/>
        </w:rPr>
        <w:t>ISTANBUL EXPRESS</w:t>
      </w:r>
      <w:r>
        <w:rPr>
          <w:rFonts w:ascii="Times New Roman" w:cs="Times New Roman" w:eastAsia="Times New Roman" w:hAnsi="Times New Roman"/>
          <w:sz w:val="12"/>
          <w:szCs w:val="12"/>
          <w:color w:val="auto"/>
        </w:rPr>
        <w:t xml:space="preserve">" with IMO Number </w:t>
      </w:r>
      <w:r>
        <w:rPr>
          <w:rFonts w:ascii="Times New Roman" w:cs="Times New Roman" w:eastAsia="Times New Roman" w:hAnsi="Times New Roman"/>
          <w:sz w:val="12"/>
          <w:szCs w:val="12"/>
          <w:b w:val="1"/>
          <w:bCs w:val="1"/>
          <w:color w:val="auto"/>
        </w:rPr>
        <w:t>9723277</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the Vessel is delivered for charter by the Owner to the Bareboat Charterer, and accepted by the Bareboat Charterer from the Owner at __________ hours (Beijing time) on the date hereof in accordance with the terms and conditions of the Bareboat Charter.</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Owner and the Bareboat Charterer have caused this PROTOCOL OF DELIVERY AND ACCEPTANCE to be executed by their duly authorised representative on this _______ day of _____________ .</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TIANXIU SHIPPING LIMITED</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b w:val="1"/>
                <w:bCs w:val="1"/>
                <w:color w:val="auto"/>
              </w:rPr>
              <w:t>GLOBAL SHIP LEASE 79 LLC</w:t>
            </w:r>
          </w:p>
        </w:tc>
      </w:tr>
      <w:tr>
        <w:trPr>
          <w:trHeight w:val="279"/>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40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Title:</w:t>
            </w:r>
          </w:p>
        </w:tc>
      </w:tr>
      <w:tr>
        <w:trPr>
          <w:trHeight w:val="486"/>
        </w:trPr>
        <w:tc>
          <w:tcPr>
            <w:tcW w:w="39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2"/>
                <w:szCs w:val="12"/>
                <w:color w:val="auto"/>
              </w:rPr>
              <w:t>69</w:t>
            </w:r>
          </w:p>
        </w:tc>
      </w:tr>
    </w:tbl>
    <w:p>
      <w:pPr>
        <w:sectPr>
          <w:pgSz w:w="11900" w:h="16838" w:orient="portrait"/>
          <w:cols w:equalWidth="0" w:num="1">
            <w:col w:w="11300"/>
          </w:cols>
          <w:pgMar w:left="300" w:top="205" w:right="299" w:bottom="1440" w:gutter="0" w:footer="0" w:header="0"/>
        </w:sectPr>
      </w:pPr>
    </w:p>
    <w:bookmarkStart w:id="289" w:name="page290"/>
    <w:bookmarkEnd w:id="289"/>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TITLE TRANSFER PROTOCOL OF DELIVERY AND ACCEPTANCE</w:t>
      </w:r>
    </w:p>
    <w:p>
      <w:pPr>
        <w:spacing w:after="0" w:line="1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 NAME]"</w:t>
      </w:r>
    </w:p>
    <w:p>
      <w:pPr>
        <w:spacing w:after="0" w:line="24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OCEAN TIANXIU SHIPPING LIMITED </w:t>
      </w:r>
      <w:r>
        <w:rPr>
          <w:rFonts w:ascii="Times New Roman" w:cs="Times New Roman" w:eastAsia="Times New Roman" w:hAnsi="Times New Roman"/>
          <w:sz w:val="12"/>
          <w:szCs w:val="12"/>
          <w:color w:val="auto"/>
        </w:rPr>
        <w:t>of [</w:t>
      </w:r>
      <w:r>
        <w:rPr>
          <w:rFonts w:ascii="Times New Roman" w:cs="Times New Roman" w:eastAsia="Times New Roman" w:hAnsi="Times New Roman"/>
          <w:sz w:val="12"/>
          <w:szCs w:val="12"/>
          <w:i w:val="1"/>
          <w:iCs w:val="1"/>
          <w:color w:val="auto"/>
        </w:rPr>
        <w:t>registered address</w:t>
      </w:r>
      <w:r>
        <w:rPr>
          <w:rFonts w:ascii="Times New Roman" w:cs="Times New Roman" w:eastAsia="Times New Roman" w:hAnsi="Times New Roman"/>
          <w:sz w:val="12"/>
          <w:szCs w:val="12"/>
          <w:color w:val="auto"/>
        </w:rPr>
        <w: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deliver to</w:t>
      </w:r>
      <w:r>
        <w:rPr>
          <w:rFonts w:ascii="Times New Roman" w:cs="Times New Roman" w:eastAsia="Times New Roman" w:hAnsi="Times New Roman"/>
          <w:sz w:val="12"/>
          <w:szCs w:val="12"/>
          <w:b w:val="1"/>
          <w:bCs w:val="1"/>
          <w:color w:val="auto"/>
        </w:rPr>
        <w:t xml:space="preserve"> GLOBAL SHIP LEASE 79 LLC </w:t>
      </w:r>
      <w:r>
        <w:rPr>
          <w:rFonts w:ascii="Times New Roman" w:cs="Times New Roman" w:eastAsia="Times New Roman" w:hAnsi="Times New Roman"/>
          <w:sz w:val="12"/>
          <w:szCs w:val="12"/>
          <w:color w:val="auto"/>
        </w:rPr>
        <w:t>of 80 Broad Street, Monrovia, Liberia (the "</w:t>
      </w:r>
      <w:r>
        <w:rPr>
          <w:rFonts w:ascii="Times New Roman" w:cs="Times New Roman" w:eastAsia="Times New Roman" w:hAnsi="Times New Roman"/>
          <w:sz w:val="12"/>
          <w:szCs w:val="12"/>
          <w:b w:val="1"/>
          <w:bCs w:val="1"/>
          <w:color w:val="auto"/>
        </w:rPr>
        <w:t>Bareboat Charterers</w:t>
      </w:r>
      <w:r>
        <w:rPr>
          <w:rFonts w:ascii="Times New Roman" w:cs="Times New Roman" w:eastAsia="Times New Roman" w:hAnsi="Times New Roman"/>
          <w:sz w:val="12"/>
          <w:szCs w:val="12"/>
          <w:color w:val="auto"/>
        </w:rPr>
        <w:t>") the Vessel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described below and the Bareboat Charterers accept delivery of, title and risk to the Vessel pursuant to the terms and conditions of the bareboat charterer dated [●] (as may be amended and supplemented from time to time) and made between (1) the Owners and (2) the Bareboat Charterers.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Name of Vessel:</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Flag:</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Place of Registration:</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IMO Number:</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Gross Registered Tonnage:</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Net Registered Tonnage:</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_____________________ 20[●]</w:t>
            </w:r>
          </w:p>
        </w:tc>
      </w:tr>
      <w:tr>
        <w:trPr>
          <w:trHeight w:val="288"/>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At:</w:t>
            </w:r>
          </w:p>
        </w:tc>
        <w:tc>
          <w:tcPr>
            <w:tcW w:w="7400" w:type="dxa"/>
            <w:vAlign w:val="bottom"/>
          </w:tcPr>
          <w:p>
            <w:pPr>
              <w:ind w:left="1740"/>
              <w:spacing w:after="0"/>
              <w:rPr>
                <w:sz w:val="20"/>
                <w:szCs w:val="20"/>
                <w:color w:val="auto"/>
              </w:rPr>
            </w:pPr>
            <w:r>
              <w:rPr>
                <w:rFonts w:ascii="Times New Roman" w:cs="Times New Roman" w:eastAsia="Times New Roman" w:hAnsi="Times New Roman"/>
                <w:sz w:val="12"/>
                <w:szCs w:val="12"/>
                <w:color w:val="auto"/>
              </w:rPr>
              <w:t>_____________ hours (Beijing time)</w:t>
            </w:r>
          </w:p>
        </w:tc>
      </w:tr>
      <w:tr>
        <w:trPr>
          <w:trHeight w:val="450"/>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TIANXIU SHIPPING LIMITED</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b w:val="1"/>
                <w:bCs w:val="1"/>
                <w:color w:val="auto"/>
              </w:rPr>
              <w:t>GLOBAL SHIP LEASE 79 LLC</w:t>
            </w:r>
          </w:p>
        </w:tc>
      </w:tr>
      <w:tr>
        <w:trPr>
          <w:trHeight w:val="279"/>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90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400" w:type="dxa"/>
            <w:vAlign w:val="bottom"/>
          </w:tcPr>
          <w:p>
            <w:pPr>
              <w:ind w:left="198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90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4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Title:</w:t>
            </w:r>
          </w:p>
        </w:tc>
      </w:tr>
      <w:tr>
        <w:trPr>
          <w:trHeight w:val="333"/>
        </w:trPr>
        <w:tc>
          <w:tcPr>
            <w:tcW w:w="3900" w:type="dxa"/>
            <w:vAlign w:val="bottom"/>
            <w:tcBorders>
              <w:bottom w:val="single" w:sz="8" w:color="auto"/>
            </w:tcBorders>
          </w:tcPr>
          <w:p>
            <w:pPr>
              <w:spacing w:after="0"/>
              <w:rPr>
                <w:sz w:val="24"/>
                <w:szCs w:val="24"/>
                <w:color w:val="auto"/>
              </w:rPr>
            </w:pPr>
          </w:p>
        </w:tc>
        <w:tc>
          <w:tcPr>
            <w:tcW w:w="740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2"/>
                <w:szCs w:val="12"/>
                <w:color w:val="auto"/>
              </w:rPr>
              <w:t>70</w:t>
            </w:r>
          </w:p>
        </w:tc>
      </w:tr>
    </w:tbl>
    <w:p>
      <w:pPr>
        <w:sectPr>
          <w:pgSz w:w="11900" w:h="16838" w:orient="portrait"/>
          <w:cols w:equalWidth="0" w:num="1">
            <w:col w:w="11300"/>
          </w:cols>
          <w:pgMar w:left="300" w:top="205" w:right="299" w:bottom="1440" w:gutter="0" w:footer="0" w:header="0"/>
        </w:sectPr>
      </w:pPr>
    </w:p>
    <w:bookmarkStart w:id="290" w:name="page291"/>
    <w:bookmarkEnd w:id="29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180" w:type="dxa"/>
            <w:vAlign w:val="bottom"/>
          </w:tcPr>
          <w:p>
            <w:pPr>
              <w:spacing w:after="0"/>
              <w:rPr>
                <w:sz w:val="10"/>
                <w:szCs w:val="10"/>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ISTANBUL EXPRESS</w:t>
            </w:r>
          </w:p>
        </w:tc>
      </w:tr>
      <w:tr>
        <w:trPr>
          <w:trHeight w:val="131"/>
        </w:trPr>
        <w:tc>
          <w:tcPr>
            <w:tcW w:w="2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180" w:type="dxa"/>
            <w:vAlign w:val="bottom"/>
          </w:tcPr>
          <w:p>
            <w:pPr>
              <w:spacing w:after="0"/>
              <w:rPr>
                <w:sz w:val="11"/>
                <w:szCs w:val="11"/>
                <w:color w:val="auto"/>
              </w:rPr>
            </w:pPr>
          </w:p>
        </w:tc>
        <w:tc>
          <w:tcPr>
            <w:tcW w:w="306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Bareboat Charter Additional Clauses</w:t>
            </w:r>
          </w:p>
        </w:tc>
      </w:tr>
      <w:tr>
        <w:trPr>
          <w:trHeight w:val="257"/>
        </w:trPr>
        <w:tc>
          <w:tcPr>
            <w:tcW w:w="2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180" w:type="dxa"/>
            <w:vAlign w:val="bottom"/>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rPr>
              <w:t>SCHEDULE 3</w:t>
            </w:r>
          </w:p>
        </w:tc>
        <w:tc>
          <w:tcPr>
            <w:tcW w:w="304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59"/>
        </w:trPr>
        <w:tc>
          <w:tcPr>
            <w:tcW w:w="2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180" w:type="dxa"/>
            <w:vAlign w:val="bottom"/>
          </w:tcPr>
          <w:p>
            <w:pPr>
              <w:jc w:val="center"/>
              <w:ind w:right="1000"/>
              <w:spacing w:after="0"/>
              <w:rPr>
                <w:sz w:val="20"/>
                <w:szCs w:val="20"/>
                <w:color w:val="auto"/>
              </w:rPr>
            </w:pPr>
            <w:r>
              <w:rPr>
                <w:rFonts w:ascii="Times New Roman" w:cs="Times New Roman" w:eastAsia="Times New Roman" w:hAnsi="Times New Roman"/>
                <w:sz w:val="12"/>
                <w:szCs w:val="12"/>
                <w:b w:val="1"/>
                <w:bCs w:val="1"/>
                <w:color w:val="auto"/>
                <w:w w:val="98"/>
              </w:rPr>
              <w:t>RELATED CHARTER AND RELEVANT INFORMATION</w:t>
            </w: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2960" w:type="dxa"/>
            <w:vAlign w:val="bottom"/>
            <w:tcBorders>
              <w:left w:val="single" w:sz="8" w:color="auto"/>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Name of Ship</w:t>
            </w:r>
          </w:p>
        </w:tc>
        <w:tc>
          <w:tcPr>
            <w:tcW w:w="1120" w:type="dxa"/>
            <w:vAlign w:val="bottom"/>
            <w:tcBorders>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IMO Number</w:t>
            </w:r>
          </w:p>
        </w:tc>
        <w:tc>
          <w:tcPr>
            <w:tcW w:w="4180" w:type="dxa"/>
            <w:vAlign w:val="bottom"/>
            <w:tcBorders>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Related Owners</w:t>
            </w:r>
          </w:p>
        </w:tc>
        <w:tc>
          <w:tcPr>
            <w:tcW w:w="3040" w:type="dxa"/>
            <w:vAlign w:val="bottom"/>
            <w:tcBorders>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Related Charterers</w:t>
            </w:r>
          </w:p>
        </w:tc>
        <w:tc>
          <w:tcPr>
            <w:tcW w:w="20" w:type="dxa"/>
            <w:vAlign w:val="bottom"/>
          </w:tcPr>
          <w:p>
            <w:pPr>
              <w:spacing w:after="0"/>
              <w:rPr>
                <w:sz w:val="11"/>
                <w:szCs w:val="11"/>
                <w:color w:val="auto"/>
              </w:rPr>
            </w:pP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CZECH</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9723241</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DANCE SHIPPING LIMITED</w:t>
            </w:r>
          </w:p>
        </w:tc>
        <w:tc>
          <w:tcPr>
            <w:tcW w:w="3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76 LLC</w:t>
            </w:r>
          </w:p>
        </w:tc>
        <w:tc>
          <w:tcPr>
            <w:tcW w:w="20" w:type="dxa"/>
            <w:vAlign w:val="bottom"/>
          </w:tcPr>
          <w:p>
            <w:pPr>
              <w:spacing w:after="0"/>
              <w:rPr>
                <w:sz w:val="11"/>
                <w:szCs w:val="11"/>
                <w:color w:val="auto"/>
              </w:rPr>
            </w:pP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BREMERHAVEN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9723253</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JING SHIPPING LIMITED</w:t>
            </w:r>
          </w:p>
        </w:tc>
        <w:tc>
          <w:tcPr>
            <w:tcW w:w="3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77 LLC</w:t>
            </w:r>
          </w:p>
        </w:tc>
        <w:tc>
          <w:tcPr>
            <w:tcW w:w="20" w:type="dxa"/>
            <w:vAlign w:val="bottom"/>
          </w:tcPr>
          <w:p>
            <w:pPr>
              <w:spacing w:after="0"/>
              <w:rPr>
                <w:sz w:val="11"/>
                <w:szCs w:val="11"/>
                <w:color w:val="auto"/>
              </w:rPr>
            </w:pP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SYDNEY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9723265</w:t>
            </w:r>
          </w:p>
        </w:tc>
        <w:tc>
          <w:tcPr>
            <w:tcW w:w="418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RAINBOW SHIPPING LIMITED</w:t>
            </w:r>
          </w:p>
        </w:tc>
        <w:tc>
          <w:tcPr>
            <w:tcW w:w="304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78 LLC</w:t>
            </w:r>
          </w:p>
        </w:tc>
        <w:tc>
          <w:tcPr>
            <w:tcW w:w="20" w:type="dxa"/>
            <w:vAlign w:val="bottom"/>
          </w:tcPr>
          <w:p>
            <w:pPr>
              <w:spacing w:after="0"/>
              <w:rPr>
                <w:sz w:val="11"/>
                <w:szCs w:val="11"/>
                <w:color w:val="auto"/>
              </w:rPr>
            </w:pPr>
          </w:p>
        </w:tc>
      </w:tr>
      <w:tr>
        <w:trPr>
          <w:trHeight w:val="295"/>
        </w:trPr>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jc w:val="center"/>
              <w:ind w:right="1000"/>
              <w:spacing w:after="0"/>
              <w:rPr>
                <w:sz w:val="20"/>
                <w:szCs w:val="20"/>
                <w:color w:val="auto"/>
              </w:rPr>
            </w:pPr>
            <w:r>
              <w:rPr>
                <w:rFonts w:ascii="Times New Roman" w:cs="Times New Roman" w:eastAsia="Times New Roman" w:hAnsi="Times New Roman"/>
                <w:sz w:val="12"/>
                <w:szCs w:val="12"/>
                <w:color w:val="auto"/>
                <w:w w:val="99"/>
              </w:rPr>
              <w:t>71</w:t>
            </w:r>
          </w:p>
        </w:tc>
        <w:tc>
          <w:tcPr>
            <w:tcW w:w="3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300" w:top="198" w:right="299" w:bottom="1440" w:gutter="0" w:footer="0" w:header="0"/>
        </w:sectPr>
      </w:pPr>
    </w:p>
    <w:bookmarkStart w:id="291" w:name="page292"/>
    <w:bookmarkEnd w:id="291"/>
    <w:p>
      <w:pPr>
        <w:jc w:val="right"/>
        <w:spacing w:after="0"/>
        <w:rPr>
          <w:sz w:val="20"/>
          <w:szCs w:val="20"/>
          <w:color w:val="auto"/>
        </w:rPr>
      </w:pPr>
      <w:r>
        <w:rPr>
          <w:rFonts w:ascii="Arial" w:cs="Arial" w:eastAsia="Arial" w:hAnsi="Arial"/>
          <w:sz w:val="10"/>
          <w:szCs w:val="10"/>
          <w:b w:val="1"/>
          <w:bCs w:val="1"/>
          <w:color w:val="auto"/>
        </w:rPr>
        <w:t>ISTANBUL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7640" w:type="dxa"/>
            <w:vAlign w:val="bottom"/>
            <w:gridSpan w:val="3"/>
          </w:tcPr>
          <w:p>
            <w:pPr>
              <w:jc w:val="center"/>
              <w:ind w:right="3660"/>
              <w:spacing w:after="0"/>
              <w:rPr>
                <w:sz w:val="20"/>
                <w:szCs w:val="20"/>
                <w:color w:val="auto"/>
              </w:rPr>
            </w:pPr>
            <w:r>
              <w:rPr>
                <w:rFonts w:ascii="Times New Roman" w:cs="Times New Roman" w:eastAsia="Times New Roman" w:hAnsi="Times New Roman"/>
                <w:sz w:val="12"/>
                <w:szCs w:val="12"/>
                <w:b w:val="1"/>
                <w:bCs w:val="1"/>
                <w:color w:val="auto"/>
                <w:w w:val="98"/>
              </w:rPr>
              <w:t>SIGNATURE PAGE</w:t>
            </w:r>
          </w:p>
        </w:tc>
      </w:tr>
      <w:tr>
        <w:trPr>
          <w:trHeight w:val="450"/>
        </w:trPr>
        <w:tc>
          <w:tcPr>
            <w:tcW w:w="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640" w:type="dxa"/>
            <w:vAlign w:val="bottom"/>
            <w:gridSpan w:val="3"/>
          </w:tcPr>
          <w:p>
            <w:pPr>
              <w:ind w:left="228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60" w:type="dxa"/>
            <w:vAlign w:val="bottom"/>
          </w:tcPr>
          <w:p>
            <w:pPr>
              <w:spacing w:after="0"/>
              <w:rPr>
                <w:sz w:val="14"/>
                <w:szCs w:val="1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OCEAN TIANXIU SHIPPING LIMITED</w:t>
            </w:r>
          </w:p>
        </w:tc>
        <w:tc>
          <w:tcPr>
            <w:tcW w:w="7640" w:type="dxa"/>
            <w:vAlign w:val="bottom"/>
            <w:gridSpan w:val="3"/>
          </w:tcPr>
          <w:p>
            <w:pPr>
              <w:ind w:left="2280"/>
              <w:spacing w:after="0"/>
              <w:rPr>
                <w:sz w:val="20"/>
                <w:szCs w:val="20"/>
                <w:color w:val="auto"/>
              </w:rPr>
            </w:pPr>
            <w:r>
              <w:rPr>
                <w:rFonts w:ascii="Times New Roman" w:cs="Times New Roman" w:eastAsia="Times New Roman" w:hAnsi="Times New Roman"/>
                <w:sz w:val="12"/>
                <w:szCs w:val="12"/>
                <w:b w:val="1"/>
                <w:bCs w:val="1"/>
                <w:color w:val="auto"/>
              </w:rPr>
              <w:t>GLOBAL SHIP LEASE 79 LLC</w:t>
            </w:r>
          </w:p>
        </w:tc>
      </w:tr>
      <w:tr>
        <w:trPr>
          <w:trHeight w:val="279"/>
        </w:trPr>
        <w:tc>
          <w:tcPr>
            <w:tcW w:w="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7640" w:type="dxa"/>
            <w:vAlign w:val="bottom"/>
            <w:gridSpan w:val="3"/>
          </w:tcPr>
          <w:p>
            <w:pPr>
              <w:ind w:left="2280"/>
              <w:spacing w:after="0"/>
              <w:rPr>
                <w:sz w:val="20"/>
                <w:szCs w:val="20"/>
                <w:color w:val="auto"/>
              </w:rPr>
            </w:pPr>
            <w:r>
              <w:rPr>
                <w:rFonts w:ascii="Times New Roman" w:cs="Times New Roman" w:eastAsia="Times New Roman" w:hAnsi="Times New Roman"/>
                <w:sz w:val="12"/>
                <w:szCs w:val="12"/>
                <w:color w:val="auto"/>
              </w:rPr>
              <w:t>by:</w:t>
            </w:r>
          </w:p>
        </w:tc>
      </w:tr>
      <w:tr>
        <w:trPr>
          <w:trHeight w:val="738"/>
        </w:trPr>
        <w:tc>
          <w:tcPr>
            <w:tcW w:w="6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Huang Mei                              </w:t>
            </w:r>
          </w:p>
        </w:tc>
        <w:tc>
          <w:tcPr>
            <w:tcW w:w="7640" w:type="dxa"/>
            <w:vAlign w:val="bottom"/>
            <w:gridSpan w:val="3"/>
          </w:tcPr>
          <w:p>
            <w:pPr>
              <w:ind w:left="2280"/>
              <w:spacing w:after="0"/>
              <w:rPr>
                <w:sz w:val="20"/>
                <w:szCs w:val="20"/>
                <w:color w:val="auto"/>
              </w:rPr>
            </w:pPr>
            <w:r>
              <w:rPr>
                <w:rFonts w:ascii="Times New Roman" w:cs="Times New Roman" w:eastAsia="Times New Roman" w:hAnsi="Times New Roman"/>
                <w:sz w:val="12"/>
                <w:szCs w:val="12"/>
                <w:color w:val="auto"/>
              </w:rPr>
              <w:t>/s/ Aglaia Lida Papadi                              </w:t>
            </w:r>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r>
      <w:tr>
        <w:trPr>
          <w:trHeight w:val="268"/>
        </w:trPr>
        <w:tc>
          <w:tcPr>
            <w:tcW w:w="366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Name: HUANG MEI</w:t>
            </w:r>
          </w:p>
        </w:tc>
        <w:tc>
          <w:tcPr>
            <w:tcW w:w="7640" w:type="dxa"/>
            <w:vAlign w:val="bottom"/>
            <w:gridSpan w:val="3"/>
          </w:tcPr>
          <w:p>
            <w:pPr>
              <w:ind w:left="2220"/>
              <w:spacing w:after="0"/>
              <w:rPr>
                <w:sz w:val="20"/>
                <w:szCs w:val="20"/>
                <w:color w:val="auto"/>
              </w:rPr>
            </w:pPr>
            <w:r>
              <w:rPr>
                <w:rFonts w:ascii="Times New Roman" w:cs="Times New Roman" w:eastAsia="Times New Roman" w:hAnsi="Times New Roman"/>
                <w:sz w:val="12"/>
                <w:szCs w:val="12"/>
                <w:color w:val="auto"/>
              </w:rPr>
              <w:t>Name: Aglaia Lida Papadi</w:t>
            </w:r>
          </w:p>
        </w:tc>
      </w:tr>
      <w:tr>
        <w:trPr>
          <w:trHeight w:val="261"/>
        </w:trPr>
        <w:tc>
          <w:tcPr>
            <w:tcW w:w="60" w:type="dxa"/>
            <w:vAlign w:val="bottom"/>
          </w:tcPr>
          <w:p>
            <w:pPr>
              <w:spacing w:after="0"/>
              <w:rPr>
                <w:sz w:val="22"/>
                <w:szCs w:val="22"/>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Director</w:t>
            </w:r>
          </w:p>
        </w:tc>
        <w:tc>
          <w:tcPr>
            <w:tcW w:w="7640" w:type="dxa"/>
            <w:vAlign w:val="bottom"/>
            <w:gridSpan w:val="3"/>
          </w:tcPr>
          <w:p>
            <w:pPr>
              <w:ind w:left="2280"/>
              <w:spacing w:after="0"/>
              <w:rPr>
                <w:sz w:val="20"/>
                <w:szCs w:val="20"/>
                <w:color w:val="auto"/>
              </w:rPr>
            </w:pPr>
            <w:r>
              <w:rPr>
                <w:rFonts w:ascii="Times New Roman" w:cs="Times New Roman" w:eastAsia="Times New Roman" w:hAnsi="Times New Roman"/>
                <w:sz w:val="12"/>
                <w:szCs w:val="12"/>
                <w:color w:val="auto"/>
              </w:rPr>
              <w:t>Title: Attorney-in-fact</w:t>
            </w:r>
          </w:p>
        </w:tc>
      </w:tr>
      <w:tr>
        <w:trPr>
          <w:trHeight w:val="306"/>
        </w:trPr>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rPr>
              <w:t>72</w:t>
            </w:r>
          </w:p>
        </w:tc>
        <w:tc>
          <w:tcPr>
            <w:tcW w:w="152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5" w:right="299" w:bottom="1440" w:gutter="0" w:footer="0" w:header="0"/>
        </w:sectPr>
      </w:pPr>
    </w:p>
    <w:bookmarkStart w:id="292" w:name="page293"/>
    <w:bookmarkEnd w:id="29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3" w:name="page294"/>
    <w:bookmarkEnd w:id="29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94" w:name="page295"/>
    <w:bookmarkEnd w:id="294"/>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jc w:val="center"/>
              <w:ind w:left="1020"/>
              <w:spacing w:after="0"/>
              <w:rPr>
                <w:sz w:val="20"/>
                <w:szCs w:val="20"/>
                <w:color w:val="auto"/>
              </w:rPr>
            </w:pPr>
            <w:r>
              <w:rPr>
                <w:rFonts w:ascii="Times New Roman" w:cs="Times New Roman" w:eastAsia="Times New Roman" w:hAnsi="Times New Roman"/>
                <w:sz w:val="12"/>
                <w:szCs w:val="12"/>
                <w:b w:val="1"/>
                <w:bCs w:val="1"/>
                <w:color w:val="auto"/>
                <w:w w:val="99"/>
              </w:rPr>
              <w:t>Exhibit 4.18</w:t>
            </w: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3280" w:type="dxa"/>
            <w:vAlign w:val="bottom"/>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BIMCO STANDARD BAREBOAT CHARTER</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240" w:type="dxa"/>
            <w:vAlign w:val="bottom"/>
          </w:tcPr>
          <w:p>
            <w:pPr>
              <w:ind w:left="80"/>
              <w:spacing w:after="0" w:line="109" w:lineRule="exact"/>
              <w:rPr>
                <w:sz w:val="20"/>
                <w:szCs w:val="20"/>
                <w:color w:val="auto"/>
              </w:rPr>
            </w:pPr>
            <w:r>
              <w:rPr>
                <w:rFonts w:ascii="Times New Roman" w:cs="Times New Roman" w:eastAsia="Times New Roman" w:hAnsi="Times New Roman"/>
                <w:sz w:val="12"/>
                <w:szCs w:val="12"/>
                <w:color w:val="auto"/>
              </w:rPr>
              <w:t>1.</w:t>
            </w:r>
          </w:p>
        </w:tc>
        <w:tc>
          <w:tcPr>
            <w:tcW w:w="5760" w:type="dxa"/>
            <w:vAlign w:val="bottom"/>
            <w:tcBorders>
              <w:right w:val="single" w:sz="8" w:color="auto"/>
            </w:tcBorders>
            <w:gridSpan w:val="2"/>
          </w:tcPr>
          <w:p>
            <w:pPr>
              <w:ind w:left="120"/>
              <w:spacing w:after="0" w:line="109" w:lineRule="exact"/>
              <w:rPr>
                <w:sz w:val="20"/>
                <w:szCs w:val="20"/>
                <w:color w:val="auto"/>
              </w:rPr>
            </w:pPr>
            <w:r>
              <w:rPr>
                <w:rFonts w:ascii="Times New Roman" w:cs="Times New Roman" w:eastAsia="Times New Roman" w:hAnsi="Times New Roman"/>
                <w:sz w:val="12"/>
                <w:szCs w:val="12"/>
                <w:color w:val="auto"/>
              </w:rPr>
              <w:t>Shipbroker</w:t>
            </w:r>
          </w:p>
        </w:tc>
        <w:tc>
          <w:tcPr>
            <w:tcW w:w="328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CODE NAME:"BARECON 2001"</w:t>
            </w: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300" w:type="dxa"/>
            <w:vAlign w:val="bottom"/>
            <w:tcBorders>
              <w:right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jc w:val="center"/>
              <w:ind w:left="1040"/>
              <w:spacing w:after="0"/>
              <w:rPr>
                <w:sz w:val="20"/>
                <w:szCs w:val="20"/>
                <w:color w:val="auto"/>
              </w:rPr>
            </w:pPr>
            <w:r>
              <w:rPr>
                <w:rFonts w:ascii="Times New Roman" w:cs="Times New Roman" w:eastAsia="Times New Roman" w:hAnsi="Times New Roman"/>
                <w:sz w:val="12"/>
                <w:szCs w:val="12"/>
                <w:b w:val="1"/>
                <w:bCs w:val="1"/>
                <w:color w:val="auto"/>
                <w:w w:val="99"/>
              </w:rPr>
              <w:t>PART I</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300" w:type="dxa"/>
            <w:vAlign w:val="bottom"/>
            <w:tcBorders>
              <w:right w:val="single" w:sz="8" w:color="auto"/>
            </w:tcBorders>
          </w:tcPr>
          <w:p>
            <w:pPr>
              <w:spacing w:after="0"/>
              <w:rPr>
                <w:sz w:val="12"/>
                <w:szCs w:val="12"/>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Place and date</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00" w:type="dxa"/>
            <w:vAlign w:val="bottom"/>
            <w:tcBorders>
              <w:right w:val="single" w:sz="8" w:color="auto"/>
            </w:tcBorders>
          </w:tcPr>
          <w:p>
            <w:pPr>
              <w:spacing w:after="0"/>
              <w:rPr>
                <w:sz w:val="24"/>
                <w:szCs w:val="24"/>
                <w:color w:val="auto"/>
              </w:rPr>
            </w:pP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22 January 2025</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3.</w:t>
            </w:r>
          </w:p>
        </w:tc>
        <w:tc>
          <w:tcPr>
            <w:tcW w:w="576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Owners/Place of Business (Cl. 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Bareboat Charterers/Place of business (Cl. 1)</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OCEAN RAINBOW SHIPPING LIMITED, a company incorporated and existing under the laws of the Hong</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GLOBAL SHIP LEASE 78 LLC, a limited liability company incorporated and existing under the</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Kong Special Administrative Region of the People’s Republic of China with Business Registration Number</w:t>
            </w:r>
          </w:p>
        </w:tc>
        <w:tc>
          <w:tcPr>
            <w:tcW w:w="5300" w:type="dxa"/>
            <w:vAlign w:val="bottom"/>
            <w:gridSpan w:val="4"/>
          </w:tcPr>
          <w:p>
            <w:pPr>
              <w:ind w:left="60"/>
              <w:spacing w:after="0"/>
              <w:rPr>
                <w:sz w:val="20"/>
                <w:szCs w:val="20"/>
                <w:color w:val="auto"/>
              </w:rPr>
            </w:pPr>
            <w:r>
              <w:rPr>
                <w:rFonts w:ascii="Times New Roman" w:cs="Times New Roman" w:eastAsia="Times New Roman" w:hAnsi="Times New Roman"/>
                <w:sz w:val="12"/>
                <w:szCs w:val="12"/>
                <w:b w:val="1"/>
                <w:bCs w:val="1"/>
                <w:color w:val="auto"/>
              </w:rPr>
              <w:t>laws of the Republic of Liberia with Registration Number LLC-960402 and having its registered</w:t>
            </w:r>
          </w:p>
        </w:tc>
        <w:tc>
          <w:tcPr>
            <w:tcW w:w="0" w:type="dxa"/>
            <w:vAlign w:val="bottom"/>
          </w:tcPr>
          <w:p>
            <w:pPr>
              <w:spacing w:after="0"/>
              <w:rPr>
                <w:sz w:val="1"/>
                <w:szCs w:val="1"/>
                <w:color w:val="auto"/>
              </w:rPr>
            </w:pPr>
          </w:p>
        </w:tc>
      </w:tr>
      <w:tr>
        <w:trPr>
          <w:trHeight w:val="144"/>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62836611 and having its registered office at Units 904-907, 9/F, Dah Sing Financial Centre, 248 Queen's Road</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office at 80 Broad Street, Monrovia, Liberia</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East, Hong Kong, China (also registered as a Foreign Maritime Entity in Liberia)</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000" w:type="dxa"/>
            <w:vAlign w:val="bottom"/>
            <w:tcBorders>
              <w:bottom w:val="single" w:sz="8" w:color="auto"/>
              <w:right w:val="single" w:sz="8" w:color="auto"/>
            </w:tcBorders>
            <w:gridSpan w:val="3"/>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5.   Vessel's name, call sign and flag (Cl. 1 and 3)</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40" w:type="dxa"/>
            <w:vAlign w:val="bottom"/>
          </w:tcPr>
          <w:p>
            <w:pPr>
              <w:spacing w:after="0"/>
              <w:rPr>
                <w:sz w:val="22"/>
                <w:szCs w:val="22"/>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Name:</w:t>
            </w:r>
          </w:p>
        </w:tc>
        <w:tc>
          <w:tcPr>
            <w:tcW w:w="53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SYDNEY EXPRESS</w:t>
            </w:r>
          </w:p>
        </w:tc>
        <w:tc>
          <w:tcPr>
            <w:tcW w:w="240" w:type="dxa"/>
            <w:vAlign w:val="bottom"/>
          </w:tcPr>
          <w:p>
            <w:pPr>
              <w:spacing w:after="0"/>
              <w:rPr>
                <w:sz w:val="22"/>
                <w:szCs w:val="22"/>
                <w:color w:val="auto"/>
              </w:rPr>
            </w:pPr>
          </w:p>
        </w:tc>
        <w:tc>
          <w:tcPr>
            <w:tcW w:w="30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IMO No.: </w:t>
            </w:r>
            <w:r>
              <w:rPr>
                <w:rFonts w:ascii="Times New Roman" w:cs="Times New Roman" w:eastAsia="Times New Roman" w:hAnsi="Times New Roman"/>
                <w:sz w:val="12"/>
                <w:szCs w:val="12"/>
                <w:b w:val="1"/>
                <w:bCs w:val="1"/>
                <w:color w:val="auto"/>
              </w:rPr>
              <w:t>9723265</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Flag: </w:t>
            </w:r>
            <w:r>
              <w:rPr>
                <w:rFonts w:ascii="Times New Roman" w:cs="Times New Roman" w:eastAsia="Times New Roman" w:hAnsi="Times New Roman"/>
                <w:sz w:val="12"/>
                <w:szCs w:val="12"/>
                <w:b w:val="1"/>
                <w:bCs w:val="1"/>
                <w:color w:val="auto"/>
              </w:rPr>
              <w:t>Republic of Liberia</w:t>
            </w:r>
          </w:p>
        </w:tc>
        <w:tc>
          <w:tcPr>
            <w:tcW w:w="24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6000" w:type="dxa"/>
            <w:vAlign w:val="bottom"/>
            <w:gridSpan w:val="3"/>
          </w:tcPr>
          <w:p>
            <w:pPr>
              <w:ind w:left="80"/>
              <w:spacing w:after="0"/>
              <w:rPr>
                <w:sz w:val="20"/>
                <w:szCs w:val="20"/>
                <w:color w:val="auto"/>
              </w:rPr>
            </w:pPr>
            <w:r>
              <w:rPr>
                <w:rFonts w:ascii="Times New Roman" w:cs="Times New Roman" w:eastAsia="Times New Roman" w:hAnsi="Times New Roman"/>
                <w:sz w:val="12"/>
                <w:szCs w:val="12"/>
                <w:color w:val="auto"/>
              </w:rPr>
              <w:t xml:space="preserve">Official No.: </w:t>
            </w:r>
            <w:r>
              <w:rPr>
                <w:rFonts w:ascii="Times New Roman" w:cs="Times New Roman" w:eastAsia="Times New Roman" w:hAnsi="Times New Roman"/>
                <w:sz w:val="12"/>
                <w:szCs w:val="12"/>
                <w:b w:val="1"/>
                <w:bCs w:val="1"/>
                <w:color w:val="auto"/>
              </w:rPr>
              <w:t>24774</w:t>
            </w:r>
          </w:p>
        </w:tc>
        <w:tc>
          <w:tcPr>
            <w:tcW w:w="24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6.</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Type of Vessel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7.</w:t>
            </w:r>
          </w:p>
        </w:tc>
        <w:tc>
          <w:tcPr>
            <w:tcW w:w="304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GT/NT</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Container Ship</w:t>
            </w:r>
          </w:p>
        </w:tc>
        <w:tc>
          <w:tcPr>
            <w:tcW w:w="240" w:type="dxa"/>
            <w:vAlign w:val="bottom"/>
          </w:tcPr>
          <w:p>
            <w:pPr>
              <w:spacing w:after="0"/>
              <w:rPr>
                <w:sz w:val="24"/>
                <w:szCs w:val="24"/>
                <w:color w:val="auto"/>
              </w:rPr>
            </w:pPr>
          </w:p>
        </w:tc>
        <w:tc>
          <w:tcPr>
            <w:tcW w:w="304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94684 / 55975</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3280" w:type="dxa"/>
            <w:vAlign w:val="bottom"/>
            <w:tcBorders>
              <w:bottom w:val="single" w:sz="8" w:color="auto"/>
            </w:tcBorders>
            <w:gridSpan w:val="2"/>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w:t>
            </w:r>
          </w:p>
        </w:tc>
        <w:tc>
          <w:tcPr>
            <w:tcW w:w="5760" w:type="dxa"/>
            <w:vAlign w:val="bottom"/>
            <w:tcBorders>
              <w:right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color w:val="auto"/>
              </w:rPr>
              <w:t>When/Where built</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9.   Total DWT (abt.) in metric tons on summer freeboard</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2016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 Hanjin Heavy Industries and Construction (Philippines), Zambales, Philippines</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gridSpan w:val="2"/>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10.</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Classification Society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11.</w:t>
            </w:r>
          </w:p>
        </w:tc>
        <w:tc>
          <w:tcPr>
            <w:tcW w:w="33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Date of last special survey by the Vessel's classification society</w:t>
            </w: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46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DNV</w:t>
            </w:r>
          </w:p>
        </w:tc>
        <w:tc>
          <w:tcPr>
            <w:tcW w:w="530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tcPr>
          <w:p>
            <w:pPr>
              <w:ind w:left="260"/>
              <w:spacing w:after="0"/>
              <w:rPr>
                <w:sz w:val="20"/>
                <w:szCs w:val="20"/>
                <w:color w:val="auto"/>
              </w:rPr>
            </w:pPr>
            <w:r>
              <w:rPr>
                <w:rFonts w:ascii="Times New Roman" w:cs="Times New Roman" w:eastAsia="Times New Roman" w:hAnsi="Times New Roman"/>
                <w:sz w:val="12"/>
                <w:szCs w:val="12"/>
                <w:b w:val="1"/>
                <w:bCs w:val="1"/>
                <w:color w:val="auto"/>
              </w:rPr>
              <w:t>As per Class certificates</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12.</w:t>
            </w:r>
          </w:p>
        </w:tc>
        <w:tc>
          <w:tcPr>
            <w:tcW w:w="600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w w:val="99"/>
              </w:rPr>
              <w:t>Further particulars of Vessel (also indicate minimum number of months' validity of class certificates agreed acc. to Cl. 3)</w:t>
            </w:r>
          </w:p>
        </w:tc>
        <w:tc>
          <w:tcPr>
            <w:tcW w:w="3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40" w:type="dxa"/>
            <w:vAlign w:val="bottom"/>
          </w:tcPr>
          <w:p>
            <w:pPr>
              <w:spacing w:after="0"/>
              <w:rPr>
                <w:sz w:val="24"/>
                <w:szCs w:val="24"/>
                <w:color w:val="auto"/>
              </w:rPr>
            </w:pPr>
          </w:p>
        </w:tc>
        <w:tc>
          <w:tcPr>
            <w:tcW w:w="576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Vessel’s Class certificates</w:t>
            </w:r>
          </w:p>
        </w:tc>
        <w:tc>
          <w:tcPr>
            <w:tcW w:w="24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8"/>
        </w:trPr>
        <w:tc>
          <w:tcPr>
            <w:tcW w:w="24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w w:val="93"/>
              </w:rPr>
              <w:t>13.</w:t>
            </w:r>
          </w:p>
        </w:tc>
        <w:tc>
          <w:tcPr>
            <w:tcW w:w="5760" w:type="dxa"/>
            <w:vAlign w:val="bottom"/>
            <w:tcBorders>
              <w:right w:val="single" w:sz="8" w:color="auto"/>
            </w:tcBorders>
            <w:gridSpan w:val="2"/>
          </w:tcPr>
          <w:p>
            <w:pPr>
              <w:ind w:left="180"/>
              <w:spacing w:after="0" w:line="118" w:lineRule="exact"/>
              <w:rPr>
                <w:sz w:val="20"/>
                <w:szCs w:val="20"/>
                <w:color w:val="auto"/>
              </w:rPr>
            </w:pPr>
            <w:r>
              <w:rPr>
                <w:rFonts w:ascii="Times New Roman" w:cs="Times New Roman" w:eastAsia="Times New Roman" w:hAnsi="Times New Roman"/>
                <w:sz w:val="12"/>
                <w:szCs w:val="12"/>
                <w:color w:val="auto"/>
              </w:rPr>
              <w:t>Port or Place of delivery (Cl. 3)</w:t>
            </w:r>
          </w:p>
        </w:tc>
        <w:tc>
          <w:tcPr>
            <w:tcW w:w="2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14.</w:t>
            </w:r>
          </w:p>
        </w:tc>
        <w:tc>
          <w:tcPr>
            <w:tcW w:w="3040" w:type="dxa"/>
            <w:vAlign w:val="bottom"/>
            <w:tcBorders>
              <w:right w:val="single" w:sz="8" w:color="auto"/>
            </w:tcBorders>
          </w:tcPr>
          <w:p>
            <w:pPr>
              <w:ind w:left="180"/>
              <w:spacing w:after="0" w:line="118" w:lineRule="exact"/>
              <w:rPr>
                <w:sz w:val="20"/>
                <w:szCs w:val="20"/>
                <w:color w:val="auto"/>
              </w:rPr>
            </w:pPr>
            <w:r>
              <w:rPr>
                <w:rFonts w:ascii="Times New Roman" w:cs="Times New Roman" w:eastAsia="Times New Roman" w:hAnsi="Times New Roman"/>
                <w:sz w:val="12"/>
                <w:szCs w:val="12"/>
                <w:color w:val="auto"/>
              </w:rPr>
              <w:t>Time for delivery (Cl. 4)</w:t>
            </w:r>
          </w:p>
        </w:tc>
        <w:tc>
          <w:tcPr>
            <w:tcW w:w="32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15.</w:t>
            </w:r>
          </w:p>
        </w:tc>
        <w:tc>
          <w:tcPr>
            <w:tcW w:w="1700" w:type="dxa"/>
            <w:vAlign w:val="bottom"/>
          </w:tcPr>
          <w:p>
            <w:pPr>
              <w:ind w:left="100"/>
              <w:spacing w:after="0" w:line="118" w:lineRule="exact"/>
              <w:rPr>
                <w:sz w:val="20"/>
                <w:szCs w:val="20"/>
                <w:color w:val="auto"/>
              </w:rPr>
            </w:pPr>
            <w:r>
              <w:rPr>
                <w:rFonts w:ascii="Times New Roman" w:cs="Times New Roman" w:eastAsia="Times New Roman" w:hAnsi="Times New Roman"/>
                <w:sz w:val="12"/>
                <w:szCs w:val="12"/>
                <w:color w:val="auto"/>
              </w:rPr>
              <w:t>Cancelling date (Cl. 5)</w:t>
            </w:r>
          </w:p>
        </w:tc>
        <w:tc>
          <w:tcPr>
            <w:tcW w:w="0" w:type="dxa"/>
            <w:vAlign w:val="bottom"/>
          </w:tcPr>
          <w:p>
            <w:pPr>
              <w:spacing w:after="0"/>
              <w:rPr>
                <w:sz w:val="1"/>
                <w:szCs w:val="1"/>
                <w:color w:val="auto"/>
              </w:rPr>
            </w:pPr>
          </w:p>
        </w:tc>
      </w:tr>
      <w:tr>
        <w:trPr>
          <w:trHeight w:val="159"/>
        </w:trPr>
        <w:tc>
          <w:tcPr>
            <w:tcW w:w="240" w:type="dxa"/>
            <w:vAlign w:val="bottom"/>
          </w:tcPr>
          <w:p>
            <w:pPr>
              <w:spacing w:after="0"/>
              <w:rPr>
                <w:sz w:val="13"/>
                <w:szCs w:val="13"/>
                <w:color w:val="auto"/>
              </w:rPr>
            </w:pPr>
          </w:p>
        </w:tc>
        <w:tc>
          <w:tcPr>
            <w:tcW w:w="5760" w:type="dxa"/>
            <w:vAlign w:val="bottom"/>
            <w:tcBorders>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3280" w:type="dxa"/>
            <w:vAlign w:val="bottom"/>
            <w:tcBorders>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35 (Delivery)</w:t>
            </w:r>
          </w:p>
        </w:tc>
        <w:tc>
          <w:tcPr>
            <w:tcW w:w="202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0" w:type="dxa"/>
            <w:vAlign w:val="bottom"/>
          </w:tcPr>
          <w:p>
            <w:pPr>
              <w:spacing w:after="0"/>
              <w:rPr>
                <w:sz w:val="1"/>
                <w:szCs w:val="1"/>
                <w:color w:val="auto"/>
              </w:rPr>
            </w:pPr>
          </w:p>
        </w:tc>
      </w:tr>
      <w:tr>
        <w:trPr>
          <w:trHeight w:val="144"/>
        </w:trPr>
        <w:tc>
          <w:tcPr>
            <w:tcW w:w="240" w:type="dxa"/>
            <w:vAlign w:val="bottom"/>
          </w:tcPr>
          <w:p>
            <w:pPr>
              <w:spacing w:after="0"/>
              <w:rPr>
                <w:sz w:val="12"/>
                <w:szCs w:val="12"/>
                <w:color w:val="auto"/>
              </w:rPr>
            </w:pPr>
          </w:p>
        </w:tc>
        <w:tc>
          <w:tcPr>
            <w:tcW w:w="5760" w:type="dxa"/>
            <w:vAlign w:val="bottom"/>
            <w:tcBorders>
              <w:right w:val="single" w:sz="8" w:color="auto"/>
            </w:tcBorders>
            <w:gridSpan w:val="2"/>
            <w:vMerge w:val="continue"/>
          </w:tcPr>
          <w:p>
            <w:pPr>
              <w:spacing w:after="0"/>
              <w:rPr>
                <w:sz w:val="12"/>
                <w:szCs w:val="12"/>
                <w:color w:val="auto"/>
              </w:rPr>
            </w:pPr>
          </w:p>
        </w:tc>
        <w:tc>
          <w:tcPr>
            <w:tcW w:w="3280" w:type="dxa"/>
            <w:vAlign w:val="bottom"/>
            <w:tcBorders>
              <w:right w:val="single" w:sz="8" w:color="auto"/>
            </w:tcBorders>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right w:val="single" w:sz="8" w:color="auto"/>
            </w:tcBorders>
          </w:tcPr>
          <w:p>
            <w:pPr>
              <w:spacing w:after="0"/>
              <w:rPr>
                <w:sz w:val="12"/>
                <w:szCs w:val="12"/>
                <w:color w:val="auto"/>
              </w:rPr>
            </w:pPr>
          </w:p>
        </w:tc>
        <w:tc>
          <w:tcPr>
            <w:tcW w:w="2020" w:type="dxa"/>
            <w:vAlign w:val="bottom"/>
            <w:tcBorders>
              <w:bottom w:val="single" w:sz="8" w:color="auto"/>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16.</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Port or Place of redelivery (Cl. 15)</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17.</w:t>
            </w:r>
          </w:p>
        </w:tc>
        <w:tc>
          <w:tcPr>
            <w:tcW w:w="5060" w:type="dxa"/>
            <w:vAlign w:val="bottom"/>
            <w:gridSpan w:val="3"/>
          </w:tcPr>
          <w:p>
            <w:pPr>
              <w:ind w:left="180"/>
              <w:spacing w:after="0"/>
              <w:rPr>
                <w:sz w:val="20"/>
                <w:szCs w:val="20"/>
                <w:color w:val="auto"/>
              </w:rPr>
            </w:pPr>
            <w:r>
              <w:rPr>
                <w:rFonts w:ascii="Times New Roman" w:cs="Times New Roman" w:eastAsia="Times New Roman" w:hAnsi="Times New Roman"/>
                <w:sz w:val="12"/>
                <w:szCs w:val="12"/>
                <w:color w:val="auto"/>
              </w:rPr>
              <w:t>No. of months’ validity of trading and class certificates upon redelivery (Cl. 15)</w:t>
            </w:r>
          </w:p>
        </w:tc>
        <w:tc>
          <w:tcPr>
            <w:tcW w:w="0" w:type="dxa"/>
            <w:vAlign w:val="bottom"/>
          </w:tcPr>
          <w:p>
            <w:pPr>
              <w:spacing w:after="0"/>
              <w:rPr>
                <w:sz w:val="1"/>
                <w:szCs w:val="1"/>
                <w:color w:val="auto"/>
              </w:rPr>
            </w:pPr>
          </w:p>
        </w:tc>
      </w:tr>
      <w:tr>
        <w:trPr>
          <w:trHeight w:val="277"/>
        </w:trPr>
        <w:tc>
          <w:tcPr>
            <w:tcW w:w="240" w:type="dxa"/>
            <w:vAlign w:val="bottom"/>
            <w:tcBorders>
              <w:bottom w:val="single" w:sz="8" w:color="auto"/>
            </w:tcBorders>
          </w:tcPr>
          <w:p>
            <w:pPr>
              <w:spacing w:after="0"/>
              <w:rPr>
                <w:sz w:val="24"/>
                <w:szCs w:val="24"/>
                <w:color w:val="auto"/>
              </w:rPr>
            </w:pPr>
          </w:p>
        </w:tc>
        <w:tc>
          <w:tcPr>
            <w:tcW w:w="5760" w:type="dxa"/>
            <w:vAlign w:val="bottom"/>
            <w:tcBorders>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42 (Redelivery)</w:t>
            </w: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Pr>
          <w:p>
            <w:pPr>
              <w:ind w:left="80"/>
              <w:spacing w:after="0"/>
              <w:rPr>
                <w:sz w:val="20"/>
                <w:szCs w:val="20"/>
                <w:color w:val="auto"/>
              </w:rPr>
            </w:pPr>
            <w:r>
              <w:rPr>
                <w:rFonts w:ascii="Times New Roman" w:cs="Times New Roman" w:eastAsia="Times New Roman" w:hAnsi="Times New Roman"/>
                <w:sz w:val="12"/>
                <w:szCs w:val="12"/>
                <w:color w:val="auto"/>
                <w:w w:val="93"/>
              </w:rPr>
              <w:t>18.</w:t>
            </w:r>
          </w:p>
        </w:tc>
        <w:tc>
          <w:tcPr>
            <w:tcW w:w="576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Running days' notice if other than stated in Cl. 4</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19.</w:t>
            </w:r>
          </w:p>
        </w:tc>
        <w:tc>
          <w:tcPr>
            <w:tcW w:w="30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Frequency of dry-docking (Cl. 10(g))</w:t>
            </w:r>
          </w:p>
        </w:tc>
        <w:tc>
          <w:tcPr>
            <w:tcW w:w="3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600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8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40" w:type="dxa"/>
            <w:vAlign w:val="bottom"/>
            <w:tcBorders>
              <w:bottom w:val="single" w:sz="8" w:color="auto"/>
            </w:tcBorders>
          </w:tcPr>
          <w:p>
            <w:pPr>
              <w:spacing w:after="0"/>
              <w:rPr>
                <w:sz w:val="12"/>
                <w:szCs w:val="12"/>
                <w:color w:val="auto"/>
              </w:rPr>
            </w:pPr>
          </w:p>
        </w:tc>
        <w:tc>
          <w:tcPr>
            <w:tcW w:w="576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30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40" w:type="dxa"/>
            <w:vAlign w:val="bottom"/>
          </w:tcPr>
          <w:p>
            <w:pPr>
              <w:ind w:left="80"/>
              <w:spacing w:after="0" w:line="134" w:lineRule="exact"/>
              <w:rPr>
                <w:sz w:val="20"/>
                <w:szCs w:val="20"/>
                <w:color w:val="auto"/>
              </w:rPr>
            </w:pPr>
            <w:r>
              <w:rPr>
                <w:rFonts w:ascii="Times New Roman" w:cs="Times New Roman" w:eastAsia="Times New Roman" w:hAnsi="Times New Roman"/>
                <w:sz w:val="12"/>
                <w:szCs w:val="12"/>
                <w:color w:val="auto"/>
                <w:w w:val="93"/>
              </w:rPr>
              <w:t>20.</w:t>
            </w:r>
          </w:p>
        </w:tc>
        <w:tc>
          <w:tcPr>
            <w:tcW w:w="5760" w:type="dxa"/>
            <w:vAlign w:val="bottom"/>
            <w:gridSpan w:val="2"/>
          </w:tcPr>
          <w:p>
            <w:pPr>
              <w:ind w:left="180"/>
              <w:spacing w:after="0" w:line="134" w:lineRule="exact"/>
              <w:rPr>
                <w:sz w:val="20"/>
                <w:szCs w:val="20"/>
                <w:color w:val="auto"/>
              </w:rPr>
            </w:pPr>
            <w:r>
              <w:rPr>
                <w:rFonts w:ascii="Times New Roman" w:cs="Times New Roman" w:eastAsia="Times New Roman" w:hAnsi="Times New Roman"/>
                <w:sz w:val="12"/>
                <w:szCs w:val="12"/>
                <w:color w:val="auto"/>
              </w:rPr>
              <w:t>Trading Limits (Cl. 6)</w:t>
            </w:r>
          </w:p>
        </w:tc>
        <w:tc>
          <w:tcPr>
            <w:tcW w:w="24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-4652010</wp:posOffset>
            </wp:positionV>
            <wp:extent cx="7183755" cy="62064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9">
                      <a:extLst>
                        <a:ext uri="{28A0092B-C50C-407E-A947-70E740481C1C}"/>
                      </a:extLst>
                    </a:blip>
                    <a:srcRect/>
                    <a:stretch>
                      <a:fillRect/>
                    </a:stretch>
                  </pic:blipFill>
                  <pic:spPr bwMode="auto">
                    <a:xfrm>
                      <a:off x="0" y="0"/>
                      <a:ext cx="7183755" cy="6206490"/>
                    </a:xfrm>
                    <a:prstGeom prst="rect">
                      <a:avLst/>
                    </a:prstGeom>
                    <a:noFill/>
                  </pic:spPr>
                </pic:pic>
              </a:graphicData>
            </a:graphic>
          </wp:anchor>
        </w:drawing>
      </w:r>
    </w:p>
    <w:p>
      <w:pPr>
        <w:ind w:left="80" w:right="80"/>
        <w:spacing w:after="0" w:line="249" w:lineRule="auto"/>
        <w:rPr>
          <w:sz w:val="20"/>
          <w:szCs w:val="20"/>
          <w:color w:val="auto"/>
        </w:rPr>
      </w:pPr>
      <w:r>
        <w:rPr>
          <w:rFonts w:ascii="Times New Roman" w:cs="Times New Roman" w:eastAsia="Times New Roman" w:hAnsi="Times New Roman"/>
          <w:sz w:val="12"/>
          <w:szCs w:val="12"/>
          <w:b w:val="1"/>
          <w:bCs w:val="1"/>
          <w:color w:val="auto"/>
        </w:rPr>
        <w:t>Trading worldwide, always safe/afloat, always within International Navigation Limits and subject to exclusions as per Joint War Risks Committee (JWC) Listed Areas (save as in accordance with clause 41 (Insurances) and any other country, port, place or zone prohibited by the Flag State and/or any of the Sanction Authorities (as defined in the Rider Clauses). Cargo Limits as per Vessel’s classification society’s requirement and the Vessel’s specifications.</w:t>
      </w:r>
    </w:p>
    <w:p>
      <w:pPr>
        <w:spacing w:after="0" w:line="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2"/>
          <w:szCs w:val="12"/>
          <w:b w:val="1"/>
          <w:bCs w:val="1"/>
          <w:color w:val="auto"/>
        </w:rPr>
        <w:t>Always subject to the terms and conditions contained in this Charter.</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21.</w:t>
            </w:r>
          </w:p>
        </w:tc>
        <w:tc>
          <w:tcPr>
            <w:tcW w:w="5740" w:type="dxa"/>
            <w:vAlign w:val="bottom"/>
            <w:tcBorders>
              <w:top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2"/>
                <w:szCs w:val="12"/>
                <w:color w:val="auto"/>
              </w:rPr>
              <w:t>Charter period (Cl. 2)</w:t>
            </w:r>
          </w:p>
        </w:tc>
        <w:tc>
          <w:tcPr>
            <w:tcW w:w="3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22.</w:t>
            </w:r>
          </w:p>
        </w:tc>
        <w:tc>
          <w:tcPr>
            <w:tcW w:w="496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2"/>
                <w:szCs w:val="12"/>
                <w:color w:val="auto"/>
              </w:rPr>
              <w:t>Charter hire (Cl. 11)</w:t>
            </w:r>
          </w:p>
        </w:tc>
      </w:tr>
      <w:tr>
        <w:trPr>
          <w:trHeight w:val="277"/>
        </w:trPr>
        <w:tc>
          <w:tcPr>
            <w:tcW w:w="6000" w:type="dxa"/>
            <w:vAlign w:val="bottom"/>
            <w:tcBorders>
              <w:right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One Hundred and Twenty (120) months, subject to terms of this Charter</w:t>
            </w:r>
          </w:p>
        </w:tc>
        <w:tc>
          <w:tcPr>
            <w:tcW w:w="5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 40 (Hire)</w:t>
            </w:r>
          </w:p>
        </w:tc>
      </w:tr>
      <w:tr>
        <w:trPr>
          <w:trHeight w:val="144"/>
        </w:trPr>
        <w:tc>
          <w:tcPr>
            <w:tcW w:w="260" w:type="dxa"/>
            <w:vAlign w:val="bottom"/>
            <w:tcBorders>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r>
      <w:tr>
        <w:trPr>
          <w:trHeight w:val="144"/>
        </w:trPr>
        <w:tc>
          <w:tcPr>
            <w:tcW w:w="26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23.</w:t>
            </w:r>
          </w:p>
        </w:tc>
        <w:tc>
          <w:tcPr>
            <w:tcW w:w="5740" w:type="dxa"/>
            <w:vAlign w:val="bottom"/>
          </w:tcPr>
          <w:p>
            <w:pPr>
              <w:ind w:left="160"/>
              <w:spacing w:after="0"/>
              <w:rPr>
                <w:sz w:val="20"/>
                <w:szCs w:val="20"/>
                <w:color w:val="auto"/>
              </w:rPr>
            </w:pPr>
            <w:r>
              <w:rPr>
                <w:rFonts w:ascii="Times New Roman" w:cs="Times New Roman" w:eastAsia="Times New Roman" w:hAnsi="Times New Roman"/>
                <w:sz w:val="12"/>
                <w:szCs w:val="12"/>
                <w:color w:val="auto"/>
                <w:w w:val="99"/>
              </w:rPr>
              <w:t>New class and other safety requirements (state percentage of Vessel’s insurance value acc. to Box 29) (Cl. 10(a)(ii))</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205"/>
        </w:trPr>
        <w:tc>
          <w:tcPr>
            <w:tcW w:w="260" w:type="dxa"/>
            <w:vAlign w:val="bottom"/>
          </w:tcPr>
          <w:p>
            <w:pPr>
              <w:spacing w:after="0"/>
              <w:rPr>
                <w:sz w:val="17"/>
                <w:szCs w:val="17"/>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34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72"/>
        </w:trPr>
        <w:tc>
          <w:tcPr>
            <w:tcW w:w="260" w:type="dxa"/>
            <w:vAlign w:val="bottom"/>
            <w:tcBorders>
              <w:bottom w:val="single" w:sz="8" w:color="auto"/>
            </w:tcBorders>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r>
      <w:tr>
        <w:trPr>
          <w:trHeight w:val="118"/>
        </w:trPr>
        <w:tc>
          <w:tcPr>
            <w:tcW w:w="2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24.</w:t>
            </w:r>
          </w:p>
        </w:tc>
        <w:tc>
          <w:tcPr>
            <w:tcW w:w="5740" w:type="dxa"/>
            <w:vAlign w:val="bottom"/>
            <w:tcBorders>
              <w:right w:val="single" w:sz="8" w:color="auto"/>
            </w:tcBorders>
          </w:tcPr>
          <w:p>
            <w:pPr>
              <w:ind w:left="160"/>
              <w:spacing w:after="0" w:line="118" w:lineRule="exact"/>
              <w:rPr>
                <w:sz w:val="20"/>
                <w:szCs w:val="20"/>
                <w:color w:val="auto"/>
              </w:rPr>
            </w:pPr>
            <w:r>
              <w:rPr>
                <w:rFonts w:ascii="Times New Roman" w:cs="Times New Roman" w:eastAsia="Times New Roman" w:hAnsi="Times New Roman"/>
                <w:sz w:val="12"/>
                <w:szCs w:val="12"/>
                <w:color w:val="auto"/>
              </w:rPr>
              <w:t>Rate of interest payable acc. to Cl. 11(f) and, if applicable, acc. to PART IV</w:t>
            </w:r>
          </w:p>
        </w:tc>
        <w:tc>
          <w:tcPr>
            <w:tcW w:w="340" w:type="dxa"/>
            <w:vAlign w:val="bottom"/>
          </w:tcPr>
          <w:p>
            <w:pPr>
              <w:ind w:left="60"/>
              <w:spacing w:after="0" w:line="118" w:lineRule="exact"/>
              <w:rPr>
                <w:sz w:val="20"/>
                <w:szCs w:val="20"/>
                <w:color w:val="auto"/>
              </w:rPr>
            </w:pPr>
            <w:r>
              <w:rPr>
                <w:rFonts w:ascii="Times New Roman" w:cs="Times New Roman" w:eastAsia="Times New Roman" w:hAnsi="Times New Roman"/>
                <w:sz w:val="12"/>
                <w:szCs w:val="12"/>
                <w:color w:val="auto"/>
              </w:rPr>
              <w:t>25.</w:t>
            </w:r>
          </w:p>
        </w:tc>
        <w:tc>
          <w:tcPr>
            <w:tcW w:w="4960" w:type="dxa"/>
            <w:vAlign w:val="bottom"/>
          </w:tcPr>
          <w:p>
            <w:pPr>
              <w:ind w:left="80"/>
              <w:spacing w:after="0" w:line="118" w:lineRule="exact"/>
              <w:rPr>
                <w:sz w:val="20"/>
                <w:szCs w:val="20"/>
                <w:color w:val="auto"/>
              </w:rPr>
            </w:pPr>
            <w:r>
              <w:rPr>
                <w:rFonts w:ascii="Times New Roman" w:cs="Times New Roman" w:eastAsia="Times New Roman" w:hAnsi="Times New Roman"/>
                <w:sz w:val="12"/>
                <w:szCs w:val="12"/>
                <w:color w:val="auto"/>
              </w:rPr>
              <w:t>Currency and method of payment (Cl. 11)</w:t>
            </w: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Default Interest Rate as defined in the Additional Clauses</w:t>
            </w:r>
          </w:p>
        </w:tc>
        <w:tc>
          <w:tcPr>
            <w:tcW w:w="340" w:type="dxa"/>
            <w:vAlign w:val="bottom"/>
          </w:tcPr>
          <w:p>
            <w:pPr>
              <w:spacing w:after="0"/>
              <w:rPr>
                <w:sz w:val="12"/>
                <w:szCs w:val="12"/>
                <w:color w:val="auto"/>
              </w:rPr>
            </w:pPr>
          </w:p>
        </w:tc>
        <w:tc>
          <w:tcPr>
            <w:tcW w:w="4960" w:type="dxa"/>
            <w:vAlign w:val="bottom"/>
          </w:tcPr>
          <w:p>
            <w:pPr>
              <w:spacing w:after="0"/>
              <w:rPr>
                <w:sz w:val="12"/>
                <w:szCs w:val="12"/>
                <w:color w:val="auto"/>
              </w:rPr>
            </w:pPr>
          </w:p>
        </w:tc>
      </w:tr>
      <w:tr>
        <w:trPr>
          <w:trHeight w:val="144"/>
        </w:trPr>
        <w:tc>
          <w:tcPr>
            <w:tcW w:w="260" w:type="dxa"/>
            <w:vAlign w:val="bottom"/>
          </w:tcPr>
          <w:p>
            <w:pPr>
              <w:spacing w:after="0"/>
              <w:rPr>
                <w:sz w:val="12"/>
                <w:szCs w:val="12"/>
                <w:color w:val="auto"/>
              </w:rPr>
            </w:pPr>
          </w:p>
        </w:tc>
        <w:tc>
          <w:tcPr>
            <w:tcW w:w="57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3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US$</w:t>
            </w:r>
          </w:p>
        </w:tc>
        <w:tc>
          <w:tcPr>
            <w:tcW w:w="4960" w:type="dxa"/>
            <w:vAlign w:val="bottom"/>
          </w:tcPr>
          <w:p>
            <w:pPr>
              <w:spacing w:after="0"/>
              <w:rPr>
                <w:sz w:val="12"/>
                <w:szCs w:val="12"/>
                <w:color w:val="auto"/>
              </w:rPr>
            </w:pPr>
          </w:p>
        </w:tc>
      </w:tr>
      <w:tr>
        <w:trPr>
          <w:trHeight w:val="159"/>
        </w:trPr>
        <w:tc>
          <w:tcPr>
            <w:tcW w:w="260" w:type="dxa"/>
            <w:vAlign w:val="bottom"/>
          </w:tcPr>
          <w:p>
            <w:pPr>
              <w:spacing w:after="0"/>
              <w:rPr>
                <w:sz w:val="13"/>
                <w:szCs w:val="13"/>
                <w:color w:val="auto"/>
              </w:rPr>
            </w:pPr>
          </w:p>
        </w:tc>
        <w:tc>
          <w:tcPr>
            <w:tcW w:w="5740" w:type="dxa"/>
            <w:vAlign w:val="bottom"/>
            <w:tcBorders>
              <w:right w:val="single" w:sz="8" w:color="auto"/>
            </w:tcBorders>
          </w:tcPr>
          <w:p>
            <w:pPr>
              <w:spacing w:after="0"/>
              <w:rPr>
                <w:sz w:val="13"/>
                <w:szCs w:val="13"/>
                <w:color w:val="auto"/>
              </w:rPr>
            </w:pPr>
          </w:p>
        </w:tc>
        <w:tc>
          <w:tcPr>
            <w:tcW w:w="530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r>
      <w:tr>
        <w:trPr>
          <w:trHeight w:val="108"/>
        </w:trPr>
        <w:tc>
          <w:tcPr>
            <w:tcW w:w="260" w:type="dxa"/>
            <w:vAlign w:val="bottom"/>
            <w:tcBorders>
              <w:bottom w:val="single" w:sz="8" w:color="auto"/>
            </w:tcBorders>
          </w:tcPr>
          <w:p>
            <w:pPr>
              <w:spacing w:after="0"/>
              <w:rPr>
                <w:sz w:val="9"/>
                <w:szCs w:val="9"/>
                <w:color w:val="auto"/>
              </w:rPr>
            </w:pPr>
          </w:p>
        </w:tc>
        <w:tc>
          <w:tcPr>
            <w:tcW w:w="5740" w:type="dxa"/>
            <w:vAlign w:val="bottom"/>
            <w:tcBorders>
              <w:bottom w:val="single" w:sz="8" w:color="auto"/>
              <w:right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960" w:type="dxa"/>
            <w:vAlign w:val="bottom"/>
            <w:tcBorders>
              <w:bottom w:val="single" w:sz="8" w:color="auto"/>
            </w:tcBorders>
          </w:tcPr>
          <w:p>
            <w:pPr>
              <w:spacing w:after="0"/>
              <w:rPr>
                <w:sz w:val="9"/>
                <w:szCs w:val="9"/>
                <w:color w:val="auto"/>
              </w:rPr>
            </w:pPr>
          </w:p>
        </w:tc>
      </w:tr>
      <w:tr>
        <w:trPr>
          <w:trHeight w:val="349"/>
        </w:trPr>
        <w:tc>
          <w:tcPr>
            <w:tcW w:w="2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ind w:left="5360"/>
              <w:spacing w:after="0"/>
              <w:rPr>
                <w:sz w:val="20"/>
                <w:szCs w:val="20"/>
                <w:color w:val="auto"/>
              </w:rPr>
            </w:pPr>
            <w:r>
              <w:rPr>
                <w:rFonts w:ascii="Times New Roman" w:cs="Times New Roman" w:eastAsia="Times New Roman" w:hAnsi="Times New Roman"/>
                <w:sz w:val="12"/>
                <w:szCs w:val="12"/>
                <w:color w:val="auto"/>
              </w:rPr>
              <w:t>1</w:t>
            </w:r>
          </w:p>
        </w:tc>
        <w:tc>
          <w:tcPr>
            <w:tcW w:w="34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5" w:right="299" w:bottom="1440" w:gutter="0" w:footer="0" w:header="0"/>
        </w:sectPr>
      </w:pPr>
    </w:p>
    <w:bookmarkStart w:id="295" w:name="page296"/>
    <w:bookmarkEnd w:id="29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960" w:type="dxa"/>
            <w:vAlign w:val="bottom"/>
            <w:gridSpan w:val="2"/>
          </w:tcPr>
          <w:p>
            <w:pPr>
              <w:jc w:val="right"/>
              <w:spacing w:after="0"/>
              <w:rPr>
                <w:sz w:val="20"/>
                <w:szCs w:val="20"/>
                <w:color w:val="auto"/>
              </w:rPr>
            </w:pPr>
            <w:r>
              <w:rPr>
                <w:rFonts w:ascii="Arial" w:cs="Arial" w:eastAsia="Arial" w:hAnsi="Arial"/>
                <w:sz w:val="10"/>
                <w:szCs w:val="10"/>
                <w:b w:val="1"/>
                <w:bCs w:val="1"/>
                <w:color w:val="auto"/>
              </w:rPr>
              <w:t>SYDNEY EXPRESS</w:t>
            </w:r>
          </w:p>
        </w:tc>
        <w:tc>
          <w:tcPr>
            <w:tcW w:w="0" w:type="dxa"/>
            <w:vAlign w:val="bottom"/>
          </w:tcPr>
          <w:p>
            <w:pPr>
              <w:spacing w:after="0"/>
              <w:rPr>
                <w:sz w:val="1"/>
                <w:szCs w:val="1"/>
                <w:color w:val="auto"/>
              </w:rPr>
            </w:pPr>
          </w:p>
        </w:tc>
      </w:tr>
      <w:tr>
        <w:trPr>
          <w:trHeight w:val="131"/>
        </w:trPr>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960" w:type="dxa"/>
            <w:vAlign w:val="bottom"/>
            <w:gridSpan w:val="2"/>
          </w:tcPr>
          <w:p>
            <w:pPr>
              <w:jc w:val="right"/>
              <w:spacing w:after="0"/>
              <w:rPr>
                <w:sz w:val="20"/>
                <w:szCs w:val="20"/>
                <w:color w:val="auto"/>
              </w:rPr>
            </w:pPr>
            <w:r>
              <w:rPr>
                <w:rFonts w:ascii="Arial" w:cs="Arial" w:eastAsia="Arial" w:hAnsi="Arial"/>
                <w:sz w:val="10"/>
                <w:szCs w:val="10"/>
                <w:b w:val="1"/>
                <w:bCs w:val="1"/>
                <w:color w:val="auto"/>
                <w:w w:val="93"/>
              </w:rPr>
              <w:t>BBC BARECON 2001</w:t>
            </w:r>
          </w:p>
        </w:tc>
        <w:tc>
          <w:tcPr>
            <w:tcW w:w="0" w:type="dxa"/>
            <w:vAlign w:val="bottom"/>
          </w:tcPr>
          <w:p>
            <w:pPr>
              <w:spacing w:after="0"/>
              <w:rPr>
                <w:sz w:val="1"/>
                <w:szCs w:val="1"/>
                <w:color w:val="auto"/>
              </w:rPr>
            </w:pPr>
          </w:p>
        </w:tc>
      </w:tr>
      <w:tr>
        <w:trPr>
          <w:trHeight w:val="344"/>
        </w:trPr>
        <w:tc>
          <w:tcPr>
            <w:tcW w:w="5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2"/>
                <w:szCs w:val="12"/>
                <w:color w:val="auto"/>
              </w:rPr>
              <w:t>(continued)</w:t>
            </w:r>
          </w:p>
        </w:tc>
        <w:tc>
          <w:tcPr>
            <w:tcW w:w="9760" w:type="dxa"/>
            <w:vAlign w:val="bottom"/>
            <w:tcBorders>
              <w:bottom w:val="single" w:sz="8" w:color="auto"/>
            </w:tcBorders>
            <w:gridSpan w:val="3"/>
          </w:tcPr>
          <w:p>
            <w:pPr>
              <w:ind w:left="3580"/>
              <w:spacing w:after="0"/>
              <w:rPr>
                <w:sz w:val="20"/>
                <w:szCs w:val="20"/>
                <w:color w:val="auto"/>
              </w:rPr>
            </w:pPr>
            <w:r>
              <w:rPr>
                <w:rFonts w:ascii="Times New Roman" w:cs="Times New Roman" w:eastAsia="Times New Roman" w:hAnsi="Times New Roman"/>
                <w:sz w:val="12"/>
                <w:szCs w:val="12"/>
                <w:b w:val="1"/>
                <w:bCs w:val="1"/>
                <w:color w:val="auto"/>
              </w:rPr>
              <w:t>“BARECON 2001” STANDARD BAREBOAT CHARTER</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PART 1</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Place of payment; also state beneficiary and bank account (Cl. 11)</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27.</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Bank guarantee/bond (sum and place) (Cl.24) (optional)</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 40(d) (</w:t>
            </w:r>
            <w:r>
              <w:rPr>
                <w:rFonts w:ascii="Times New Roman" w:cs="Times New Roman" w:eastAsia="Times New Roman" w:hAnsi="Times New Roman"/>
                <w:sz w:val="12"/>
                <w:szCs w:val="12"/>
                <w:b w:val="1"/>
                <w:bCs w:val="1"/>
                <w:i w:val="1"/>
                <w:iCs w:val="1"/>
                <w:color w:val="auto"/>
              </w:rPr>
              <w:t>Payment account information</w:t>
            </w:r>
            <w:r>
              <w:rPr>
                <w:rFonts w:ascii="Times New Roman" w:cs="Times New Roman" w:eastAsia="Times New Roman" w:hAnsi="Times New Roman"/>
                <w:sz w:val="12"/>
                <w:szCs w:val="12"/>
                <w:b w:val="1"/>
                <w:bCs w:val="1"/>
                <w:color w:val="auto"/>
              </w:rPr>
              <w:t>)</w:t>
            </w:r>
          </w:p>
        </w:tc>
        <w:tc>
          <w:tcPr>
            <w:tcW w:w="4340" w:type="dxa"/>
            <w:vAlign w:val="bottom"/>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28.</w:t>
            </w:r>
          </w:p>
        </w:tc>
        <w:tc>
          <w:tcPr>
            <w:tcW w:w="5740" w:type="dxa"/>
            <w:vAlign w:val="bottom"/>
            <w:tcBorders>
              <w:right w:val="single" w:sz="8" w:color="auto"/>
            </w:tcBorders>
            <w:gridSpan w:val="2"/>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Mortgage(s), if any (state whether 12(a) or (b) applies; if 12(b) applies state date of Financial Instrument and name</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29.</w:t>
            </w:r>
          </w:p>
        </w:tc>
        <w:tc>
          <w:tcPr>
            <w:tcW w:w="5060" w:type="dxa"/>
            <w:vAlign w:val="bottom"/>
            <w:tcBorders>
              <w:right w:val="single" w:sz="8" w:color="auto"/>
            </w:tcBorders>
            <w:gridSpan w:val="3"/>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Insurance (hull and machinery and war risks)(state value acc. to Cl. 13(f) or, if applicable, acc. to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color w:val="auto"/>
              </w:rPr>
              <w:t>of Mortgagee(s)/Place of business)(Cl. 12)</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14(k)) (also state if Cl. 14 applies)</w:t>
            </w:r>
          </w:p>
        </w:tc>
        <w:tc>
          <w:tcPr>
            <w:tcW w:w="2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24"/>
                <w:szCs w:val="24"/>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60" w:type="dxa"/>
            <w:vAlign w:val="bottom"/>
            <w:tcBorders>
              <w:left w:val="single" w:sz="8" w:color="auto"/>
            </w:tcBorders>
          </w:tcPr>
          <w:p>
            <w:pPr>
              <w:jc w:val="right"/>
              <w:spacing w:after="0" w:line="122" w:lineRule="exact"/>
              <w:rPr>
                <w:sz w:val="20"/>
                <w:szCs w:val="20"/>
                <w:color w:val="auto"/>
              </w:rPr>
            </w:pPr>
            <w:r>
              <w:rPr>
                <w:rFonts w:ascii="Times New Roman" w:cs="Times New Roman" w:eastAsia="Times New Roman" w:hAnsi="Times New Roman"/>
                <w:sz w:val="12"/>
                <w:szCs w:val="12"/>
                <w:color w:val="auto"/>
              </w:rPr>
              <w:t>30.</w:t>
            </w:r>
          </w:p>
        </w:tc>
        <w:tc>
          <w:tcPr>
            <w:tcW w:w="5740" w:type="dxa"/>
            <w:vAlign w:val="bottom"/>
            <w:tcBorders>
              <w:right w:val="single" w:sz="8" w:color="auto"/>
            </w:tcBorders>
            <w:gridSpan w:val="2"/>
          </w:tcPr>
          <w:p>
            <w:pPr>
              <w:ind w:left="160"/>
              <w:spacing w:after="0" w:line="122" w:lineRule="exact"/>
              <w:rPr>
                <w:sz w:val="20"/>
                <w:szCs w:val="20"/>
                <w:color w:val="auto"/>
              </w:rPr>
            </w:pPr>
            <w:r>
              <w:rPr>
                <w:rFonts w:ascii="Times New Roman" w:cs="Times New Roman" w:eastAsia="Times New Roman" w:hAnsi="Times New Roman"/>
                <w:sz w:val="12"/>
                <w:szCs w:val="12"/>
                <w:color w:val="auto"/>
              </w:rPr>
              <w:t>Additional insurance cover, if any, for Owners' account limited to (Cl. 13(b) or, if applicable, (Cl. 14(g))</w:t>
            </w:r>
          </w:p>
        </w:tc>
        <w:tc>
          <w:tcPr>
            <w:tcW w:w="240" w:type="dxa"/>
            <w:vAlign w:val="bottom"/>
          </w:tcPr>
          <w:p>
            <w:pPr>
              <w:ind w:left="60"/>
              <w:spacing w:after="0" w:line="122" w:lineRule="exact"/>
              <w:rPr>
                <w:sz w:val="20"/>
                <w:szCs w:val="20"/>
                <w:color w:val="auto"/>
              </w:rPr>
            </w:pPr>
            <w:r>
              <w:rPr>
                <w:rFonts w:ascii="Times New Roman" w:cs="Times New Roman" w:eastAsia="Times New Roman" w:hAnsi="Times New Roman"/>
                <w:sz w:val="12"/>
                <w:szCs w:val="12"/>
                <w:color w:val="auto"/>
              </w:rPr>
              <w:t>31.</w:t>
            </w:r>
          </w:p>
        </w:tc>
        <w:tc>
          <w:tcPr>
            <w:tcW w:w="5060" w:type="dxa"/>
            <w:vAlign w:val="bottom"/>
            <w:tcBorders>
              <w:right w:val="single" w:sz="8" w:color="auto"/>
            </w:tcBorders>
            <w:gridSpan w:val="3"/>
          </w:tcPr>
          <w:p>
            <w:pPr>
              <w:ind w:left="200"/>
              <w:spacing w:after="0" w:line="122" w:lineRule="exact"/>
              <w:rPr>
                <w:sz w:val="20"/>
                <w:szCs w:val="20"/>
                <w:color w:val="auto"/>
              </w:rPr>
            </w:pPr>
            <w:r>
              <w:rPr>
                <w:rFonts w:ascii="Times New Roman" w:cs="Times New Roman" w:eastAsia="Times New Roman" w:hAnsi="Times New Roman"/>
                <w:sz w:val="12"/>
                <w:szCs w:val="12"/>
                <w:color w:val="auto"/>
                <w:w w:val="99"/>
              </w:rPr>
              <w:t>Additional insurance cover, if any, for Charterers' account limited to (Cl. 13(b)) or, if applicable, (Cl.</w:t>
            </w:r>
          </w:p>
        </w:tc>
        <w:tc>
          <w:tcPr>
            <w:tcW w:w="0" w:type="dxa"/>
            <w:vAlign w:val="bottom"/>
          </w:tcPr>
          <w:p>
            <w:pPr>
              <w:spacing w:after="0"/>
              <w:rPr>
                <w:sz w:val="1"/>
                <w:szCs w:val="1"/>
                <w:color w:val="auto"/>
              </w:rPr>
            </w:pPr>
          </w:p>
        </w:tc>
      </w:tr>
      <w:tr>
        <w:trPr>
          <w:trHeight w:val="155"/>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14(g))</w:t>
            </w:r>
          </w:p>
        </w:tc>
        <w:tc>
          <w:tcPr>
            <w:tcW w:w="2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41 (Insurance)</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2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Latent defects (only to be filled in if period other than stated in Cl. 3)</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33.</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Brokerage commission and to whom payable (Cl. 27)</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tcBorders>
              <w:right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320" w:type="dxa"/>
            <w:vAlign w:val="bottom"/>
            <w:tcBorders>
              <w:bottom w:val="single" w:sz="8" w:color="auto"/>
            </w:tcBorders>
            <w:gridSpan w:val="2"/>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60" w:type="dxa"/>
            <w:vAlign w:val="bottom"/>
            <w:tcBorders>
              <w:left w:val="single" w:sz="8" w:color="auto"/>
            </w:tcBorders>
          </w:tcPr>
          <w:p>
            <w:pPr>
              <w:jc w:val="right"/>
              <w:spacing w:after="0" w:line="106" w:lineRule="exact"/>
              <w:rPr>
                <w:sz w:val="20"/>
                <w:szCs w:val="20"/>
                <w:color w:val="auto"/>
              </w:rPr>
            </w:pPr>
            <w:r>
              <w:rPr>
                <w:rFonts w:ascii="Times New Roman" w:cs="Times New Roman" w:eastAsia="Times New Roman" w:hAnsi="Times New Roman"/>
                <w:sz w:val="12"/>
                <w:szCs w:val="12"/>
                <w:color w:val="auto"/>
              </w:rPr>
              <w:t>34.</w:t>
            </w:r>
          </w:p>
        </w:tc>
        <w:tc>
          <w:tcPr>
            <w:tcW w:w="5740" w:type="dxa"/>
            <w:vAlign w:val="bottom"/>
            <w:tcBorders>
              <w:right w:val="single" w:sz="8" w:color="auto"/>
            </w:tcBorders>
            <w:gridSpan w:val="2"/>
          </w:tcPr>
          <w:p>
            <w:pPr>
              <w:ind w:left="160"/>
              <w:spacing w:after="0" w:line="106" w:lineRule="exact"/>
              <w:rPr>
                <w:sz w:val="20"/>
                <w:szCs w:val="20"/>
                <w:color w:val="auto"/>
              </w:rPr>
            </w:pPr>
            <w:r>
              <w:rPr>
                <w:rFonts w:ascii="Times New Roman" w:cs="Times New Roman" w:eastAsia="Times New Roman" w:hAnsi="Times New Roman"/>
                <w:sz w:val="12"/>
                <w:szCs w:val="12"/>
                <w:color w:val="auto"/>
              </w:rPr>
              <w:t>Grace period (state number of clear banking days)(Cl. 28)</w:t>
            </w:r>
          </w:p>
        </w:tc>
        <w:tc>
          <w:tcPr>
            <w:tcW w:w="240" w:type="dxa"/>
            <w:vAlign w:val="bottom"/>
          </w:tcPr>
          <w:p>
            <w:pPr>
              <w:ind w:left="60"/>
              <w:spacing w:after="0" w:line="106" w:lineRule="exact"/>
              <w:rPr>
                <w:sz w:val="20"/>
                <w:szCs w:val="20"/>
                <w:color w:val="auto"/>
              </w:rPr>
            </w:pPr>
            <w:r>
              <w:rPr>
                <w:rFonts w:ascii="Times New Roman" w:cs="Times New Roman" w:eastAsia="Times New Roman" w:hAnsi="Times New Roman"/>
                <w:sz w:val="12"/>
                <w:szCs w:val="12"/>
                <w:color w:val="auto"/>
              </w:rPr>
              <w:t>35.</w:t>
            </w:r>
          </w:p>
        </w:tc>
        <w:tc>
          <w:tcPr>
            <w:tcW w:w="5060" w:type="dxa"/>
            <w:vAlign w:val="bottom"/>
            <w:tcBorders>
              <w:right w:val="single" w:sz="8" w:color="auto"/>
            </w:tcBorders>
            <w:gridSpan w:val="3"/>
          </w:tcPr>
          <w:p>
            <w:pPr>
              <w:ind w:left="180"/>
              <w:spacing w:after="0" w:line="106" w:lineRule="exact"/>
              <w:rPr>
                <w:sz w:val="20"/>
                <w:szCs w:val="20"/>
                <w:color w:val="auto"/>
              </w:rPr>
            </w:pPr>
            <w:r>
              <w:rPr>
                <w:rFonts w:ascii="Times New Roman" w:cs="Times New Roman" w:eastAsia="Times New Roman" w:hAnsi="Times New Roman"/>
                <w:sz w:val="12"/>
                <w:szCs w:val="12"/>
                <w:color w:val="auto"/>
                <w:w w:val="98"/>
              </w:rPr>
              <w:t>Dispute Resolution (state 30(a), 30(b) or 30(c); if 30(c) agreed Place of Arbitration must be stated (Cl.</w:t>
            </w:r>
          </w:p>
        </w:tc>
        <w:tc>
          <w:tcPr>
            <w:tcW w:w="0" w:type="dxa"/>
            <w:vAlign w:val="bottom"/>
          </w:tcPr>
          <w:p>
            <w:pPr>
              <w:spacing w:after="0"/>
              <w:rPr>
                <w:sz w:val="1"/>
                <w:szCs w:val="1"/>
                <w:color w:val="auto"/>
              </w:rPr>
            </w:pPr>
          </w:p>
        </w:tc>
      </w:tr>
      <w:tr>
        <w:trPr>
          <w:trHeight w:val="151"/>
        </w:trPr>
        <w:tc>
          <w:tcPr>
            <w:tcW w:w="260" w:type="dxa"/>
            <w:vAlign w:val="bottom"/>
            <w:tcBorders>
              <w:left w:val="single" w:sz="8" w:color="auto"/>
            </w:tcBorders>
          </w:tcPr>
          <w:p>
            <w:pPr>
              <w:spacing w:after="0"/>
              <w:rPr>
                <w:sz w:val="13"/>
                <w:szCs w:val="13"/>
                <w:color w:val="auto"/>
              </w:rPr>
            </w:pPr>
          </w:p>
        </w:tc>
        <w:tc>
          <w:tcPr>
            <w:tcW w:w="574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See Additional Clauses</w:t>
            </w:r>
          </w:p>
        </w:tc>
        <w:tc>
          <w:tcPr>
            <w:tcW w:w="240" w:type="dxa"/>
            <w:vAlign w:val="bottom"/>
          </w:tcPr>
          <w:p>
            <w:pPr>
              <w:spacing w:after="0"/>
              <w:rPr>
                <w:sz w:val="13"/>
                <w:szCs w:val="13"/>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30)</w:t>
            </w:r>
          </w:p>
        </w:tc>
        <w:tc>
          <w:tcPr>
            <w:tcW w:w="220" w:type="dxa"/>
            <w:vAlign w:val="bottom"/>
            <w:tcBorders>
              <w:top w:val="single" w:sz="8" w:color="auto"/>
            </w:tcBorders>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5740" w:type="dxa"/>
            <w:vAlign w:val="bottom"/>
            <w:tcBorders>
              <w:right w:val="single" w:sz="8" w:color="auto"/>
            </w:tcBorders>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2"/>
                <w:szCs w:val="12"/>
                <w:b w:val="1"/>
                <w:bCs w:val="1"/>
                <w:color w:val="auto"/>
              </w:rPr>
              <w:t>See Additional Clause 74 (Arbitration)</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5420" w:type="dxa"/>
            <w:vAlign w:val="bottom"/>
            <w:tcBorders>
              <w:right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4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War cancellation (indicate countries agreed) (Cl. 26(f))</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Not Applicable</w:t>
            </w: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Newbuilding Vessel (indicate with "yes or "no" whether Part III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38.</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Name and place of Builders (only to be filled in if Part III applies)</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Vessel's Yard Building No. (only to be filled in if Part III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40.</w:t>
            </w:r>
          </w:p>
        </w:tc>
        <w:tc>
          <w:tcPr>
            <w:tcW w:w="4100" w:type="dxa"/>
            <w:vAlign w:val="bottom"/>
          </w:tcPr>
          <w:p>
            <w:pPr>
              <w:ind w:left="200"/>
              <w:spacing w:after="0"/>
              <w:rPr>
                <w:sz w:val="20"/>
                <w:szCs w:val="20"/>
                <w:color w:val="auto"/>
              </w:rPr>
            </w:pPr>
            <w:r>
              <w:rPr>
                <w:rFonts w:ascii="Times New Roman" w:cs="Times New Roman" w:eastAsia="Times New Roman" w:hAnsi="Times New Roman"/>
                <w:sz w:val="12"/>
                <w:szCs w:val="12"/>
                <w:color w:val="auto"/>
              </w:rPr>
              <w:t>Date of Building Contract (only to be filled in if Part III applies)</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Liquidated damages and costs shall accrue to (state party acc. to Cl. 1)</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60" w:type="dxa"/>
            <w:vAlign w:val="bottom"/>
            <w:tcBorders>
              <w:left w:val="single" w:sz="8" w:color="auto"/>
            </w:tcBorders>
          </w:tcPr>
          <w:p>
            <w:pPr>
              <w:spacing w:after="0"/>
              <w:rPr>
                <w:sz w:val="17"/>
                <w:szCs w:val="17"/>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w:t>
            </w:r>
          </w:p>
        </w:tc>
        <w:tc>
          <w:tcPr>
            <w:tcW w:w="5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w:t>
            </w:r>
          </w:p>
        </w:tc>
        <w:tc>
          <w:tcPr>
            <w:tcW w:w="5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72"/>
        </w:trPr>
        <w:tc>
          <w:tcPr>
            <w:tcW w:w="260" w:type="dxa"/>
            <w:vAlign w:val="bottom"/>
            <w:tcBorders>
              <w:left w:val="single" w:sz="8" w:color="auto"/>
              <w:bottom w:val="single" w:sz="8" w:color="auto"/>
            </w:tcBorders>
          </w:tcPr>
          <w:p>
            <w:pPr>
              <w:spacing w:after="0"/>
              <w:rPr>
                <w:sz w:val="6"/>
                <w:szCs w:val="6"/>
                <w:color w:val="auto"/>
              </w:rPr>
            </w:pPr>
          </w:p>
        </w:tc>
        <w:tc>
          <w:tcPr>
            <w:tcW w:w="574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4320" w:type="dxa"/>
            <w:vAlign w:val="bottom"/>
            <w:tcBorders>
              <w:bottom w:val="single" w:sz="8" w:color="auto"/>
            </w:tcBorders>
            <w:gridSpan w:val="2"/>
          </w:tcPr>
          <w:p>
            <w:pPr>
              <w:spacing w:after="0"/>
              <w:rPr>
                <w:sz w:val="6"/>
                <w:szCs w:val="6"/>
                <w:color w:val="auto"/>
              </w:rPr>
            </w:pPr>
          </w:p>
        </w:tc>
        <w:tc>
          <w:tcPr>
            <w:tcW w:w="7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5740" w:type="dxa"/>
            <w:vAlign w:val="bottom"/>
            <w:tcBorders>
              <w:right w:val="single" w:sz="8" w:color="auto"/>
            </w:tcBorders>
            <w:gridSpan w:val="2"/>
          </w:tcPr>
          <w:p>
            <w:pPr>
              <w:ind w:left="180"/>
              <w:spacing w:after="0"/>
              <w:rPr>
                <w:sz w:val="20"/>
                <w:szCs w:val="20"/>
                <w:color w:val="auto"/>
              </w:rPr>
            </w:pPr>
            <w:r>
              <w:rPr>
                <w:rFonts w:ascii="Times New Roman" w:cs="Times New Roman" w:eastAsia="Times New Roman" w:hAnsi="Times New Roman"/>
                <w:sz w:val="12"/>
                <w:szCs w:val="12"/>
                <w:color w:val="auto"/>
              </w:rPr>
              <w:t>Hire/Purchase agreement (indicate with "yes" or "no" whether Part IV applies) (optional)</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43.</w:t>
            </w:r>
          </w:p>
        </w:tc>
        <w:tc>
          <w:tcPr>
            <w:tcW w:w="5060" w:type="dxa"/>
            <w:vAlign w:val="bottom"/>
            <w:tcBorders>
              <w:right w:val="single" w:sz="8" w:color="auto"/>
            </w:tcBorders>
            <w:gridSpan w:val="3"/>
          </w:tcPr>
          <w:p>
            <w:pPr>
              <w:ind w:left="180"/>
              <w:spacing w:after="0"/>
              <w:rPr>
                <w:sz w:val="20"/>
                <w:szCs w:val="20"/>
                <w:color w:val="auto"/>
              </w:rPr>
            </w:pPr>
            <w:r>
              <w:rPr>
                <w:rFonts w:ascii="Times New Roman" w:cs="Times New Roman" w:eastAsia="Times New Roman" w:hAnsi="Times New Roman"/>
                <w:sz w:val="12"/>
                <w:szCs w:val="12"/>
                <w:color w:val="auto"/>
              </w:rPr>
              <w:t>Bareboat Charter Registry (indicate with "yes" or "no" whether Part V applies) (optional)</w:t>
            </w:r>
          </w:p>
        </w:tc>
        <w:tc>
          <w:tcPr>
            <w:tcW w:w="0" w:type="dxa"/>
            <w:vAlign w:val="bottom"/>
          </w:tcPr>
          <w:p>
            <w:pPr>
              <w:spacing w:after="0"/>
              <w:rPr>
                <w:sz w:val="1"/>
                <w:szCs w:val="1"/>
                <w:color w:val="auto"/>
              </w:rPr>
            </w:pPr>
          </w:p>
        </w:tc>
      </w:tr>
      <w:tr>
        <w:trPr>
          <w:trHeight w:val="277"/>
        </w:trPr>
        <w:tc>
          <w:tcPr>
            <w:tcW w:w="260" w:type="dxa"/>
            <w:vAlign w:val="bottom"/>
            <w:tcBorders>
              <w:left w:val="single" w:sz="8" w:color="auto"/>
            </w:tcBorders>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No</w:t>
            </w:r>
          </w:p>
        </w:tc>
        <w:tc>
          <w:tcPr>
            <w:tcW w:w="542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2"/>
                <w:szCs w:val="12"/>
                <w:color w:val="auto"/>
              </w:rPr>
              <w:t>(See Additional Clauses)</w:t>
            </w:r>
          </w:p>
        </w:tc>
        <w:tc>
          <w:tcPr>
            <w:tcW w:w="240" w:type="dxa"/>
            <w:vAlign w:val="bottom"/>
          </w:tcPr>
          <w:p>
            <w:pPr>
              <w:spacing w:after="0"/>
              <w:rPr>
                <w:sz w:val="24"/>
                <w:szCs w:val="24"/>
                <w:color w:val="auto"/>
              </w:rPr>
            </w:pPr>
          </w:p>
        </w:tc>
        <w:tc>
          <w:tcPr>
            <w:tcW w:w="41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 xml:space="preserve">No </w:t>
            </w:r>
            <w:r>
              <w:rPr>
                <w:rFonts w:ascii="Times New Roman" w:cs="Times New Roman" w:eastAsia="Times New Roman" w:hAnsi="Times New Roman"/>
                <w:sz w:val="12"/>
                <w:szCs w:val="12"/>
                <w:color w:val="auto"/>
              </w:rPr>
              <w:t>(See Additional Clauses)</w:t>
            </w:r>
          </w:p>
        </w:tc>
        <w:tc>
          <w:tcPr>
            <w:tcW w:w="220" w:type="dxa"/>
            <w:vAlign w:val="bottom"/>
          </w:tcPr>
          <w:p>
            <w:pPr>
              <w:spacing w:after="0"/>
              <w:rPr>
                <w:sz w:val="24"/>
                <w:szCs w:val="24"/>
                <w:color w:val="auto"/>
              </w:rPr>
            </w:pPr>
          </w:p>
        </w:tc>
        <w:tc>
          <w:tcPr>
            <w:tcW w:w="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5740" w:type="dxa"/>
            <w:vAlign w:val="bottom"/>
            <w:tcBorders>
              <w:bottom w:val="single" w:sz="8" w:color="auto"/>
              <w:right w:val="single" w:sz="8" w:color="auto"/>
            </w:tcBorders>
            <w:gridSpan w:val="2"/>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5740" w:type="dxa"/>
            <w:vAlign w:val="bottom"/>
            <w:tcBorders>
              <w:right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color w:val="auto"/>
              </w:rPr>
              <w:t>Flag and Country of the Bareboat Charter Registry (only to be filled in if Part V applies)</w:t>
            </w:r>
          </w:p>
        </w:tc>
        <w:tc>
          <w:tcPr>
            <w:tcW w:w="2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45.</w:t>
            </w:r>
          </w:p>
        </w:tc>
        <w:tc>
          <w:tcPr>
            <w:tcW w:w="41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Country of the Underlying Registry (only to be filled in if Part V applies)</w:t>
            </w: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260" w:type="dxa"/>
            <w:vAlign w:val="bottom"/>
            <w:tcBorders>
              <w:left w:val="single" w:sz="8" w:color="auto"/>
              <w:bottom w:val="single" w:sz="8" w:color="auto"/>
            </w:tcBorders>
          </w:tcPr>
          <w:p>
            <w:pPr>
              <w:spacing w:after="0"/>
              <w:rPr>
                <w:sz w:val="24"/>
                <w:szCs w:val="24"/>
                <w:color w:val="auto"/>
              </w:rPr>
            </w:pPr>
          </w:p>
        </w:tc>
        <w:tc>
          <w:tcPr>
            <w:tcW w:w="5740" w:type="dxa"/>
            <w:vAlign w:val="bottom"/>
            <w:tcBorders>
              <w:bottom w:val="single" w:sz="8" w:color="auto"/>
              <w:right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574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Number of additional clauses covering special provisions, if agreed</w:t>
            </w:r>
          </w:p>
        </w:tc>
        <w:tc>
          <w:tcPr>
            <w:tcW w:w="24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2"/>
        </w:trPr>
        <w:tc>
          <w:tcPr>
            <w:tcW w:w="260" w:type="dxa"/>
            <w:vAlign w:val="bottom"/>
            <w:tcBorders>
              <w:left w:val="single" w:sz="8" w:color="auto"/>
            </w:tcBorders>
          </w:tcPr>
          <w:p>
            <w:pPr>
              <w:spacing w:after="0"/>
              <w:rPr>
                <w:sz w:val="22"/>
                <w:szCs w:val="22"/>
                <w:color w:val="auto"/>
              </w:rPr>
            </w:pPr>
          </w:p>
        </w:tc>
        <w:tc>
          <w:tcPr>
            <w:tcW w:w="11040" w:type="dxa"/>
            <w:vAlign w:val="bottom"/>
            <w:tcBorders>
              <w:right w:val="single" w:sz="8" w:color="auto"/>
            </w:tcBorders>
            <w:gridSpan w:val="6"/>
          </w:tcPr>
          <w:p>
            <w:pPr>
              <w:ind w:left="20"/>
              <w:spacing w:after="0"/>
              <w:rPr>
                <w:sz w:val="20"/>
                <w:szCs w:val="20"/>
                <w:color w:val="auto"/>
              </w:rPr>
            </w:pPr>
            <w:r>
              <w:rPr>
                <w:rFonts w:ascii="Times New Roman" w:cs="Times New Roman" w:eastAsia="Times New Roman" w:hAnsi="Times New Roman"/>
                <w:sz w:val="12"/>
                <w:szCs w:val="12"/>
                <w:b w:val="1"/>
                <w:bCs w:val="1"/>
                <w:color w:val="auto"/>
                <w:w w:val="98"/>
              </w:rPr>
              <w:t>Additional Clauses 32 to 77 (both inclusive) and Schedules 1 - 3, as attached hereto, form integral part of this Charter. In the event of any conflict or inconsistency between the terms of Part I and Part II of this Charter</w:t>
            </w:r>
          </w:p>
        </w:tc>
        <w:tc>
          <w:tcPr>
            <w:tcW w:w="0" w:type="dxa"/>
            <w:vAlign w:val="bottom"/>
          </w:tcPr>
          <w:p>
            <w:pPr>
              <w:spacing w:after="0"/>
              <w:rPr>
                <w:sz w:val="1"/>
                <w:szCs w:val="1"/>
                <w:color w:val="auto"/>
              </w:rPr>
            </w:pPr>
          </w:p>
        </w:tc>
      </w:tr>
      <w:tr>
        <w:trPr>
          <w:trHeight w:val="159"/>
        </w:trPr>
        <w:tc>
          <w:tcPr>
            <w:tcW w:w="260" w:type="dxa"/>
            <w:vAlign w:val="bottom"/>
            <w:tcBorders>
              <w:left w:val="single" w:sz="8" w:color="auto"/>
            </w:tcBorders>
          </w:tcPr>
          <w:p>
            <w:pPr>
              <w:spacing w:after="0"/>
              <w:rPr>
                <w:sz w:val="13"/>
                <w:szCs w:val="13"/>
                <w:color w:val="auto"/>
              </w:rPr>
            </w:pPr>
          </w:p>
        </w:tc>
        <w:tc>
          <w:tcPr>
            <w:tcW w:w="57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with the terms of the Additional Clauses, the terms of the Additional Clauses shall prevail.</w:t>
            </w:r>
          </w:p>
        </w:tc>
        <w:tc>
          <w:tcPr>
            <w:tcW w:w="240" w:type="dxa"/>
            <w:vAlign w:val="bottom"/>
          </w:tcPr>
          <w:p>
            <w:pPr>
              <w:spacing w:after="0"/>
              <w:rPr>
                <w:sz w:val="13"/>
                <w:szCs w:val="13"/>
                <w:color w:val="auto"/>
              </w:rPr>
            </w:pPr>
          </w:p>
        </w:tc>
        <w:tc>
          <w:tcPr>
            <w:tcW w:w="4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54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PREAMBLE – it is mutually agreed that this Contract shall be performed subject to the conditions contained in this Charter which shall include PART I and PART II. In the event of a conflict of conditions, the provisions of PART 1 shall prevail over those of PART II to the extent of such conflict but no further. It is further mutually agreed that PART III and/or PART IV and/or PART V shall only apply and only form part of this Charter if expressly agreed and stated in the Boxes 37, 42 and 43. If PART III and/or PART IV and/or PART V apply, it is further agreed that in the event of a conflict of conditions, the provisions of PART I and PART II shall prevail over those of PART III and/or PART IV and/or PART V to the extent of such conflict but no further.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8" w:right="299" w:bottom="1440" w:gutter="0" w:footer="0" w:header="0"/>
        </w:sectPr>
      </w:pPr>
    </w:p>
    <w:bookmarkStart w:id="296" w:name="page297"/>
    <w:bookmarkEnd w:id="296"/>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00" w:type="dxa"/>
            <w:vAlign w:val="bottom"/>
          </w:tcPr>
          <w:p>
            <w:pPr>
              <w:spacing w:after="0"/>
              <w:rPr>
                <w:sz w:val="13"/>
                <w:szCs w:val="13"/>
                <w:color w:val="auto"/>
              </w:rPr>
            </w:pPr>
          </w:p>
        </w:tc>
        <w:tc>
          <w:tcPr>
            <w:tcW w:w="7600" w:type="dxa"/>
            <w:vAlign w:val="bottom"/>
          </w:tcPr>
          <w:p>
            <w:pPr>
              <w:ind w:left="1400"/>
              <w:spacing w:after="0"/>
              <w:rPr>
                <w:sz w:val="20"/>
                <w:szCs w:val="20"/>
                <w:color w:val="auto"/>
              </w:rPr>
            </w:pPr>
            <w:r>
              <w:rPr>
                <w:rFonts w:ascii="Times New Roman" w:cs="Times New Roman" w:eastAsia="Times New Roman" w:hAnsi="Times New Roman"/>
                <w:sz w:val="12"/>
                <w:szCs w:val="12"/>
                <w:b w:val="1"/>
                <w:bCs w:val="1"/>
                <w:color w:val="auto"/>
              </w:rPr>
              <w:t>EXECUTION PAGE</w:t>
            </w:r>
          </w:p>
        </w:tc>
      </w:tr>
      <w:tr>
        <w:trPr>
          <w:trHeight w:val="144"/>
        </w:trPr>
        <w:tc>
          <w:tcPr>
            <w:tcW w:w="3700" w:type="dxa"/>
            <w:vAlign w:val="bottom"/>
            <w:tcBorders>
              <w:bottom w:val="single" w:sz="8" w:color="auto"/>
            </w:tcBorders>
          </w:tcPr>
          <w:p>
            <w:pPr>
              <w:spacing w:after="0"/>
              <w:rPr>
                <w:sz w:val="12"/>
                <w:szCs w:val="12"/>
                <w:color w:val="auto"/>
              </w:rPr>
            </w:pPr>
          </w:p>
        </w:tc>
        <w:tc>
          <w:tcPr>
            <w:tcW w:w="7600" w:type="dxa"/>
            <w:vAlign w:val="bottom"/>
            <w:tcBorders>
              <w:bottom w:val="single" w:sz="8" w:color="auto"/>
            </w:tcBorders>
          </w:tcPr>
          <w:p>
            <w:pPr>
              <w:spacing w:after="0"/>
              <w:rPr>
                <w:sz w:val="12"/>
                <w:szCs w:val="12"/>
                <w:color w:val="auto"/>
              </w:rPr>
            </w:pPr>
          </w:p>
        </w:tc>
      </w:tr>
      <w:tr>
        <w:trPr>
          <w:trHeight w:val="148"/>
        </w:trPr>
        <w:tc>
          <w:tcPr>
            <w:tcW w:w="37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Signature (Owners)</w:t>
            </w:r>
          </w:p>
        </w:tc>
        <w:tc>
          <w:tcPr>
            <w:tcW w:w="7600" w:type="dxa"/>
            <w:vAlign w:val="bottom"/>
          </w:tcPr>
          <w:p>
            <w:pPr>
              <w:ind w:left="1800"/>
              <w:spacing w:after="0"/>
              <w:rPr>
                <w:sz w:val="20"/>
                <w:szCs w:val="20"/>
                <w:color w:val="auto"/>
              </w:rPr>
            </w:pPr>
            <w:r>
              <w:rPr>
                <w:rFonts w:ascii="Times New Roman" w:cs="Times New Roman" w:eastAsia="Times New Roman" w:hAnsi="Times New Roman"/>
                <w:sz w:val="12"/>
                <w:szCs w:val="12"/>
                <w:b w:val="1"/>
                <w:bCs w:val="1"/>
                <w:color w:val="auto"/>
              </w:rPr>
              <w:t>Signature (Charterers)</w:t>
            </w:r>
          </w:p>
        </w:tc>
      </w:tr>
      <w:tr>
        <w:trPr>
          <w:trHeight w:val="258"/>
        </w:trPr>
        <w:tc>
          <w:tcPr>
            <w:tcW w:w="370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For and on behalf of</w:t>
            </w:r>
          </w:p>
        </w:tc>
        <w:tc>
          <w:tcPr>
            <w:tcW w:w="7600" w:type="dxa"/>
            <w:vAlign w:val="bottom"/>
          </w:tcPr>
          <w:p>
            <w:pPr>
              <w:ind w:left="1800"/>
              <w:spacing w:after="0"/>
              <w:rPr>
                <w:sz w:val="20"/>
                <w:szCs w:val="20"/>
                <w:color w:val="auto"/>
              </w:rPr>
            </w:pPr>
            <w:r>
              <w:rPr>
                <w:rFonts w:ascii="Times New Roman" w:cs="Times New Roman" w:eastAsia="Times New Roman" w:hAnsi="Times New Roman"/>
                <w:sz w:val="12"/>
                <w:szCs w:val="12"/>
                <w:color w:val="auto"/>
              </w:rPr>
              <w:t>For and on behalf of</w:t>
            </w:r>
          </w:p>
        </w:tc>
      </w:tr>
      <w:tr>
        <w:trPr>
          <w:trHeight w:val="159"/>
        </w:trPr>
        <w:tc>
          <w:tcPr>
            <w:tcW w:w="370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OCEAN RAINBOW SHIPPING LIMITED</w:t>
            </w:r>
          </w:p>
        </w:tc>
        <w:tc>
          <w:tcPr>
            <w:tcW w:w="7600" w:type="dxa"/>
            <w:vAlign w:val="bottom"/>
          </w:tcPr>
          <w:p>
            <w:pPr>
              <w:ind w:left="1800"/>
              <w:spacing w:after="0"/>
              <w:rPr>
                <w:sz w:val="20"/>
                <w:szCs w:val="20"/>
                <w:color w:val="auto"/>
              </w:rPr>
            </w:pPr>
            <w:r>
              <w:rPr>
                <w:rFonts w:ascii="Times New Roman" w:cs="Times New Roman" w:eastAsia="Times New Roman" w:hAnsi="Times New Roman"/>
                <w:sz w:val="12"/>
                <w:szCs w:val="12"/>
                <w:b w:val="1"/>
                <w:bCs w:val="1"/>
                <w:color w:val="auto"/>
              </w:rPr>
              <w:t>GLOBAL SHIP LEASE 78 LLC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7167245</wp:posOffset>
            </wp:positionH>
            <wp:positionV relativeFrom="paragraph">
              <wp:posOffset>-370840</wp:posOffset>
            </wp:positionV>
            <wp:extent cx="5715" cy="142875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51">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-370840</wp:posOffset>
            </wp:positionV>
            <wp:extent cx="5715" cy="14287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52">
                      <a:extLst>
                        <a:ext uri="{28A0092B-C50C-407E-A947-70E740481C1C}"/>
                      </a:extLst>
                    </a:blip>
                    <a:srcRect/>
                    <a:stretch>
                      <a:fillRect/>
                    </a:stretch>
                  </pic:blipFill>
                  <pic:spPr bwMode="auto">
                    <a:xfrm>
                      <a:off x="0" y="0"/>
                      <a:ext cx="5715" cy="1428750"/>
                    </a:xfrm>
                    <a:prstGeom prst="rect">
                      <a:avLst/>
                    </a:prstGeom>
                    <a:noFill/>
                  </pic:spPr>
                </pic:pic>
              </a:graphicData>
            </a:graphic>
          </wp:anchor>
        </w:drawing>
        <w:drawing>
          <wp:anchor simplePos="0" relativeHeight="251657728" behindDoc="1" locked="0" layoutInCell="0" allowOverlap="1">
            <wp:simplePos x="0" y="0"/>
            <wp:positionH relativeFrom="column">
              <wp:posOffset>3441065</wp:posOffset>
            </wp:positionH>
            <wp:positionV relativeFrom="paragraph">
              <wp:posOffset>-370840</wp:posOffset>
            </wp:positionV>
            <wp:extent cx="5715" cy="142875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53">
                      <a:extLst>
                        <a:ext uri="{28A0092B-C50C-407E-A947-70E740481C1C}"/>
                      </a:extLst>
                    </a:blip>
                    <a:srcRect/>
                    <a:stretch>
                      <a:fillRect/>
                    </a:stretch>
                  </pic:blipFill>
                  <pic:spPr bwMode="auto">
                    <a:xfrm>
                      <a:off x="0" y="0"/>
                      <a:ext cx="5715"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7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________________________________</w:t>
            </w:r>
          </w:p>
        </w:tc>
        <w:tc>
          <w:tcPr>
            <w:tcW w:w="758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______________________________</w:t>
            </w:r>
          </w:p>
        </w:tc>
      </w:tr>
      <w:tr>
        <w:trPr>
          <w:trHeight w:val="288"/>
        </w:trPr>
        <w:tc>
          <w:tcPr>
            <w:tcW w:w="37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Name: HUANG MEI</w:t>
            </w:r>
          </w:p>
        </w:tc>
        <w:tc>
          <w:tcPr>
            <w:tcW w:w="758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Name:</w:t>
            </w:r>
          </w:p>
        </w:tc>
      </w:tr>
      <w:tr>
        <w:trPr>
          <w:trHeight w:val="288"/>
        </w:trPr>
        <w:tc>
          <w:tcPr>
            <w:tcW w:w="372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Title: Director</w:t>
            </w:r>
          </w:p>
        </w:tc>
        <w:tc>
          <w:tcPr>
            <w:tcW w:w="7580" w:type="dxa"/>
            <w:vAlign w:val="bottom"/>
          </w:tcPr>
          <w:p>
            <w:pPr>
              <w:ind w:left="1780"/>
              <w:spacing w:after="0"/>
              <w:rPr>
                <w:sz w:val="20"/>
                <w:szCs w:val="20"/>
                <w:color w:val="auto"/>
              </w:rPr>
            </w:pPr>
            <w:r>
              <w:rPr>
                <w:rFonts w:ascii="Times New Roman" w:cs="Times New Roman" w:eastAsia="Times New Roman" w:hAnsi="Times New Roman"/>
                <w:sz w:val="12"/>
                <w:szCs w:val="12"/>
                <w:b w:val="1"/>
                <w:bCs w:val="1"/>
                <w:color w:val="auto"/>
              </w:rPr>
              <w:t>Title:</w:t>
            </w:r>
          </w:p>
        </w:tc>
      </w:tr>
      <w:tr>
        <w:trPr>
          <w:trHeight w:val="72"/>
        </w:trPr>
        <w:tc>
          <w:tcPr>
            <w:tcW w:w="3720" w:type="dxa"/>
            <w:vAlign w:val="bottom"/>
            <w:tcBorders>
              <w:bottom w:val="single" w:sz="8" w:color="auto"/>
            </w:tcBorders>
          </w:tcPr>
          <w:p>
            <w:pPr>
              <w:spacing w:after="0"/>
              <w:rPr>
                <w:sz w:val="6"/>
                <w:szCs w:val="6"/>
                <w:color w:val="auto"/>
              </w:rPr>
            </w:pPr>
          </w:p>
        </w:tc>
        <w:tc>
          <w:tcPr>
            <w:tcW w:w="7580" w:type="dxa"/>
            <w:vAlign w:val="bottom"/>
            <w:tcBorders>
              <w:bottom w:val="single" w:sz="8" w:color="auto"/>
            </w:tcBorders>
          </w:tcPr>
          <w:p>
            <w:pPr>
              <w:spacing w:after="0"/>
              <w:rPr>
                <w:sz w:val="6"/>
                <w:szCs w:val="6"/>
                <w:color w:val="auto"/>
              </w:rPr>
            </w:pPr>
          </w:p>
        </w:tc>
      </w:tr>
      <w:tr>
        <w:trPr>
          <w:trHeight w:val="367"/>
        </w:trPr>
        <w:tc>
          <w:tcPr>
            <w:tcW w:w="372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tcPr>
          <w:p>
            <w:pPr>
              <w:jc w:val="right"/>
              <w:ind w:right="5560"/>
              <w:spacing w:after="0"/>
              <w:rPr>
                <w:sz w:val="20"/>
                <w:szCs w:val="20"/>
                <w:color w:val="auto"/>
              </w:rPr>
            </w:pPr>
            <w:r>
              <w:rPr>
                <w:rFonts w:ascii="Times New Roman" w:cs="Times New Roman" w:eastAsia="Times New Roman" w:hAnsi="Times New Roman"/>
                <w:sz w:val="12"/>
                <w:szCs w:val="12"/>
                <w:color w:val="auto"/>
              </w:rPr>
              <w:t>3</w:t>
            </w:r>
          </w:p>
        </w:tc>
      </w:tr>
    </w:tbl>
    <w:p>
      <w:pPr>
        <w:sectPr>
          <w:pgSz w:w="11900" w:h="16838" w:orient="portrait"/>
          <w:cols w:equalWidth="0" w:num="1">
            <w:col w:w="11300"/>
          </w:cols>
          <w:pgMar w:left="300" w:top="205" w:right="299" w:bottom="1440" w:gutter="0" w:footer="0" w:header="0"/>
        </w:sectPr>
      </w:pPr>
    </w:p>
    <w:bookmarkStart w:id="297" w:name="page298"/>
    <w:bookmarkEnd w:id="29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PART II</w:t>
      </w:r>
    </w:p>
    <w:p>
      <w:pPr>
        <w:spacing w:after="0" w:line="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“BARECON 2001” Standard Bareboat Charter</w:t>
      </w:r>
    </w:p>
    <w:p>
      <w:pPr>
        <w:spacing w:after="0" w:line="325" w:lineRule="exact"/>
        <w:rPr>
          <w:sz w:val="20"/>
          <w:szCs w:val="20"/>
          <w:color w:val="auto"/>
        </w:rPr>
      </w:pPr>
    </w:p>
    <w:p>
      <w:pPr>
        <w:ind w:left="168" w:hanging="168"/>
        <w:spacing w:after="0"/>
        <w:tabs>
          <w:tab w:leader="none" w:pos="168" w:val="left"/>
        </w:tabs>
        <w:numPr>
          <w:ilvl w:val="0"/>
          <w:numId w:val="3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right="704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this Charter, the following terms shall have the meanings hereby assigned to them: “</w:t>
      </w:r>
      <w:r>
        <w:rPr>
          <w:rFonts w:ascii="Times New Roman" w:cs="Times New Roman" w:eastAsia="Times New Roman" w:hAnsi="Times New Roman"/>
          <w:sz w:val="12"/>
          <w:szCs w:val="12"/>
          <w:i w:val="1"/>
          <w:iCs w:val="1"/>
          <w:color w:val="auto"/>
        </w:rPr>
        <w:t>The Owners</w:t>
      </w:r>
      <w:r>
        <w:rPr>
          <w:rFonts w:ascii="Times New Roman" w:cs="Times New Roman" w:eastAsia="Times New Roman" w:hAnsi="Times New Roman"/>
          <w:sz w:val="12"/>
          <w:szCs w:val="12"/>
          <w:color w:val="auto"/>
        </w:rPr>
        <w:t>” shall mean the party identified in Box 3;</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Charterers</w:t>
      </w:r>
      <w:r>
        <w:rPr>
          <w:rFonts w:ascii="Times New Roman" w:cs="Times New Roman" w:eastAsia="Times New Roman" w:hAnsi="Times New Roman"/>
          <w:sz w:val="12"/>
          <w:szCs w:val="12"/>
          <w:color w:val="auto"/>
        </w:rPr>
        <w:t>” shall mean the party identified in Box 4;</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The Vessel</w:t>
      </w:r>
      <w:r>
        <w:rPr>
          <w:rFonts w:ascii="Times New Roman" w:cs="Times New Roman" w:eastAsia="Times New Roman" w:hAnsi="Times New Roman"/>
          <w:sz w:val="12"/>
          <w:szCs w:val="12"/>
          <w:color w:val="auto"/>
        </w:rPr>
        <w:t>” shall mean the vessel named in Box 5 and with particulars as stated in Boxes 6 to 12.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Financial Instrument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color w:val="auto"/>
          <w:strike w:val="1"/>
        </w:rPr>
        <w:t>the mortgage, deed of covenant or other such financial security instrument as annexed to this Charter and stated in Box 28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any of the Finance Documents as defined in Additional Clause 32.</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Any other defined terms shall have the meaning given to it in the Additional Clause.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 Period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consideration of the hire detailed in Box 22, the Owners have agreed to let and the Charterers have agreed to hire the Vessel for the period stated in Box 21 (“The Charter Period”)</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1440" w:hanging="270"/>
        <w:spacing w:after="0" w:line="250" w:lineRule="auto"/>
        <w:tabs>
          <w:tab w:leader="none" w:pos="465" w:val="left"/>
        </w:tabs>
        <w:numPr>
          <w:ilvl w:val="1"/>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before and at the time of delivery exercise due diligence to make the Vessel seaworthy and in every respect ready in hull, machinery and equipment for service under this Charter. The Vessel shall be delivered by the Owners and taken over by the Charterers at the port or place indicated in Box 13 in such ready safe berth as the Charterers may direct.</w:t>
      </w:r>
    </w:p>
    <w:p>
      <w:pPr>
        <w:ind w:left="468" w:right="20" w:hanging="270"/>
        <w:spacing w:after="0" w:line="250" w:lineRule="auto"/>
        <w:tabs>
          <w:tab w:leader="none" w:pos="468" w:val="left"/>
        </w:tabs>
        <w:numPr>
          <w:ilvl w:val="1"/>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Vessel shall be properly documented on delivery in accordance with the laws of the flag State indicated in Box 5 and the requirements of the classification society stated in Box 10. The Vessel upon delivery shall have her survey cycles up to date and trading and class certificates valid for at least the number of months agreed in Box 12.</w:t>
      </w:r>
    </w:p>
    <w:p>
      <w:pPr>
        <w:jc w:val="both"/>
        <w:ind w:left="468" w:hanging="270"/>
        <w:spacing w:after="0" w:line="253" w:lineRule="auto"/>
        <w:tabs>
          <w:tab w:leader="none" w:pos="468" w:val="left"/>
        </w:tabs>
        <w:numPr>
          <w:ilvl w:val="1"/>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delivery of the Vessel by the Owners </w:t>
      </w:r>
      <w:r>
        <w:rPr>
          <w:rFonts w:ascii="Times New Roman" w:cs="Times New Roman" w:eastAsia="Times New Roman" w:hAnsi="Times New Roman"/>
          <w:sz w:val="12"/>
          <w:szCs w:val="12"/>
          <w:color w:val="auto"/>
          <w:strike w:val="1"/>
        </w:rPr>
        <w:t>and the taking over of the Vessel by the charterers</w:t>
      </w:r>
      <w:r>
        <w:rPr>
          <w:rFonts w:ascii="Times New Roman" w:cs="Times New Roman" w:eastAsia="Times New Roman" w:hAnsi="Times New Roman"/>
          <w:sz w:val="12"/>
          <w:szCs w:val="12"/>
          <w:color w:val="auto"/>
        </w:rPr>
        <w:t xml:space="preserve"> shall constitute a full performance by the Owners of all the Owners’ obligations under this Clause 3, and thereafter the Charterers shall not be entitled to make or assert any claim against the Owners on account of any conditions, representations or warranties expressed or implied with respect to the Vessel </w:t>
      </w:r>
      <w:r>
        <w:rPr>
          <w:rFonts w:ascii="Times New Roman" w:cs="Times New Roman" w:eastAsia="Times New Roman" w:hAnsi="Times New Roman"/>
          <w:sz w:val="12"/>
          <w:szCs w:val="12"/>
          <w:color w:val="auto"/>
          <w:strike w:val="1"/>
        </w:rPr>
        <w:t>but the Owners shall be liable for the cost of 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not the time for repairs or renewals occasioned by latent defects in the Vessel, her machinery or appurtenances, existing at the time of delivery under this Charter, provided such defects have manifested themselves within twelve (12) months after delivery unless otherwise provided in Box 32.</w:t>
      </w:r>
    </w:p>
    <w:p>
      <w:pPr>
        <w:spacing w:after="0" w:line="123"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Time for Delivery (See Additional Clause 35)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Vessel shall not be delivered before the date indicated in Box 14 without the Charterers’ consent and the Owners shall exercise due diligence to deliver the Vessel not later than the date indicated in Box 15.</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Unless otherwise agreed in Box 18, the Owners shall give the Charterers not less than thirty (30) running days’ preliminary and not less than fourteen (14) running days’ definite notice of the date on which the Vessel is expected to be ready for delivery.</w:t>
      </w: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keep the Charterers closely advised of possible changes in the Vessel’s position.</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Cancelling (Not Applicable)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(not applicable when Part III applies, as indicated in Box 37)</w:t>
      </w:r>
    </w:p>
    <w:p>
      <w:pPr>
        <w:spacing w:after="0" w:line="6"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not be delivered latest by the cancelling date indicated in Box 15, the Charterers shall have the option of cancelling this Charter by giving the Owners notice of cancellation within thirty-six (36) running hours after the cancelling date stated in Box 15, failing which this Charter shall remain in full force and effect.</w:t>
      </w:r>
    </w:p>
    <w:p>
      <w:pPr>
        <w:jc w:val="both"/>
        <w:ind w:left="468" w:right="20" w:hanging="270"/>
        <w:spacing w:after="0" w:line="250" w:lineRule="auto"/>
        <w:tabs>
          <w:tab w:leader="none" w:pos="468" w:val="left"/>
        </w:tabs>
        <w:numPr>
          <w:ilvl w:val="1"/>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it appears that the Vessel will be delayed beyond the cancelling, the Owners may, as soon as they are in a position to state with reasonable certainty the day on which the Vessel should be ready, give notice thereof to the Charterers asking whether they will exercise their option of cancelling, and the option must then be declared within one hundred and sixty eight (168) running hours of the receipt by the Charterers of such notice or within thirty six (36) running hours after the cancelling date, whichever is the earlier. If the Charterers do not then exercise their option of cancelling, the seventh day after the readiness date stated in the Owners’ notice shall be substituted for the cancelling date indicated in Box 15 for the purpose of this Clause 5.</w:t>
      </w:r>
    </w:p>
    <w:p>
      <w:pPr>
        <w:spacing w:after="0" w:line="1"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3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Cancellation under this Clause 5 shall be without prejudice to any claim the Charterers may otherwise have on the Owners under this Charter.</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Trading Restrictions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Vessel shall be employed in lawful trades for the carriage of suitable lawful merchandise within the trading limits indicated in Box 20.</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undertake not to employ the Vessel or suffer the Vessel to be employed otherwise than in conformity with the terms of the contracts of insurance (including any warranties expressed or implied therein) without first obtaining the consent of the insurers to such employment and complying with such requirements as to extra premium or otherwise as the insurers may prescribe.</w:t>
      </w: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Charterers also undertake not to employ the Vessel or suffer her employment in any trade or business which is forbidden by the law of any country to which the Vessel may sail or is otherwise illicit or in carrying illicit or prohibited goods or in any manner whatsoever which may render her liable to condemnation, destruction, seizure or confiscation.</w:t>
      </w:r>
    </w:p>
    <w:p>
      <w:pPr>
        <w:jc w:val="both"/>
        <w:ind w:left="168"/>
        <w:spacing w:after="0" w:line="25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Notwithstanding any other provisions contained in this Charter it is agreed that nuclear fuels or radioactive products or waste are specifically excluded from the cargo permitted to be loaded or carried under this Charter. This exclusion does not apply to radio-isotopes used or intended to be used for any industrial, commercial, agricultural, medical or scientific purposes provided the </w:t>
      </w:r>
      <w:r>
        <w:rPr>
          <w:rFonts w:ascii="Times New Roman" w:cs="Times New Roman" w:eastAsia="Times New Roman" w:hAnsi="Times New Roman"/>
          <w:sz w:val="12"/>
          <w:szCs w:val="12"/>
          <w:b w:val="1"/>
          <w:bCs w:val="1"/>
          <w:color w:val="auto"/>
        </w:rPr>
        <w:t>Vessel's P&amp;I Club</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Owners’</w:t>
      </w:r>
      <w:r>
        <w:rPr>
          <w:rFonts w:ascii="Times New Roman" w:cs="Times New Roman" w:eastAsia="Times New Roman" w:hAnsi="Times New Roman"/>
          <w:sz w:val="12"/>
          <w:szCs w:val="12"/>
          <w:color w:val="auto"/>
        </w:rPr>
        <w:t xml:space="preserve"> prior approval has been obtained to loading thereof </w:t>
      </w:r>
      <w:r>
        <w:rPr>
          <w:rFonts w:ascii="Times New Roman" w:cs="Times New Roman" w:eastAsia="Times New Roman" w:hAnsi="Times New Roman"/>
          <w:sz w:val="12"/>
          <w:szCs w:val="12"/>
          <w:b w:val="1"/>
          <w:bCs w:val="1"/>
          <w:color w:val="auto"/>
        </w:rPr>
        <w:t>and upon the Owners' request the Charterers shall provide the Owners with a copy of such approval from the Vessel's P&amp;I Club</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b w:val="1"/>
          <w:bCs w:val="1"/>
          <w:color w:val="auto"/>
        </w:rPr>
      </w:pPr>
    </w:p>
    <w:p>
      <w:pPr>
        <w:jc w:val="both"/>
        <w:ind w:left="168" w:right="8080" w:hanging="168"/>
        <w:spacing w:after="0" w:line="287" w:lineRule="auto"/>
        <w:tabs>
          <w:tab w:leader="none" w:pos="160" w:val="left"/>
        </w:tabs>
        <w:numPr>
          <w:ilvl w:val="0"/>
          <w:numId w:val="37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Surveys on Delivery and Redelivery (See Additional Clause) (</w:t>
      </w:r>
      <w:r>
        <w:rPr>
          <w:rFonts w:ascii="Times New Roman" w:cs="Times New Roman" w:eastAsia="Times New Roman" w:hAnsi="Times New Roman"/>
          <w:sz w:val="11"/>
          <w:szCs w:val="11"/>
          <w:b w:val="1"/>
          <w:bCs w:val="1"/>
          <w:i w:val="1"/>
          <w:iCs w:val="1"/>
          <w:color w:val="auto"/>
        </w:rPr>
        <w:t>not applicable when Part III applies, as indicated in Box 37)</w:t>
      </w:r>
    </w:p>
    <w:p>
      <w:pPr>
        <w:ind w:left="168"/>
        <w:spacing w:after="0" w:line="260" w:lineRule="auto"/>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strike w:val="1"/>
        </w:rPr>
        <w:t>The Owners and Charterers shall each appoint surveyors for the purpose of determining and agreeing in writing the condition of the Vessel at the time of delivery and redelivery hereunder. The Owners shall bear all expenses of the On-hire Survey including loss of time, if any, and the Charterers shall bear all expenses of the Off-hire Survey including loss of time, if any, at the daily equivalent to the rate of hire or pro rata thereof.</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98" w:name="page299"/>
    <w:bookmarkEnd w:id="29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55" w:lineRule="exact"/>
        <w:rPr>
          <w:sz w:val="20"/>
          <w:szCs w:val="20"/>
          <w:color w:val="auto"/>
        </w:rPr>
      </w:pPr>
    </w:p>
    <w:p>
      <w:pPr>
        <w:ind w:left="168" w:hanging="168"/>
        <w:spacing w:after="0"/>
        <w:tabs>
          <w:tab w:leader="none" w:pos="168" w:val="left"/>
        </w:tabs>
        <w:numPr>
          <w:ilvl w:val="0"/>
          <w:numId w:val="3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Inspection (See Also Additional Clauses 48(r))</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shall have the right at any time after giving reasonable notice to the Charterers to inspect or survey the Vessel or instruct a duly authorised surveyor to carry out such survey on their behalf:-</w:t>
      </w:r>
    </w:p>
    <w:p>
      <w:pPr>
        <w:spacing w:after="0" w:line="6" w:lineRule="exact"/>
        <w:rPr>
          <w:rFonts w:ascii="Times New Roman" w:cs="Times New Roman" w:eastAsia="Times New Roman" w:hAnsi="Times New Roman"/>
          <w:sz w:val="12"/>
          <w:szCs w:val="12"/>
          <w:b w:val="1"/>
          <w:bCs w:val="1"/>
          <w:color w:val="auto"/>
        </w:rPr>
      </w:pPr>
    </w:p>
    <w:p>
      <w:pPr>
        <w:ind w:left="468" w:hanging="270"/>
        <w:spacing w:after="0" w:line="250" w:lineRule="auto"/>
        <w:tabs>
          <w:tab w:leader="none" w:pos="46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to ascertain the condition of the Vessel and satisfy themselves that the Vessel is being properly repaired and maintained. The costs and fees for such inspection or survey shall be paid by the Owners unless the Vessel is found to require repairs or maintenance in order to achieve the condition so provided;</w:t>
      </w:r>
    </w:p>
    <w:p>
      <w:pPr>
        <w:ind w:left="468" w:hanging="270"/>
        <w:spacing w:after="0"/>
        <w:tabs>
          <w:tab w:leader="none" w:pos="46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dry-dock if the Charterers have not dry-docked her in accordance with Clause 10(g). The costs and fees for such inspection or survey shall be paid by the Charterers; and</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3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any other commercial reason they consider necessary (provided it does not unduly interfere with the commercial operation of the Vessel). The costs and fees for such inspection and survey shall be paid by the Owners.</w:t>
      </w:r>
    </w:p>
    <w:p>
      <w:pPr>
        <w:spacing w:after="0" w:line="6"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color w:val="auto"/>
        </w:rPr>
        <w:t>All time used in respect of inspection, survey or repairs shall be for the Charterers’ account and form part of the Charter Period.</w:t>
      </w:r>
    </w:p>
    <w:p>
      <w:pPr>
        <w:spacing w:after="0" w:line="6"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The Charterers shall also permit the Owners to inspect the Vessel’s logbooks whenever requested and shall whenever required by the Owners furnish them with full information regarding any casualties or other accidents or damage to the Vessel.</w:t>
      </w:r>
    </w:p>
    <w:p>
      <w:pPr>
        <w:spacing w:after="0" w:line="118" w:lineRule="exact"/>
        <w:rPr>
          <w:sz w:val="20"/>
          <w:szCs w:val="20"/>
          <w:color w:val="auto"/>
        </w:rPr>
      </w:pPr>
    </w:p>
    <w:p>
      <w:pPr>
        <w:ind w:left="168" w:hanging="168"/>
        <w:spacing w:after="0"/>
        <w:tabs>
          <w:tab w:leader="none" w:pos="168" w:val="left"/>
        </w:tabs>
        <w:numPr>
          <w:ilvl w:val="0"/>
          <w:numId w:val="3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Inventories, Oil and Stores (See Additional Clause 37)</w:t>
      </w:r>
    </w:p>
    <w:p>
      <w:pPr>
        <w:spacing w:after="0" w:line="20" w:lineRule="exact"/>
        <w:rPr>
          <w:rFonts w:ascii="Times New Roman" w:cs="Times New Roman" w:eastAsia="Times New Roman" w:hAnsi="Times New Roman"/>
          <w:sz w:val="12"/>
          <w:szCs w:val="12"/>
          <w:b w:val="1"/>
          <w:bCs w:val="1"/>
          <w:color w:val="auto"/>
        </w:rPr>
      </w:pPr>
    </w:p>
    <w:p>
      <w:pPr>
        <w:jc w:val="both"/>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complete inventory of the Vessel's entire equipment, outfit including spare parts, appliances and of all consumable stores on board the Vessel shall be made by the Charterers in conjunction with the Owners on delivery and again on redelivery of the Vessel at the Owners’ request. The Charterers and the Owners, respectively, shall at the time of delivery and redelivery take over and pay for all bunkers, lubricating oil, unbroached provisions, paints, ropes and other consumable stores (excluding spare parts) in the said Vessel at the then current market prices at the ports of delivery and redelivery, respectively. The Charterers shall ensure that all spare parts listed in the inventory and used during the Charter Period are replaced at their expense prior to redelivery of the Vessel.</w:t>
      </w:r>
    </w:p>
    <w:p>
      <w:pPr>
        <w:spacing w:after="0" w:line="1"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Within three (3) months from the Actual Delivery Date, the Charterers shall prepare and deliver to the Owners an inventory of the Vessel's major spare parts for the Main Engine, Diesel Generators and E.R. Auxiliary Machinery on board the Vessel.</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Maintenance and Operation</w:t>
      </w:r>
    </w:p>
    <w:p>
      <w:pPr>
        <w:spacing w:after="0" w:line="20" w:lineRule="exact"/>
        <w:rPr>
          <w:rFonts w:ascii="Times New Roman" w:cs="Times New Roman" w:eastAsia="Times New Roman" w:hAnsi="Times New Roman"/>
          <w:sz w:val="12"/>
          <w:szCs w:val="12"/>
          <w:b w:val="1"/>
          <w:bCs w:val="1"/>
          <w:color w:val="auto"/>
        </w:rPr>
      </w:pPr>
    </w:p>
    <w:p>
      <w:pPr>
        <w:ind w:left="428" w:hanging="266"/>
        <w:spacing w:after="0"/>
        <w:tabs>
          <w:tab w:leader="none" w:pos="428" w:val="left"/>
        </w:tabs>
        <w:numPr>
          <w:ilvl w:val="1"/>
          <w:numId w:val="3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 </w:t>
      </w:r>
      <w:r>
        <w:rPr>
          <w:rFonts w:ascii="Times New Roman" w:cs="Times New Roman" w:eastAsia="Times New Roman" w:hAnsi="Times New Roman"/>
          <w:sz w:val="12"/>
          <w:szCs w:val="12"/>
          <w:u w:val="single" w:color="auto"/>
          <w:color w:val="auto"/>
        </w:rPr>
        <w:t>Maintenance and Repairs</w:t>
      </w:r>
    </w:p>
    <w:p>
      <w:pPr>
        <w:spacing w:after="0" w:line="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the Charter Period the Vessel shall be in the full possession and at the absolute disposal for all purposes of the Charterers and under their complete control in every respect. The Charterers shall maintain the Vessel, her</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 xml:space="preserve">machinery, boilers, appurtenances and spare parts in a good state of repair, in efficient operating condition and in accordance with good commercial maintenance practice </w:t>
      </w:r>
      <w:r>
        <w:rPr>
          <w:rFonts w:ascii="Times New Roman" w:cs="Times New Roman" w:eastAsia="Times New Roman" w:hAnsi="Times New Roman"/>
          <w:sz w:val="12"/>
          <w:szCs w:val="12"/>
          <w:b w:val="1"/>
          <w:bCs w:val="1"/>
          <w:color w:val="auto"/>
        </w:rPr>
        <w:t>for vessels of this type</w:t>
      </w:r>
      <w:r>
        <w:rPr>
          <w:rFonts w:ascii="Times New Roman" w:cs="Times New Roman" w:eastAsia="Times New Roman" w:hAnsi="Times New Roman"/>
          <w:sz w:val="12"/>
          <w:szCs w:val="12"/>
          <w:color w:val="auto"/>
        </w:rPr>
        <w:t xml:space="preserve"> and</w:t>
      </w:r>
      <w:r>
        <w:rPr>
          <w:rFonts w:ascii="Times New Roman" w:cs="Times New Roman" w:eastAsia="Times New Roman" w:hAnsi="Times New Roman"/>
          <w:sz w:val="12"/>
          <w:szCs w:val="12"/>
          <w:color w:val="auto"/>
          <w:strike w:val="1"/>
        </w:rPr>
        <w:t>, except as provided for in</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Clause 14(I), if applicable,</w:t>
      </w:r>
      <w:r>
        <w:rPr>
          <w:rFonts w:ascii="Times New Roman" w:cs="Times New Roman" w:eastAsia="Times New Roman" w:hAnsi="Times New Roman"/>
          <w:sz w:val="12"/>
          <w:szCs w:val="12"/>
          <w:color w:val="auto"/>
        </w:rPr>
        <w:t xml:space="preserve"> at their own expense they shall at all times keep the Vessel's Class fully up to date with the Classification Society indicated in Box 10 </w:t>
      </w:r>
      <w:r>
        <w:rPr>
          <w:rFonts w:ascii="Times New Roman" w:cs="Times New Roman" w:eastAsia="Times New Roman" w:hAnsi="Times New Roman"/>
          <w:sz w:val="12"/>
          <w:szCs w:val="12"/>
          <w:b w:val="1"/>
          <w:bCs w:val="1"/>
          <w:color w:val="auto"/>
        </w:rPr>
        <w:t>free of overdue recommendations and conditions</w:t>
      </w:r>
      <w:r>
        <w:rPr>
          <w:rFonts w:ascii="Times New Roman" w:cs="Times New Roman" w:eastAsia="Times New Roman" w:hAnsi="Times New Roman"/>
          <w:sz w:val="12"/>
          <w:szCs w:val="12"/>
          <w:color w:val="auto"/>
        </w:rPr>
        <w:t xml:space="preserve"> and maintain all other necessary certificates in force at all times.</w:t>
      </w:r>
    </w:p>
    <w:p>
      <w:pPr>
        <w:spacing w:after="0" w:line="1" w:lineRule="exact"/>
        <w:rPr>
          <w:sz w:val="20"/>
          <w:szCs w:val="20"/>
          <w:color w:val="auto"/>
        </w:rPr>
      </w:pPr>
    </w:p>
    <w:p>
      <w:pPr>
        <w:ind w:left="608" w:hanging="176"/>
        <w:spacing w:after="0"/>
        <w:tabs>
          <w:tab w:leader="none" w:pos="608" w:val="left"/>
        </w:tabs>
        <w:numPr>
          <w:ilvl w:val="0"/>
          <w:numId w:val="3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New Class and other Safety Requirements</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strike w:val="1"/>
        </w:rPr>
        <w:t>In the event of any improvement, structural changes or new equipment becoming necessary for the continued operation of the Vessel by reason of new class requirements or by compulsory legislation, the cost of compliance and time used in relation thereto shall be for the sale account of the Charterers. costing (excluding the Charterers' loss of time) more than the percentage stated in Box 23, or if Box 23 is left blank, 5 per cent. of the Vessel's insurance value as stated in Box 29, then the extent, if any, to which the rate of hire shall be varied and the ratio in which the cost of compliance shall be shared between the parties concerned in order to achieve a reasonable distribution thereof as between the Owners and the Charterers having regard, inter alia, to the length of the period remaining under this Charter shall, in the absence of agreement, be referred to the dispute resolution method agreed in Clause 30.</w:t>
      </w:r>
    </w:p>
    <w:p>
      <w:pPr>
        <w:spacing w:after="0" w:line="1" w:lineRule="exact"/>
        <w:rPr>
          <w:sz w:val="20"/>
          <w:szCs w:val="20"/>
          <w:color w:val="auto"/>
        </w:rPr>
      </w:pPr>
    </w:p>
    <w:p>
      <w:pPr>
        <w:ind w:left="648" w:hanging="216"/>
        <w:spacing w:after="0"/>
        <w:tabs>
          <w:tab w:leader="none" w:pos="648" w:val="left"/>
        </w:tabs>
        <w:numPr>
          <w:ilvl w:val="0"/>
          <w:numId w:val="3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Financial Security</w:t>
      </w:r>
    </w:p>
    <w:p>
      <w:pPr>
        <w:spacing w:after="0" w:line="6"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maintain financial security or responsibility in respect of third party liabilities as required by any government, including federal, state or municipal or other division or authority thereof, to enable the Vessel, without penalty or charge, lawfully to enter, remain at, or leave any port, place, territorial or contiguous waters of any country, state or municipality in performance of this Charter without any delay. This obligation shall apply whether or not such requirements have been lawfully imposed by such government or division or authority thereof.</w:t>
      </w:r>
    </w:p>
    <w:p>
      <w:pPr>
        <w:spacing w:after="0" w:line="1" w:lineRule="exact"/>
        <w:rPr>
          <w:sz w:val="20"/>
          <w:szCs w:val="20"/>
          <w:color w:val="auto"/>
        </w:rPr>
      </w:pPr>
    </w:p>
    <w:p>
      <w:pPr>
        <w:jc w:val="both"/>
        <w:ind w:left="428"/>
        <w:spacing w:after="0" w:line="250" w:lineRule="auto"/>
        <w:rPr>
          <w:sz w:val="20"/>
          <w:szCs w:val="20"/>
          <w:color w:val="auto"/>
        </w:rPr>
      </w:pPr>
      <w:r>
        <w:rPr>
          <w:rFonts w:ascii="Times New Roman" w:cs="Times New Roman" w:eastAsia="Times New Roman" w:hAnsi="Times New Roman"/>
          <w:sz w:val="12"/>
          <w:szCs w:val="12"/>
          <w:color w:val="auto"/>
        </w:rPr>
        <w:t xml:space="preserve">The Charterers shall make and maintain all arrangements by bond or otherwise as may be necessary to satisfy such requirements at the Charterers’ sole expense and the Charterers shall indemnify the Owners against all consequences whatsoever </w:t>
      </w:r>
      <w:r>
        <w:rPr>
          <w:rFonts w:ascii="Times New Roman" w:cs="Times New Roman" w:eastAsia="Times New Roman" w:hAnsi="Times New Roman"/>
          <w:sz w:val="12"/>
          <w:szCs w:val="12"/>
          <w:color w:val="auto"/>
          <w:strike w:val="1"/>
        </w:rPr>
        <w:t>(including loss of time)</w:t>
      </w:r>
      <w:r>
        <w:rPr>
          <w:rFonts w:ascii="Times New Roman" w:cs="Times New Roman" w:eastAsia="Times New Roman" w:hAnsi="Times New Roman"/>
          <w:sz w:val="12"/>
          <w:szCs w:val="12"/>
          <w:color w:val="auto"/>
        </w:rPr>
        <w:t xml:space="preserve"> for any failure or inability to do so.</w:t>
      </w:r>
    </w:p>
    <w:p>
      <w:pPr>
        <w:spacing w:after="0" w:line="1" w:lineRule="exact"/>
        <w:rPr>
          <w:sz w:val="20"/>
          <w:szCs w:val="20"/>
          <w:color w:val="auto"/>
        </w:rPr>
      </w:pPr>
    </w:p>
    <w:p>
      <w:pPr>
        <w:ind w:left="468" w:hanging="270"/>
        <w:spacing w:after="0"/>
        <w:tabs>
          <w:tab w:leader="none" w:pos="468" w:val="left"/>
        </w:tabs>
        <w:numPr>
          <w:ilvl w:val="0"/>
          <w:numId w:val="3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Operation of the Vessel</w:t>
      </w:r>
    </w:p>
    <w:p>
      <w:pPr>
        <w:spacing w:after="0" w:line="6" w:lineRule="exact"/>
        <w:rPr>
          <w:sz w:val="20"/>
          <w:szCs w:val="20"/>
          <w:color w:val="auto"/>
        </w:rPr>
      </w:pPr>
    </w:p>
    <w:p>
      <w:pPr>
        <w:ind w:left="428"/>
        <w:spacing w:after="0" w:line="250" w:lineRule="auto"/>
        <w:rPr>
          <w:sz w:val="20"/>
          <w:szCs w:val="20"/>
          <w:color w:val="auto"/>
        </w:rPr>
      </w:pPr>
      <w:r>
        <w:rPr>
          <w:rFonts w:ascii="Times New Roman" w:cs="Times New Roman" w:eastAsia="Times New Roman" w:hAnsi="Times New Roman"/>
          <w:sz w:val="12"/>
          <w:szCs w:val="12"/>
          <w:color w:val="auto"/>
        </w:rPr>
        <w:t>The Charterers shall at their own expense and by their own procurement man, victual, navigate, operate, supply, fuel and, whenever required, repair the Vessel during the Charter Period and they shall pay all charges and expenses of every kind and nature whatsoever incidental to their use and operation of the Vessel under this Charter, including annual flag State fees and any foreign general municipality and/or state taxes. The Master, officers and crew of the Vessel shall be the servants of the Charterers for all purposes whatsoever, even if for any reason appointed by the Owners. Charterers shall comply with the regulations regarding officers and crew in force in the country of the Vessel's flag or any other applicable law.</w:t>
      </w:r>
    </w:p>
    <w:p>
      <w:pPr>
        <w:spacing w:after="0" w:line="1" w:lineRule="exact"/>
        <w:rPr>
          <w:sz w:val="20"/>
          <w:szCs w:val="20"/>
          <w:color w:val="auto"/>
        </w:rPr>
      </w:pPr>
    </w:p>
    <w:p>
      <w:pPr>
        <w:ind w:left="428" w:hanging="230"/>
        <w:spacing w:after="0" w:line="250" w:lineRule="auto"/>
        <w:tabs>
          <w:tab w:leader="none" w:pos="4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keep the Owners and the mortgagee(s) advised of the intended employment, planned dry-docking and major repairs of the Vessel, as reasonably required. </w:t>
      </w:r>
      <w:r>
        <w:rPr>
          <w:rFonts w:ascii="Times New Roman" w:cs="Times New Roman" w:eastAsia="Times New Roman" w:hAnsi="Times New Roman"/>
          <w:sz w:val="12"/>
          <w:szCs w:val="12"/>
          <w:b w:val="1"/>
          <w:bCs w:val="1"/>
          <w:color w:val="auto"/>
        </w:rPr>
        <w:t>See also Additional Clause 57 (</w:t>
      </w:r>
      <w:r>
        <w:rPr>
          <w:rFonts w:ascii="Times New Roman" w:cs="Times New Roman" w:eastAsia="Times New Roman" w:hAnsi="Times New Roman"/>
          <w:sz w:val="12"/>
          <w:szCs w:val="12"/>
          <w:b w:val="1"/>
          <w:bCs w:val="1"/>
          <w:i w:val="1"/>
          <w:iCs w:val="1"/>
          <w:color w:val="auto"/>
        </w:rPr>
        <w:t>Operational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i w:val="1"/>
          <w:iCs w:val="1"/>
          <w:color w:val="auto"/>
        </w:rPr>
        <w:t>notifiable events</w:t>
      </w:r>
      <w:r>
        <w:rPr>
          <w:rFonts w:ascii="Times New Roman" w:cs="Times New Roman" w:eastAsia="Times New Roman" w:hAnsi="Times New Roman"/>
          <w:sz w:val="12"/>
          <w:szCs w:val="12"/>
          <w:b w:val="1"/>
          <w:bCs w:val="1"/>
          <w:color w:val="auto"/>
        </w:rPr>
        <w:t>).</w:t>
      </w:r>
    </w:p>
    <w:p>
      <w:pPr>
        <w:ind w:left="428" w:hanging="230"/>
        <w:spacing w:after="0"/>
        <w:tabs>
          <w:tab w:leader="none" w:pos="428" w:val="left"/>
        </w:tabs>
        <w:numPr>
          <w:ilvl w:val="0"/>
          <w:numId w:val="3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Flag and Name of Vessel</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During the Charter Period, the Charterers shall have the liberty to paint the Vessel in their own colours, install and display their funnel insignia and fly their own house flag. The Charterers shall also have the liberty, with the Owners' consent, which shall not be unreasonably withheld, to change the flag and/or the name of the Vessel during the Charter Period. Painting and re-painting, instalment and re-instalment, registration and re-registration, if required by the Owners, shall be at the Charterers' expense and time. </w:t>
      </w:r>
      <w:r>
        <w:rPr>
          <w:rFonts w:ascii="Times New Roman" w:cs="Times New Roman" w:eastAsia="Times New Roman" w:hAnsi="Times New Roman"/>
          <w:sz w:val="12"/>
          <w:szCs w:val="12"/>
          <w:b w:val="1"/>
          <w:bCs w:val="1"/>
          <w:color w:val="auto"/>
          <w:strike w:val="1"/>
        </w:rPr>
        <w:t>See also Additional Clause 39 (</w:t>
      </w:r>
      <w:r>
        <w:rPr>
          <w:rFonts w:ascii="Times New Roman" w:cs="Times New Roman" w:eastAsia="Times New Roman" w:hAnsi="Times New Roman"/>
          <w:sz w:val="12"/>
          <w:szCs w:val="12"/>
          <w:b w:val="1"/>
          <w:bCs w:val="1"/>
          <w:i w:val="1"/>
          <w:iCs w:val="1"/>
          <w:color w:val="auto"/>
          <w:strike w:val="1"/>
        </w:rPr>
        <w:t>Structural changes and alterations</w:t>
      </w:r>
      <w:r>
        <w:rPr>
          <w:rFonts w:ascii="Times New Roman" w:cs="Times New Roman" w:eastAsia="Times New Roman" w:hAnsi="Times New Roman"/>
          <w:sz w:val="12"/>
          <w:szCs w:val="12"/>
          <w:b w:val="1"/>
          <w:bCs w:val="1"/>
          <w:color w:val="auto"/>
          <w:strike w:val="1"/>
        </w:rPr>
        <w:t>), paragraph (p) of Additional Clause 47 and Additional Clause 51</w:t>
      </w:r>
      <w:r>
        <w:rPr>
          <w:rFonts w:ascii="Times New Roman" w:cs="Times New Roman" w:eastAsia="Times New Roman" w:hAnsi="Times New Roman"/>
          <w:sz w:val="12"/>
          <w:szCs w:val="12"/>
          <w:color w:val="auto"/>
          <w:strike w:val="1"/>
        </w:rPr>
        <w:t xml:space="preserve"> </w:t>
      </w:r>
      <w:r>
        <w:rPr>
          <w:rFonts w:ascii="Times New Roman" w:cs="Times New Roman" w:eastAsia="Times New Roman" w:hAnsi="Times New Roman"/>
          <w:sz w:val="12"/>
          <w:szCs w:val="12"/>
          <w:b w:val="1"/>
          <w:bCs w:val="1"/>
          <w:i w:val="1"/>
          <w:iCs w:val="1"/>
          <w:color w:val="auto"/>
          <w:strike w:val="1"/>
        </w:rPr>
        <w:t>(Name of</w:t>
      </w: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Vessel).</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299" w:name="page300"/>
    <w:bookmarkEnd w:id="299"/>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09" w:lineRule="exact"/>
        <w:rPr>
          <w:sz w:val="20"/>
          <w:szCs w:val="20"/>
          <w:color w:val="auto"/>
        </w:rPr>
      </w:pPr>
    </w:p>
    <w:p>
      <w:pPr>
        <w:ind w:left="428" w:hanging="230"/>
        <w:spacing w:after="0"/>
        <w:tabs>
          <w:tab w:leader="none" w:pos="428" w:val="left"/>
        </w:tabs>
        <w:numPr>
          <w:ilvl w:val="0"/>
          <w:numId w:val="38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u w:val="single" w:color="auto"/>
          <w:color w:val="auto"/>
        </w:rPr>
        <w:t>Changes to the Vessel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u w:val="single" w:color="auto"/>
          <w:color w:val="auto"/>
        </w:rPr>
        <w:t>S</w:t>
      </w:r>
      <w:r>
        <w:rPr>
          <w:rFonts w:ascii="Times New Roman" w:cs="Times New Roman" w:eastAsia="Times New Roman" w:hAnsi="Times New Roman"/>
          <w:sz w:val="12"/>
          <w:szCs w:val="12"/>
          <w:b w:val="1"/>
          <w:bCs w:val="1"/>
          <w:color w:val="auto"/>
        </w:rPr>
        <w:t>ee Additional Clause 39(a))</w:t>
      </w:r>
    </w:p>
    <w:p>
      <w:pPr>
        <w:spacing w:after="0" w:line="20" w:lineRule="exact"/>
        <w:rPr>
          <w:rFonts w:ascii="Times New Roman" w:cs="Times New Roman" w:eastAsia="Times New Roman" w:hAnsi="Times New Roman"/>
          <w:sz w:val="12"/>
          <w:szCs w:val="12"/>
          <w:b w:val="1"/>
          <w:bCs w:val="1"/>
          <w:color w:val="auto"/>
        </w:rPr>
      </w:pPr>
    </w:p>
    <w:p>
      <w:pPr>
        <w:ind w:left="42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Clause 10(a)(ii), the Charterers shall make no structural changes in the Vessel or changes in the machinery, boilers, appurtenances or spare parts thereof without in each instance first securing the Owners' approval thereof. If the Owners so agree, the Charterers shall, if the Owners so require, restore the Vessel to its former condition before the termination of this Charter.</w:t>
      </w:r>
    </w:p>
    <w:p>
      <w:pPr>
        <w:ind w:left="428" w:hanging="230"/>
        <w:spacing w:after="0"/>
        <w:tabs>
          <w:tab w:leader="none" w:pos="428"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Use of the Vessel's Outfit, Equipment and Appliances</w:t>
      </w:r>
    </w:p>
    <w:p>
      <w:pPr>
        <w:spacing w:after="0" w:line="6" w:lineRule="exact"/>
        <w:rPr>
          <w:rFonts w:ascii="Times New Roman" w:cs="Times New Roman" w:eastAsia="Times New Roman" w:hAnsi="Times New Roman"/>
          <w:sz w:val="12"/>
          <w:szCs w:val="12"/>
          <w:color w:val="auto"/>
        </w:rPr>
      </w:pPr>
    </w:p>
    <w:p>
      <w:pPr>
        <w:jc w:val="both"/>
        <w:ind w:left="42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have the use of all outfit, equipment, and appliances on board the Vessel at the time of delivery, provided the same or their substantial equivalent shall be returned to the Owners on redelivery in the same good order and condition as when received, ordinary wear and tear excepted. The Charterers shall from time to time during the Charter Period replace such items of equipment as shall be so damaged or worn as to be unfit for use </w:t>
      </w:r>
      <w:r>
        <w:rPr>
          <w:rFonts w:ascii="Times New Roman" w:cs="Times New Roman" w:eastAsia="Times New Roman" w:hAnsi="Times New Roman"/>
          <w:sz w:val="12"/>
          <w:szCs w:val="12"/>
          <w:b w:val="1"/>
          <w:bCs w:val="1"/>
          <w:color w:val="auto"/>
        </w:rPr>
        <w:t>in accordance with the Vessel’s Classification Society’s guidelines</w:t>
      </w:r>
      <w:r>
        <w:rPr>
          <w:rFonts w:ascii="Times New Roman" w:cs="Times New Roman" w:eastAsia="Times New Roman" w:hAnsi="Times New Roman"/>
          <w:sz w:val="12"/>
          <w:szCs w:val="12"/>
          <w:color w:val="auto"/>
        </w:rPr>
        <w:t xml:space="preserve">. The Charterers are to procure that all repairs to or replacement of any damaged, worn or lost parts or equipment be effected in such manner (both as regards workmanship and quality of materials) as not to diminish the value of the Vessel. The Charterers have the right to fit additional equipment at their expense and risk but </w:t>
      </w:r>
      <w:r>
        <w:rPr>
          <w:rFonts w:ascii="Times New Roman" w:cs="Times New Roman" w:eastAsia="Times New Roman" w:hAnsi="Times New Roman"/>
          <w:sz w:val="12"/>
          <w:szCs w:val="12"/>
          <w:b w:val="1"/>
          <w:bCs w:val="1"/>
          <w:color w:val="auto"/>
        </w:rPr>
        <w:t>title to such additional equipment shall be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 xml:space="preserve">deemed to have automatically passed to the Owners immediately upon such fitting and </w:t>
      </w:r>
      <w:r>
        <w:rPr>
          <w:rFonts w:ascii="Times New Roman" w:cs="Times New Roman" w:eastAsia="Times New Roman" w:hAnsi="Times New Roman"/>
          <w:sz w:val="12"/>
          <w:szCs w:val="12"/>
          <w:color w:val="auto"/>
        </w:rPr>
        <w:t>the Charterers shall</w:t>
      </w:r>
      <w:r>
        <w:rPr>
          <w:rFonts w:ascii="Times New Roman" w:cs="Times New Roman" w:eastAsia="Times New Roman" w:hAnsi="Times New Roman"/>
          <w:sz w:val="12"/>
          <w:szCs w:val="12"/>
          <w:b w:val="1"/>
          <w:bCs w:val="1"/>
          <w:color w:val="auto"/>
        </w:rPr>
        <w:t xml:space="preserve"> at their expenses </w:t>
      </w:r>
      <w:r>
        <w:rPr>
          <w:rFonts w:ascii="Times New Roman" w:cs="Times New Roman" w:eastAsia="Times New Roman" w:hAnsi="Times New Roman"/>
          <w:sz w:val="12"/>
          <w:szCs w:val="12"/>
          <w:color w:val="auto"/>
        </w:rPr>
        <w:t>remove such equipment</w:t>
      </w:r>
      <w:r>
        <w:rPr>
          <w:rFonts w:ascii="Times New Roman" w:cs="Times New Roman" w:eastAsia="Times New Roman" w:hAnsi="Times New Roman"/>
          <w:sz w:val="12"/>
          <w:szCs w:val="12"/>
          <w:b w:val="1"/>
          <w:bCs w:val="1"/>
          <w:color w:val="auto"/>
        </w:rPr>
        <w:t xml:space="preserve"> without damage to the Vessel </w:t>
      </w:r>
      <w:r>
        <w:rPr>
          <w:rFonts w:ascii="Times New Roman" w:cs="Times New Roman" w:eastAsia="Times New Roman" w:hAnsi="Times New Roman"/>
          <w:sz w:val="12"/>
          <w:szCs w:val="12"/>
          <w:color w:val="auto"/>
        </w:rPr>
        <w:t>at the</w:t>
      </w:r>
      <w:r>
        <w:rPr>
          <w:rFonts w:ascii="Times New Roman" w:cs="Times New Roman" w:eastAsia="Times New Roman" w:hAnsi="Times New Roman"/>
          <w:sz w:val="12"/>
          <w:szCs w:val="12"/>
          <w:b w:val="1"/>
          <w:bCs w:val="1"/>
          <w:color w:val="auto"/>
        </w:rPr>
        <w:t xml:space="preserve"> time of redelivery </w:t>
      </w:r>
      <w:r>
        <w:rPr>
          <w:rFonts w:ascii="Times New Roman" w:cs="Times New Roman" w:eastAsia="Times New Roman" w:hAnsi="Times New Roman"/>
          <w:sz w:val="12"/>
          <w:szCs w:val="12"/>
          <w:color w:val="auto"/>
          <w:strike w:val="1"/>
        </w:rPr>
        <w:t>end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strike w:val="1"/>
        </w:rPr>
        <w:t>period</w:t>
      </w:r>
      <w:r>
        <w:rPr>
          <w:rFonts w:ascii="Times New Roman" w:cs="Times New Roman" w:eastAsia="Times New Roman" w:hAnsi="Times New Roman"/>
          <w:sz w:val="12"/>
          <w:szCs w:val="12"/>
          <w:color w:val="auto"/>
        </w:rPr>
        <w:t xml:space="preserve"> if requested by the Owners. Any equipment including radio equipment on hire on the Vessel at time of delivery shall be kept and maintained by the Charterers and the Charterers shall assume the obligations and liabilities of the Owners under any lease contracts in connection therewith and shall </w:t>
      </w:r>
      <w:r>
        <w:rPr>
          <w:rFonts w:ascii="Times New Roman" w:cs="Times New Roman" w:eastAsia="Times New Roman" w:hAnsi="Times New Roman"/>
          <w:sz w:val="12"/>
          <w:szCs w:val="12"/>
          <w:color w:val="auto"/>
          <w:strike w:val="1"/>
        </w:rPr>
        <w:t>reimburse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indemnify</w:t>
      </w:r>
      <w:r>
        <w:rPr>
          <w:rFonts w:ascii="Times New Roman" w:cs="Times New Roman" w:eastAsia="Times New Roman" w:hAnsi="Times New Roman"/>
          <w:sz w:val="12"/>
          <w:szCs w:val="12"/>
          <w:color w:val="auto"/>
        </w:rPr>
        <w:t xml:space="preserve"> the Owners for all expenses incurred in connection therewith, also for any new equipment required in order to comply with radio regulations.</w:t>
      </w:r>
    </w:p>
    <w:p>
      <w:pPr>
        <w:spacing w:after="0" w:line="2"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0"/>
          <w:numId w:val="3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Periodical Dry-Docking</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The Charterers shall dry-dock the Vessel and clean and paint her underwater parts whenever the same </w:t>
      </w:r>
      <w:r>
        <w:rPr>
          <w:rFonts w:ascii="Times New Roman" w:cs="Times New Roman" w:eastAsia="Times New Roman" w:hAnsi="Times New Roman"/>
          <w:sz w:val="12"/>
          <w:szCs w:val="12"/>
          <w:color w:val="auto"/>
          <w:strike w:val="1"/>
        </w:rPr>
        <w:t>may be necessary, but not less than once during the period stated in Box 19 or, if Box 19 has been left blank, every sixty</w:t>
      </w:r>
    </w:p>
    <w:p>
      <w:pPr>
        <w:spacing w:after="0" w:line="6" w:lineRule="exact"/>
        <w:rPr>
          <w:sz w:val="20"/>
          <w:szCs w:val="20"/>
          <w:color w:val="auto"/>
        </w:rPr>
      </w:pPr>
    </w:p>
    <w:p>
      <w:pPr>
        <w:ind w:left="648" w:hanging="223"/>
        <w:spacing w:after="0"/>
        <w:tabs>
          <w:tab w:leader="none" w:pos="648" w:val="left"/>
        </w:tabs>
        <w:numPr>
          <w:ilvl w:val="2"/>
          <w:numId w:val="381"/>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calendar months after delivery or such other period as</w:t>
      </w:r>
      <w:r>
        <w:rPr>
          <w:rFonts w:ascii="Times New Roman" w:cs="Times New Roman" w:eastAsia="Times New Roman" w:hAnsi="Times New Roman"/>
          <w:sz w:val="12"/>
          <w:szCs w:val="12"/>
          <w:color w:val="auto"/>
        </w:rPr>
        <w:t xml:space="preserve"> may be required by the Classification Society or flag State</w:t>
      </w:r>
      <w:r>
        <w:rPr>
          <w:rFonts w:ascii="Times New Roman" w:cs="Times New Roman" w:eastAsia="Times New Roman" w:hAnsi="Times New Roman"/>
          <w:sz w:val="12"/>
          <w:szCs w:val="12"/>
          <w:color w:val="auto"/>
          <w:strike w:val="1"/>
        </w:rPr>
        <w:t>, whichever is shorter</w:t>
      </w:r>
      <w:r>
        <w:rPr>
          <w:rFonts w:ascii="Times New Roman" w:cs="Times New Roman" w:eastAsia="Times New Roman" w:hAnsi="Times New Roman"/>
          <w:sz w:val="12"/>
          <w:szCs w:val="12"/>
          <w:color w:val="auto"/>
        </w:rPr>
        <w:t>.</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3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 (See Additional Clause 40)</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hire due to the Owners punctually in accordance with the terms of this Charter in respect of which time shall be of the essence.</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pay to the Owners for the hire of the Vessel a lump sum in the amount indicated in Box 22 which shall be payable not later than every thirty (30) running days in advance, the first lump sum being payable on the date and hour of the Vessel's delivery to the Charterers. Hire shall be paid continuously throughout the Charter Period.</w:t>
      </w:r>
    </w:p>
    <w:p>
      <w:pPr>
        <w:ind w:left="468" w:hanging="270"/>
        <w:spacing w:after="0"/>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hire shall be made in cash without discount in the currency and in the manner indicated in Box 25 and at the place mentioned in Box 26.</w:t>
      </w:r>
    </w:p>
    <w:p>
      <w:pPr>
        <w:spacing w:after="0" w:line="6"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Final payment of hire, if for a period of less than thirty (30) running days, shall be calculated proportionally according to the number of days and hours remaining before redelivery and advance payment to be effected accordingly.</w:t>
      </w:r>
    </w:p>
    <w:p>
      <w:pPr>
        <w:ind w:left="468" w:hanging="270"/>
        <w:spacing w:after="0" w:line="250" w:lineRule="auto"/>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 lost or missing, hire shall cease from the date and time when she was lost or last heard of. The date upon which the Vessel is to be treated as lost or missing shall be ten (10) days after the Vessel was last reported or when the Vessel is posted as missing by Lloyd's, whichever occurs first. Any hire paid in advance to be adjusted accordingly.</w:t>
      </w:r>
    </w:p>
    <w:p>
      <w:pPr>
        <w:ind w:left="468" w:right="20" w:hanging="270"/>
        <w:spacing w:after="0" w:line="250" w:lineRule="auto"/>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delay in payment of hire shall entitle the Owners to interest at the rate per annum as agreed in Box 24. If Box 24 has not been filled in, the three months interbank offered rate in London (LIBOR or its successor) for the currency stated in Box 25, as quoted by the British Bankers' Association (BBA) on the date when the hire fell due, increased by 2 per cent., shall apply.</w:t>
      </w:r>
    </w:p>
    <w:p>
      <w:pPr>
        <w:ind w:left="468" w:hanging="270"/>
        <w:spacing w:after="0" w:line="260" w:lineRule="auto"/>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Payment of interest due under sub-clause 11(f) shall be made within seven (7) running days of the date of the Owners' invoice specifying the amount payable or, in the absence of an invoice, at the time of the next hire payment date.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Mortgage (See Additional Clause 45)</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b w:val="1"/>
          <w:bCs w:val="1"/>
          <w:i w:val="1"/>
          <w:iCs w:val="1"/>
          <w:color w:val="auto"/>
        </w:rPr>
        <w:t>only to apply if Box 28 has been appropriately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Notwithstanding anything to the contrary in this Charter, no obligations will be imposed on the Charterers as a result of Owners entering into the Finance Documents which are more onerous than those imposed on the Charterers pursuant to this Charter.</w:t>
      </w:r>
    </w:p>
    <w:p>
      <w:pPr>
        <w:ind w:left="20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 The Owners warrant that they have not effected any mortgage(s) of the Vessel and that they shall not effect any mortgage(s) without the prior consent of the Charterers, which shall not be unreasonably withheld.</w:t>
      </w:r>
    </w:p>
    <w:p>
      <w:pPr>
        <w:spacing w:after="0" w:line="6" w:lineRule="exact"/>
        <w:rPr>
          <w:rFonts w:ascii="Times New Roman" w:cs="Times New Roman" w:eastAsia="Times New Roman" w:hAnsi="Times New Roman"/>
          <w:sz w:val="12"/>
          <w:szCs w:val="12"/>
          <w:b w:val="1"/>
          <w:bCs w:val="1"/>
          <w:color w:val="auto"/>
        </w:rPr>
      </w:pPr>
    </w:p>
    <w:p>
      <w:pPr>
        <w:ind w:left="468" w:hanging="261"/>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*(b) The Vessel chartered under this Charter is financed by a mortgage according to the Financial Instrument. The Charterers undertake to comply, and provide such information and documents to enable the Owners to comply, with all such instructions or directions in regard to the employment, insurances, operation, repairs and maintenance of the Vessel as laid down in the Financial Instrument or as may be directed from time to time during the currency of the Charter by the mortgagee(s) in conformity with the Financial Instrument. The Charterers confirm that, for this purpose, they have acquainted themselves with all relevant terms, conditions and provisions of the Financial Instrument and agree to acknowledge this in writing in any form that may be required by the mortgagee(s). The Owners warrant that they have not effected any mortgage(s) other than stated in Box 28 and that they shall not agree to any amendment of the mortgage(s) referred to in Box 28 or effect any other mortgage(s) without the prior consent of the Charterers, which shall not be unreasonably withheld.</w:t>
      </w:r>
    </w:p>
    <w:p>
      <w:pPr>
        <w:spacing w:after="0" w:line="1"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i w:val="1"/>
          <w:iCs w:val="1"/>
          <w:color w:val="auto"/>
        </w:rPr>
        <w:t>*(Optional, Clauses 12(a) and 12(b) are alternatives; indicate alternative agreed in Box 28).</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and Repairs (Also see Additional Clause 41)</w:t>
      </w:r>
    </w:p>
    <w:p>
      <w:pPr>
        <w:spacing w:after="0" w:line="20" w:lineRule="exact"/>
        <w:rPr>
          <w:rFonts w:ascii="Times New Roman" w:cs="Times New Roman" w:eastAsia="Times New Roman" w:hAnsi="Times New Roman"/>
          <w:sz w:val="12"/>
          <w:szCs w:val="12"/>
          <w:b w:val="1"/>
          <w:bCs w:val="1"/>
          <w:color w:val="auto"/>
        </w:rPr>
      </w:pPr>
    </w:p>
    <w:p>
      <w:pPr>
        <w:jc w:val="both"/>
        <w:ind w:left="468" w:hanging="270"/>
        <w:spacing w:after="0" w:line="250" w:lineRule="auto"/>
        <w:tabs>
          <w:tab w:leader="none" w:pos="468" w:val="left"/>
        </w:tabs>
        <w:numPr>
          <w:ilvl w:val="1"/>
          <w:numId w:val="3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Charterers at their expense against hull and machinery, war and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 Such insurances shall be arranged by the Charterers to protect the interests of both the Owners and the Charterers and the mortgagee(s) (if any), and the Charterers shall be at liberty to protect under such insurances the interests of any managers they may appoint. Insurance policies shall cover the Owners and the Charterers according to their respective interests. Subject to the provisions of the Financial Instrument, if any, and the approval of the Owners and the insurers, the Charterers shall effect all insured repairs and shall undertake settlement and reimbursement from the insurers of all costs in connection with such repairs as well as insured charges, expenses and liabilities to the extent of coverage under the insurances herein provided for.</w:t>
      </w:r>
    </w:p>
    <w:p>
      <w:pPr>
        <w:spacing w:after="0" w:line="1" w:lineRule="exact"/>
        <w:rPr>
          <w:rFonts w:ascii="Times New Roman" w:cs="Times New Roman" w:eastAsia="Times New Roman" w:hAnsi="Times New Roman"/>
          <w:sz w:val="12"/>
          <w:szCs w:val="12"/>
          <w:color w:val="auto"/>
        </w:rPr>
      </w:pPr>
    </w:p>
    <w:p>
      <w:pPr>
        <w:ind w:left="46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w:t>
      </w:r>
      <w:r>
        <w:rPr>
          <w:rFonts w:ascii="Times New Roman" w:cs="Times New Roman" w:eastAsia="Times New Roman" w:hAnsi="Times New Roman"/>
          <w:sz w:val="12"/>
          <w:szCs w:val="12"/>
          <w:color w:val="auto"/>
          <w:strike w:val="1"/>
        </w:rPr>
        <w:t>also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shall</w:t>
      </w:r>
      <w:r>
        <w:rPr>
          <w:rFonts w:ascii="Times New Roman" w:cs="Times New Roman" w:eastAsia="Times New Roman" w:hAnsi="Times New Roman"/>
          <w:sz w:val="12"/>
          <w:szCs w:val="12"/>
          <w:color w:val="auto"/>
        </w:rPr>
        <w:t xml:space="preserve"> remain responsible for and to effect repairs and settlement of costs and expenses incurred thereby in respect of all other repairs not covered by the insurances and/or not exceeding any possible franchise(s) or deductibles provided for in the insurances.</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All time used for repairs </w:t>
      </w:r>
      <w:r>
        <w:rPr>
          <w:rFonts w:ascii="Times New Roman" w:cs="Times New Roman" w:eastAsia="Times New Roman" w:hAnsi="Times New Roman"/>
          <w:sz w:val="12"/>
          <w:szCs w:val="12"/>
          <w:color w:val="auto"/>
          <w:strike w:val="1"/>
        </w:rPr>
        <w:t>under the provisions of sub clause 13(a) and for repairs of latent defects according to Clause 3(c) above, including any deviation,</w:t>
      </w:r>
      <w:r>
        <w:rPr>
          <w:rFonts w:ascii="Times New Roman" w:cs="Times New Roman" w:eastAsia="Times New Roman" w:hAnsi="Times New Roman"/>
          <w:sz w:val="12"/>
          <w:szCs w:val="12"/>
          <w:color w:val="auto"/>
        </w:rPr>
        <w:t xml:space="preserve"> shall be for the Charterers' account.</w:t>
      </w:r>
    </w:p>
    <w:p>
      <w:pPr>
        <w:spacing w:after="0" w:line="6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0" w:name="page301"/>
    <w:bookmarkEnd w:id="300"/>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13" w:lineRule="exact"/>
        <w:rPr>
          <w:sz w:val="20"/>
          <w:szCs w:val="20"/>
          <w:color w:val="auto"/>
        </w:rPr>
      </w:pPr>
    </w:p>
    <w:p>
      <w:pPr>
        <w:jc w:val="both"/>
        <w:ind w:left="468" w:hanging="270"/>
        <w:spacing w:after="0" w:line="256" w:lineRule="auto"/>
        <w:tabs>
          <w:tab w:leader="none" w:pos="468" w:val="left"/>
        </w:tabs>
        <w:numPr>
          <w:ilvl w:val="1"/>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spacing w:after="0" w:line="1"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1"/>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upon the request of the Owners, provide information and promptly execute such documents as may be </w:t>
      </w:r>
      <w:r>
        <w:rPr>
          <w:rFonts w:ascii="Times New Roman" w:cs="Times New Roman" w:eastAsia="Times New Roman" w:hAnsi="Times New Roman"/>
          <w:sz w:val="12"/>
          <w:szCs w:val="12"/>
          <w:b w:val="1"/>
          <w:bCs w:val="1"/>
          <w:color w:val="auto"/>
        </w:rPr>
        <w:t>reasonably</w:t>
      </w:r>
      <w:r>
        <w:rPr>
          <w:rFonts w:ascii="Times New Roman" w:cs="Times New Roman" w:eastAsia="Times New Roman" w:hAnsi="Times New Roman"/>
          <w:sz w:val="12"/>
          <w:szCs w:val="12"/>
          <w:color w:val="auto"/>
        </w:rPr>
        <w:t xml:space="preserve"> required to enable the Owners to comply with the insurance provisions of the Financial Instrument.</w:t>
      </w:r>
    </w:p>
    <w:p>
      <w:pPr>
        <w:jc w:val="both"/>
        <w:ind w:left="468" w:hanging="270"/>
        <w:spacing w:after="0" w:line="250" w:lineRule="auto"/>
        <w:tabs>
          <w:tab w:leader="none" w:pos="468" w:val="left"/>
        </w:tabs>
        <w:numPr>
          <w:ilvl w:val="1"/>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Subject to the provisions of the Financial lnstrument, if any, should the Vessel become an actual, constructive, compromised or agreed total loss under the insurances required under sub-clause 13(a), all insurance payments for such loss shall be paid to the Owners who shall distribute the moneys between the Owners and Charterers according to their respective interests. The Charterers undertake to notify the Owners and the mortgagee(s), if any, of any occurrences in consequence of which the Vessel is likely to become a total loss as defined in this Clause.</w:t>
      </w:r>
    </w:p>
    <w:p>
      <w:pPr>
        <w:ind w:left="468" w:hanging="270"/>
        <w:spacing w:after="0"/>
        <w:tabs>
          <w:tab w:leader="none" w:pos="468" w:val="left"/>
        </w:tabs>
        <w:numPr>
          <w:ilvl w:val="1"/>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upon the request of the Charterers, promptly execute such documents as may be required to enable the Charterers to abandon the Vessel to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3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against hull and machinery and war risks under the provisions of sub-clause 13(a), the value of the Vessel is the sum indicated in Box 29.</w:t>
      </w:r>
    </w:p>
    <w:p>
      <w:pPr>
        <w:spacing w:after="0" w:line="135"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Repairs and Classification (See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 xml:space="preserve">(Optional, only to apply if expressly agreed and stated in Box </w:t>
      </w:r>
      <w:r>
        <w:rPr>
          <w:rFonts w:ascii="Times New Roman" w:cs="Times New Roman" w:eastAsia="Times New Roman" w:hAnsi="Times New Roman"/>
          <w:sz w:val="12"/>
          <w:szCs w:val="12"/>
          <w:b w:val="1"/>
          <w:bCs w:val="1"/>
          <w:color w:val="auto"/>
        </w:rPr>
        <w:t>29,</w:t>
      </w:r>
      <w:r>
        <w:rPr>
          <w:rFonts w:ascii="Times New Roman" w:cs="Times New Roman" w:eastAsia="Times New Roman" w:hAnsi="Times New Roman"/>
          <w:sz w:val="12"/>
          <w:szCs w:val="12"/>
          <w:b w:val="1"/>
          <w:bCs w:val="1"/>
          <w:i w:val="1"/>
          <w:iCs w:val="1"/>
          <w:color w:val="auto"/>
        </w:rPr>
        <w:t xml:space="preserve"> in which event Clause </w:t>
      </w:r>
      <w:r>
        <w:rPr>
          <w:rFonts w:ascii="Times New Roman" w:cs="Times New Roman" w:eastAsia="Times New Roman" w:hAnsi="Times New Roman"/>
          <w:sz w:val="12"/>
          <w:szCs w:val="12"/>
          <w:b w:val="1"/>
          <w:bCs w:val="1"/>
          <w:color w:val="auto"/>
        </w:rPr>
        <w:t>13</w:t>
      </w:r>
      <w:r>
        <w:rPr>
          <w:rFonts w:ascii="Times New Roman" w:cs="Times New Roman" w:eastAsia="Times New Roman" w:hAnsi="Times New Roman"/>
          <w:sz w:val="12"/>
          <w:szCs w:val="12"/>
          <w:b w:val="1"/>
          <w:bCs w:val="1"/>
          <w:i w:val="1"/>
          <w:iCs w:val="1"/>
          <w:color w:val="auto"/>
        </w:rPr>
        <w:t xml:space="preserve"> shall be considered deleted).</w:t>
      </w:r>
    </w:p>
    <w:p>
      <w:pPr>
        <w:spacing w:after="0" w:line="6"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Owners at their expense against hull and machinery and war risks under the form of policy or policies attached hereto. The Owners and/or insurers shall not have any right of recovery or subrogation against the Charterers on account of loss of or any damage to the Vessel or her machinery or appurtenances covered by such insurance, or on account of payments made to discharge claims against or liabilities of the Vessel or the Owners covered by such insurance. Insurance policies shall cover the Owners and the Charterers according to their respective interests.</w:t>
      </w:r>
    </w:p>
    <w:p>
      <w:pPr>
        <w:ind w:left="468"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During the Charter Period the Vessel shall be kept insured by the Charterers at their expense against Protection and Indemnity risks (and any risks against which it is compulsory to insure for the operation of the Vessel, including maintaining financial security in accordance with sub-clause 10(a)(iii)) in such form as the Owners shall in writing approve which approval shall not be unreasonably withheld.</w:t>
      </w:r>
    </w:p>
    <w:p>
      <w:pPr>
        <w:ind w:left="468" w:right="20"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that any act or negligence of the Charterers shall vitiate any of the insurance herein provided, the Charterers shall pay to the Owners all losses and indemnify the Owners against all claims and demands which would otherwise have been covered by such insurance.</w:t>
      </w:r>
    </w:p>
    <w:p>
      <w:pPr>
        <w:jc w:val="both"/>
        <w:ind w:left="468" w:right="20"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subject to the approval of the Owners or Owners' Underwriters, effect all insured repairs, and the Charterers shall undertake settlement of all miscellaneous expenses in connection with such repairs as well as all insured charges, expenses and liabilities, to the extent of coverage under the insurances provided for under the provisions of sub-clause 14(a). The Charterers to be secured reimbursement through the Owners' Underwriters for such expenditures upon presentation of accounts.</w:t>
      </w:r>
    </w:p>
    <w:p>
      <w:pPr>
        <w:ind w:left="468" w:right="20"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to remain responsible for and to effect repairs and settlement of costs and expenses incurred thereby in respect of all other repairs not covered by the insurances and/or not exceeding any possible franchise(s) or deductibles provided for in the insurances.</w:t>
      </w:r>
    </w:p>
    <w:p>
      <w:pPr>
        <w:ind w:left="468" w:right="20"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All time used for repairs under the provisions of sub-clauses 14(d) and 14(e) and for repairs of latent defects according to Clause 3 above, including any deviation, shall be for the Charterers' account and shall form part of the Charter Period.</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be responsible for any expenses as are incident to the use and operation of the Vessel for such time as may be required to make such repairs.</w:t>
      </w:r>
    </w:p>
    <w:p>
      <w:pPr>
        <w:spacing w:after="0" w:line="6" w:lineRule="exact"/>
        <w:rPr>
          <w:rFonts w:ascii="Times New Roman" w:cs="Times New Roman" w:eastAsia="Times New Roman" w:hAnsi="Times New Roman"/>
          <w:sz w:val="12"/>
          <w:szCs w:val="12"/>
          <w:color w:val="auto"/>
        </w:rPr>
      </w:pPr>
    </w:p>
    <w:p>
      <w:pPr>
        <w:jc w:val="both"/>
        <w:ind w:left="468" w:right="20"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conditions of the above insurances permit additional insurance to be placed by the parties such cover shall be limited to the amount for each party set out in Box 30 and Box 31, respectively. The Owners or the Charterers as the case may be shall immediately furnish the other party with particulars of any additional insurance effected, including copies of any cover notes or policies and the written consent of the insurers of any such required insurance in any case where the consent of such insurers is necessary.</w:t>
      </w:r>
    </w:p>
    <w:p>
      <w:pPr>
        <w:ind w:left="468" w:hanging="270"/>
        <w:spacing w:after="0" w:line="250" w:lineRule="auto"/>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Should the Vessel become an actual, constructive, compromised or agreed total loss under the insurances required under sub-clause 14(a), all insurance payments for such loss shall be paid to the Owners, who shall distribute the moneys between themselves and the Charterers according to their respective interests.</w:t>
      </w:r>
    </w:p>
    <w:p>
      <w:pPr>
        <w:ind w:left="468" w:hanging="270"/>
        <w:spacing w:after="0"/>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Vessel becomes an actual, constructive, compromised or agreed total loss under the insurances arranged by the Owners in accordance with sub-clause 14(a), this Charter shall terminate as of the date of such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upon the request of the Owners, promptly execute such documents as may be required to enable the Owners to abandon the Vessel to the insurers and claim a constructive total loss.</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1"/>
          <w:numId w:val="3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For the purpose of insurance coverage agains thull and machinery and war risks under the provisions of sub-clause 14(a), the value of the Vessel is the sum indicated in Box 29.</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1" w:name="page302"/>
    <w:bookmarkEnd w:id="301"/>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213" w:lineRule="exact"/>
        <w:rPr>
          <w:sz w:val="20"/>
          <w:szCs w:val="20"/>
          <w:color w:val="auto"/>
        </w:rPr>
      </w:pPr>
    </w:p>
    <w:p>
      <w:pPr>
        <w:ind w:left="468" w:right="20" w:hanging="270"/>
        <w:spacing w:after="0" w:line="279" w:lineRule="auto"/>
        <w:tabs>
          <w:tab w:leader="none" w:pos="468" w:val="left"/>
        </w:tabs>
        <w:numPr>
          <w:ilvl w:val="1"/>
          <w:numId w:val="3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Notwithstanding anything contained in sub-clause 10(a), it is agreed that under the provisions of Clause 14, if applicable, the Owners shall keep the Vessel's Class fully up to date with the Classification Society indicated in Box 10 and maintain all other necessary certificates in force at all times.</w:t>
      </w:r>
    </w:p>
    <w:p>
      <w:pPr>
        <w:spacing w:after="0" w:line="107"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(See Additional Clauses 42 and 43)</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At the expiration of the Charter Period the Vessel shall be redelivered by the Charterers to the Owners at a safe and ice-free port or place as indicated in Box 16, in such ready safe berth as the Owners may direct. The Charterers shall give the Owners not less than thirty (30) running days' preliminary notice of expected date, range of ports of redelivery or port or place of redelivery and not less than fourteen (14) running days' definite notice of expected date and port or place of redelivery. Any changes thereafter in the Vessel's position shall be notified immediately to the Owners.</w:t>
      </w:r>
    </w:p>
    <w:p>
      <w:pPr>
        <w:jc w:val="both"/>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warrant that they will not permit the Vessel to commence a voyage (including any preceding ballast voyage) which cannot reasonably be expected to be completed in time to allow redelivery of the Vessel within the Charter Period. Notwithstanding the above, should the Charterers fail to redeliver the Vessel within the Charter Period, the Charterers shall pay the daily equivalent to the rate of hire stated in Box 22 plus 10 per cent. or to the market rate, whichever is the higher, for the number of days by which the Charter Period is exceeded. All other terms, conditions and provisions of this Charter shall continue to apply.</w:t>
      </w:r>
    </w:p>
    <w:p>
      <w:pPr>
        <w:ind w:left="168" w:right="3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Subject to the provisions of Clause 10, the Vessel shall be redelivered to the Owners in the same or as good structure, state, condition and class as that in which she was delivered, fair wear and tear not affecting class excepted. The Vessel upon redelivery shall have her survey cycles up to date and trading and class certificates valid for at least the number of months agreed in Box 17.</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Non-Lien (See also Additional Clauses)</w:t>
      </w:r>
    </w:p>
    <w:p>
      <w:pPr>
        <w:spacing w:after="0" w:line="20" w:lineRule="exact"/>
        <w:rPr>
          <w:rFonts w:ascii="Times New Roman" w:cs="Times New Roman" w:eastAsia="Times New Roman" w:hAnsi="Times New Roman"/>
          <w:sz w:val="12"/>
          <w:szCs w:val="12"/>
          <w:b w:val="1"/>
          <w:bCs w:val="1"/>
          <w:color w:val="auto"/>
        </w:rPr>
      </w:pPr>
    </w:p>
    <w:p>
      <w:pPr>
        <w:ind w:left="168"/>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 xml:space="preserve">The Charterers will not suffer, nor permit to be continued, any lien or encumbrance incurred by their agents, which might have priority over the title and interest of the Owners in the Vessel </w:t>
      </w:r>
      <w:r>
        <w:rPr>
          <w:rFonts w:ascii="Times New Roman" w:cs="Times New Roman" w:eastAsia="Times New Roman" w:hAnsi="Times New Roman"/>
          <w:sz w:val="12"/>
          <w:szCs w:val="12"/>
          <w:b w:val="1"/>
          <w:bCs w:val="1"/>
          <w:color w:val="auto"/>
        </w:rPr>
        <w:t>(other than the Permitted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Encumbrances)</w:t>
      </w:r>
      <w:r>
        <w:rPr>
          <w:rFonts w:ascii="Times New Roman" w:cs="Times New Roman" w:eastAsia="Times New Roman" w:hAnsi="Times New Roman"/>
          <w:sz w:val="12"/>
          <w:szCs w:val="12"/>
          <w:color w:val="auto"/>
        </w:rPr>
        <w:t>. The Charterers further agree to fasten to the Vessel in a conspicuous place and to keep so fastened during the Charter Period a notice reading as follows:</w:t>
      </w: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Vessel is the property of (name of Owners). It is under charter to (name of Charterers) and by the terms of the Charter Party neither the Charterers nor the Master have any right, power or authority to create, incur or permit to be imposed on the Vessel any lien whatsoever."</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Indemnity (See Additional Clause 58)</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Charterers shall indemnify the Owners against any loss, damage or </w:t>
      </w:r>
      <w:r>
        <w:rPr>
          <w:rFonts w:ascii="Times New Roman" w:cs="Times New Roman" w:eastAsia="Times New Roman" w:hAnsi="Times New Roman"/>
          <w:sz w:val="12"/>
          <w:szCs w:val="12"/>
          <w:b w:val="1"/>
          <w:bCs w:val="1"/>
          <w:color w:val="auto"/>
        </w:rPr>
        <w:t>documented</w:t>
      </w:r>
      <w:r>
        <w:rPr>
          <w:rFonts w:ascii="Times New Roman" w:cs="Times New Roman" w:eastAsia="Times New Roman" w:hAnsi="Times New Roman"/>
          <w:sz w:val="12"/>
          <w:szCs w:val="12"/>
          <w:color w:val="auto"/>
        </w:rPr>
        <w:t xml:space="preserve"> expense incurred by the Owners arising out of or in relation to the operation of the Vessel by the Charterers, and against any lien of whatsoever nature </w:t>
      </w:r>
      <w:r>
        <w:rPr>
          <w:rFonts w:ascii="Times New Roman" w:cs="Times New Roman" w:eastAsia="Times New Roman" w:hAnsi="Times New Roman"/>
          <w:sz w:val="12"/>
          <w:szCs w:val="12"/>
          <w:b w:val="1"/>
          <w:bCs w:val="1"/>
          <w:color w:val="auto"/>
        </w:rPr>
        <w:t>(save for any liens caused directly by the Owners)</w:t>
      </w:r>
      <w:r>
        <w:rPr>
          <w:rFonts w:ascii="Times New Roman" w:cs="Times New Roman" w:eastAsia="Times New Roman" w:hAnsi="Times New Roman"/>
          <w:sz w:val="12"/>
          <w:szCs w:val="12"/>
          <w:color w:val="auto"/>
        </w:rPr>
        <w:t xml:space="preserve"> arising out of an event occurring during the Charter Period. If the Vessel be arrested or otherwise detained by reason of claims or liens arising out of her operation hereunder by the Charterers, the Charterers shall at their own expense take all reasonable steps to secure that within a reasonable time the Vessel is released, including the provision of bail.</w:t>
      </w: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foregoing, the Charterers agree to indemnify the Owners against all consequences or liabilities arising from the Master, officers or agents signing Bills of Lading or other documents.</w:t>
      </w:r>
    </w:p>
    <w:p>
      <w:pPr>
        <w:spacing w:after="0" w:line="6"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If the Vessel be arrested or otherwise detained by reason of a claim or claims against the Owners </w:t>
      </w:r>
      <w:r>
        <w:rPr>
          <w:rFonts w:ascii="Times New Roman" w:cs="Times New Roman" w:eastAsia="Times New Roman" w:hAnsi="Times New Roman"/>
          <w:sz w:val="12"/>
          <w:szCs w:val="12"/>
          <w:b w:val="1"/>
          <w:bCs w:val="1"/>
          <w:color w:val="auto"/>
        </w:rPr>
        <w:t>which is not attributable to any Obligor</w:t>
      </w:r>
      <w:r>
        <w:rPr>
          <w:rFonts w:ascii="Times New Roman" w:cs="Times New Roman" w:eastAsia="Times New Roman" w:hAnsi="Times New Roman"/>
          <w:sz w:val="12"/>
          <w:szCs w:val="12"/>
          <w:color w:val="auto"/>
        </w:rPr>
        <w:t>, the Owners shall at their own expense take all reasonable steps to secure that within a reasonable time the Vessel is released, including the provision of bail.</w:t>
      </w:r>
    </w:p>
    <w:p>
      <w:pPr>
        <w:ind w:left="468" w:right="20"/>
        <w:spacing w:after="0" w:line="26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such circumstances the Owners shall indemnify the Charterers against any loss, damage or expense incurred by the Charterers </w:t>
      </w:r>
      <w:r>
        <w:rPr>
          <w:rFonts w:ascii="Times New Roman" w:cs="Times New Roman" w:eastAsia="Times New Roman" w:hAnsi="Times New Roman"/>
          <w:sz w:val="12"/>
          <w:szCs w:val="12"/>
          <w:color w:val="auto"/>
          <w:strike w:val="1"/>
        </w:rPr>
        <w:t>(including hire paid under this Charter)</w:t>
      </w:r>
      <w:r>
        <w:rPr>
          <w:rFonts w:ascii="Times New Roman" w:cs="Times New Roman" w:eastAsia="Times New Roman" w:hAnsi="Times New Roman"/>
          <w:sz w:val="12"/>
          <w:szCs w:val="12"/>
          <w:color w:val="auto"/>
        </w:rPr>
        <w:t xml:space="preserve"> as a direct consequence of such arrest or detention </w:t>
      </w:r>
      <w:r>
        <w:rPr>
          <w:rFonts w:ascii="Times New Roman" w:cs="Times New Roman" w:eastAsia="Times New Roman" w:hAnsi="Times New Roman"/>
          <w:sz w:val="12"/>
          <w:szCs w:val="12"/>
          <w:b w:val="1"/>
          <w:bCs w:val="1"/>
          <w:color w:val="auto"/>
        </w:rPr>
        <w:t>but,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for the avoidance of doubt, in such circumstances, the Charterers shall continue to pay Hire.</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Lien</w:t>
      </w:r>
    </w:p>
    <w:p>
      <w:pPr>
        <w:spacing w:after="0" w:line="20" w:lineRule="exact"/>
        <w:rPr>
          <w:rFonts w:ascii="Times New Roman" w:cs="Times New Roman" w:eastAsia="Times New Roman" w:hAnsi="Times New Roman"/>
          <w:sz w:val="12"/>
          <w:szCs w:val="12"/>
          <w:b w:val="1"/>
          <w:bCs w:val="1"/>
          <w:color w:val="auto"/>
        </w:rPr>
      </w:pPr>
    </w:p>
    <w:p>
      <w:pPr>
        <w:ind w:left="168"/>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to have a lien upon all cargoes, sub-hires and sub-freights belonging or due to the Charterers or any sub-charterers and any Bill of Lading freight for all claims under this Charter</w:t>
      </w:r>
      <w:r>
        <w:rPr>
          <w:rFonts w:ascii="Times New Roman" w:cs="Times New Roman" w:eastAsia="Times New Roman" w:hAnsi="Times New Roman"/>
          <w:sz w:val="12"/>
          <w:szCs w:val="12"/>
          <w:color w:val="auto"/>
          <w:strike w:val="1"/>
        </w:rPr>
        <w:t>, and the Charterers to have a lien on the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Vessel for all moneys paid in advance and not earned</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Salvage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salvage and towage performed by the Vessel shall be for the Charterers' benefit and the cost of repairing damage occasioned thereby shall be borne by the Charterers.</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Wreck Removal</w:t>
      </w:r>
    </w:p>
    <w:p>
      <w:pPr>
        <w:spacing w:after="0" w:line="20" w:lineRule="exact"/>
        <w:rPr>
          <w:rFonts w:ascii="Times New Roman" w:cs="Times New Roman" w:eastAsia="Times New Roman" w:hAnsi="Times New Roman"/>
          <w:sz w:val="12"/>
          <w:szCs w:val="12"/>
          <w:b w:val="1"/>
          <w:bCs w:val="1"/>
          <w:color w:val="auto"/>
        </w:rPr>
      </w:pP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In the event of the Vessel becoming a wreck or obstruction to navigation the Charterers shall indemnify the Owners against any sums whatsoever which the Owners shall become liable to pay and shall pay in consequence of the Vessel becoming a wreck or obstruction to navigation.</w:t>
      </w:r>
    </w:p>
    <w:p>
      <w:pPr>
        <w:spacing w:after="0" w:line="118"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Average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Owners shall not contribute to General Average.</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Sub-Charter and sale (See Additional Clauses)</w:t>
      </w:r>
    </w:p>
    <w:p>
      <w:pPr>
        <w:spacing w:after="0" w:line="20" w:lineRule="exact"/>
        <w:rPr>
          <w:rFonts w:ascii="Times New Roman" w:cs="Times New Roman" w:eastAsia="Times New Roman" w:hAnsi="Times New Roman"/>
          <w:sz w:val="12"/>
          <w:szCs w:val="12"/>
          <w:b w:val="1"/>
          <w:bCs w:val="1"/>
          <w:color w:val="auto"/>
        </w:rPr>
      </w:pPr>
    </w:p>
    <w:p>
      <w:pPr>
        <w:ind w:left="468" w:right="20" w:hanging="270"/>
        <w:spacing w:after="0" w:line="250" w:lineRule="auto"/>
        <w:tabs>
          <w:tab w:leader="none" w:pos="46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Charterers shall not assign this Charter nor sub-charter the Vessel on a bareboat basis except with the prior consent in writing of the Owners, which shall not be unreasonably withheld, and subject to such terms and conditions as the Owners shall approve.</w:t>
      </w:r>
    </w:p>
    <w:p>
      <w:pPr>
        <w:ind w:left="468" w:right="20" w:hanging="270"/>
        <w:spacing w:after="0" w:line="260" w:lineRule="auto"/>
        <w:tabs>
          <w:tab w:leader="none" w:pos="468" w:val="left"/>
        </w:tabs>
        <w:numPr>
          <w:ilvl w:val="1"/>
          <w:numId w:val="3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not sell the Vessel during the currency of this Charter except with the prior written consent of the Charterers, which shall not be unreasonably withheld, and subject to the buyer accepting an assignment of this Charter.</w:t>
      </w:r>
    </w:p>
    <w:p>
      <w:pPr>
        <w:spacing w:after="0" w:line="118"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Contracts of Carriage</w:t>
      </w:r>
    </w:p>
    <w:p>
      <w:pPr>
        <w:spacing w:after="0" w:line="21" w:lineRule="exact"/>
        <w:rPr>
          <w:sz w:val="20"/>
          <w:szCs w:val="20"/>
          <w:color w:val="auto"/>
        </w:rPr>
      </w:pPr>
    </w:p>
    <w:p>
      <w:pPr>
        <w:jc w:val="both"/>
        <w:ind w:left="468" w:right="20"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rPr>
        <w:t>*(a)</w:t>
        <w:tab/>
        <w:t>The Charterers are to procure that all documents issued during the Charter Period evidencing the terms and conditions agreed in respect of carriage of goods shall contain a paramount clause incorporating any legislation relating to carrier's liability for cargo compulsorily applicable in the trade, if no such legislation exists, the documents shall incorporate the Hague-Visby Rules the documents shall also contain the New Jason Clause and the Both-to-Blame Collision Clause.</w:t>
      </w:r>
    </w:p>
    <w:p>
      <w:pPr>
        <w:spacing w:after="0" w:line="1" w:lineRule="exact"/>
        <w:rPr>
          <w:sz w:val="20"/>
          <w:szCs w:val="20"/>
          <w:color w:val="auto"/>
        </w:rPr>
      </w:pPr>
    </w:p>
    <w:p>
      <w:pPr>
        <w:jc w:val="both"/>
        <w:ind w:left="468" w:right="20" w:hanging="260"/>
        <w:spacing w:after="0" w:line="250" w:lineRule="auto"/>
        <w:rPr>
          <w:sz w:val="20"/>
          <w:szCs w:val="20"/>
          <w:color w:val="auto"/>
        </w:rPr>
      </w:pPr>
      <w:r>
        <w:rPr>
          <w:rFonts w:ascii="Times New Roman" w:cs="Times New Roman" w:eastAsia="Times New Roman" w:hAnsi="Times New Roman"/>
          <w:sz w:val="12"/>
          <w:szCs w:val="12"/>
          <w:color w:val="auto"/>
          <w:strike w:val="1"/>
        </w:rPr>
        <w:t>*(b) The Charterers are to procure that all passenger tickets issued during the Charter Period for the carriage of passengers and their luggage under this Charter shall contain a paramount clause incorporating any legislation relating to carrier’s liability for passengers and their luggage compulsorily applicable in the trade; if no such legislation exists, the passenger tickets shall incorporate the Athens Convention Relating to the Carriage of Passengers and their Luggage by Sea, 1974, and any protocol thereto.</w:t>
      </w:r>
    </w:p>
    <w:p>
      <w:pPr>
        <w:spacing w:after="0" w:line="1" w:lineRule="exact"/>
        <w:rPr>
          <w:sz w:val="20"/>
          <w:szCs w:val="20"/>
          <w:color w:val="auto"/>
        </w:rPr>
      </w:pPr>
    </w:p>
    <w:p>
      <w:pPr>
        <w:ind w:left="168"/>
        <w:spacing w:after="0"/>
        <w:rPr>
          <w:sz w:val="20"/>
          <w:szCs w:val="20"/>
          <w:color w:val="auto"/>
        </w:rPr>
      </w:pPr>
      <w:r>
        <w:rPr>
          <w:rFonts w:ascii="Times New Roman" w:cs="Times New Roman" w:eastAsia="Times New Roman" w:hAnsi="Times New Roman"/>
          <w:sz w:val="12"/>
          <w:szCs w:val="12"/>
          <w:i w:val="1"/>
          <w:iCs w:val="1"/>
          <w:color w:val="auto"/>
        </w:rPr>
        <w:t>*Delete as applicable.</w:t>
      </w: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2" w:name="page303"/>
    <w:bookmarkEnd w:id="302"/>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p>
      <w:pPr>
        <w:ind w:left="168" w:hanging="168"/>
        <w:spacing w:after="0"/>
        <w:tabs>
          <w:tab w:leader="none" w:pos="168" w:val="left"/>
        </w:tabs>
        <w:numPr>
          <w:ilvl w:val="0"/>
          <w:numId w:val="3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Bank Guarantee</w:t>
      </w:r>
    </w:p>
    <w:p>
      <w:pPr>
        <w:spacing w:after="0" w:line="20"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i w:val="1"/>
          <w:iCs w:val="1"/>
          <w:color w:val="auto"/>
        </w:rPr>
        <w:t>(Optional, only to apply if Box 27 filled in)</w:t>
      </w:r>
    </w:p>
    <w:p>
      <w:pPr>
        <w:spacing w:after="0" w:line="6" w:lineRule="exact"/>
        <w:rPr>
          <w:rFonts w:ascii="Times New Roman" w:cs="Times New Roman" w:eastAsia="Times New Roman" w:hAnsi="Times New Roman"/>
          <w:sz w:val="12"/>
          <w:szCs w:val="12"/>
          <w:b w:val="1"/>
          <w:bCs w:val="1"/>
          <w:color w:val="auto"/>
        </w:rPr>
      </w:pPr>
    </w:p>
    <w:p>
      <w:pPr>
        <w:ind w:left="16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Charterers undertake to furnish, before delivery of the Vessel, a first class bank guarantee or bond in the sum and at the place as indicated in Box 27 as guarantee for full performance of their obligations under this Charter.</w:t>
      </w:r>
    </w:p>
    <w:p>
      <w:pPr>
        <w:spacing w:after="0" w:line="135"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Requisition/Acquisition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Requisition for Hire of the Vessel by any governmental or other competent authority (hereinafter referred to as "Requisition for Hire") irrespective of the date during the Charter Period when "Requisition for Hire" may occur and irrespective of the length thereof and whether or not it be for an indefinite or a limited period of time, and irrespective of whether it may or will remain in force for the remainder of the Charter Period, this Charter shall not be deemed thereby or thereupon to be frustrated or otherwise terminated and the Charterers shall continue to pay the stipulated hire in the manner provided by this Charter until the time when the Charter would have terminated pursuant to any of the provisions hereof always provided however that in the event of "Requisition for Hire", any Requisition Hire or compensation received or receivable by the Owners shall be payable to the Charterers during the remainder of the Charter Period or the period of the "Requisition for Hire" whichever be the shorter.</w:t>
      </w:r>
    </w:p>
    <w:p>
      <w:pPr>
        <w:spacing w:after="0" w:line="1" w:lineRule="exact"/>
        <w:rPr>
          <w:rFonts w:ascii="Times New Roman" w:cs="Times New Roman" w:eastAsia="Times New Roman" w:hAnsi="Times New Roman"/>
          <w:sz w:val="12"/>
          <w:szCs w:val="12"/>
          <w:color w:val="auto"/>
        </w:rPr>
      </w:pPr>
    </w:p>
    <w:p>
      <w:pPr>
        <w:jc w:val="both"/>
        <w:ind w:left="468" w:right="20" w:hanging="270"/>
        <w:spacing w:after="0" w:line="255"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the Owners being deprived of their ownership in the Vessel by any Compulsory Acquisition of the Vessel or requisition for title by any governmental or other competent authority (hereinafter referred to as “Compulsory Acquisition”), then, irrespective of the date during the Charter Period when “Compulsory Acquisition” may occur, this Charter shall be deemed terminated as of the date of such “Compulsory Acquisition”. In such event Charter Hire to be considered as earned and to be paid up to the date and time of such “Compulsory Acquisition”.</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War (See Also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468" w:right="20" w:hanging="270"/>
        <w:spacing w:after="0" w:line="250"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the words 'War Risks" shall include any war (whether actual or threatened), act of war, civil war, hostilities, revolution, rebellion, civil commotion, warlike operations, the laying of mines (whether actual or reported), acts of piracy, acts of terrorists, acts of hostility or malicious damage, blockades (whether imposed against all vessels or imposed selectively against vessels of certain flags or ownership, or against certain cargoes or crews or otherwise howsoever), by any person, body, terrorist or political group, or the Government of any state whatsoever, which may be dangerous or are likely to be or to become dangerous to the Vessel, her cargo, crew or other persons on board the Vessel.</w:t>
      </w:r>
    </w:p>
    <w:p>
      <w:pPr>
        <w:spacing w:after="0" w:line="1" w:lineRule="exact"/>
        <w:rPr>
          <w:rFonts w:ascii="Times New Roman" w:cs="Times New Roman" w:eastAsia="Times New Roman" w:hAnsi="Times New Roman"/>
          <w:sz w:val="12"/>
          <w:szCs w:val="12"/>
          <w:color w:val="auto"/>
        </w:rPr>
      </w:pPr>
    </w:p>
    <w:p>
      <w:pPr>
        <w:jc w:val="both"/>
        <w:ind w:left="468" w:hanging="270"/>
        <w:spacing w:after="0" w:line="250"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Vessel, </w:t>
      </w:r>
      <w:r>
        <w:rPr>
          <w:rFonts w:ascii="Times New Roman" w:cs="Times New Roman" w:eastAsia="Times New Roman" w:hAnsi="Times New Roman"/>
          <w:sz w:val="12"/>
          <w:szCs w:val="12"/>
          <w:b w:val="1"/>
          <w:bCs w:val="1"/>
          <w:color w:val="auto"/>
        </w:rPr>
        <w:t>provided that copies of such applicable additional insurance cover shall be provided to the Owners upon the Owners' reasonable request,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color w:val="auto"/>
          <w:strike w:val="1"/>
        </w:rPr>
        <w:t>unless the written consent of the Owners be first obtained,</w:t>
      </w:r>
      <w:r>
        <w:rPr>
          <w:rFonts w:ascii="Times New Roman" w:cs="Times New Roman" w:eastAsia="Times New Roman" w:hAnsi="Times New Roman"/>
          <w:sz w:val="12"/>
          <w:szCs w:val="12"/>
          <w:color w:val="auto"/>
        </w:rPr>
        <w:t xml:space="preserve"> shall not continue to or go through any port, place, area or zone (whether of land or sea), or any waterway or canal, where it reasonably appears that the Vessel, her cargo, crew or other persons on board the Vessel, in the reasonable judgement of the Owners, may be, or are likely to be, exposed to War Risks. Should the Vessel be within any such place as aforesaid, which only becomes dangerous, or is likely to be or to become dangerous, after her entry into it, the Owners shall have the right to require the Vessel to leave such area </w:t>
      </w:r>
      <w:r>
        <w:rPr>
          <w:rFonts w:ascii="Times New Roman" w:cs="Times New Roman" w:eastAsia="Times New Roman" w:hAnsi="Times New Roman"/>
          <w:sz w:val="12"/>
          <w:szCs w:val="12"/>
          <w:b w:val="1"/>
          <w:bCs w:val="1"/>
          <w:color w:val="auto"/>
        </w:rPr>
        <w:t>unless copies of such applicable additional insurance cover are provided to the Owners upon the Owners' reasonable request</w:t>
      </w:r>
      <w:r>
        <w:rPr>
          <w:rFonts w:ascii="Times New Roman" w:cs="Times New Roman" w:eastAsia="Times New Roman" w:hAnsi="Times New Roman"/>
          <w:sz w:val="12"/>
          <w:szCs w:val="12"/>
          <w:color w:val="auto"/>
        </w:rPr>
        <w:t>.</w:t>
      </w:r>
    </w:p>
    <w:p>
      <w:pPr>
        <w:spacing w:after="0" w:line="1" w:lineRule="exact"/>
        <w:rPr>
          <w:rFonts w:ascii="Times New Roman" w:cs="Times New Roman" w:eastAsia="Times New Roman" w:hAnsi="Times New Roman"/>
          <w:sz w:val="12"/>
          <w:szCs w:val="12"/>
          <w:color w:val="auto"/>
        </w:rPr>
      </w:pPr>
    </w:p>
    <w:p>
      <w:pPr>
        <w:ind w:left="468" w:right="20" w:hanging="270"/>
        <w:spacing w:after="0" w:line="250"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not load contraband cargo, or to pass through any blockade, whether such blockade be imposed on all vessels, or is imposed selectively in any way whatsoever against vessels of certain flags or ownership, or against certain cargoes or crews or otherwise howsoever, or to proceed to an area where she shall be subject, or is likely to be subject to a belligerent's right of search and/or confiscation.</w:t>
      </w:r>
    </w:p>
    <w:p>
      <w:pPr>
        <w:jc w:val="both"/>
        <w:ind w:left="468" w:right="20" w:hanging="270"/>
        <w:spacing w:after="0" w:line="250"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insurers of the war risks insurance, when Clause 14 is applicable, should require payment of premiums and/or calls because, pursuant to the Charterers' orders, the Vessel is within, or is due to enter and remain within, any area or areas which are specified by such insurers as being subject to additional premiums because of War Risks, then such premiums and/or calls shall be reimbursed by the Charterers to the Owners at the same time as the next payment of hire is due.</w:t>
      </w:r>
    </w:p>
    <w:p>
      <w:pPr>
        <w:ind w:left="468" w:hanging="270"/>
        <w:spacing w:after="0"/>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have the liberty:</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all orders, directions, recommendations or advice as to departure, arrival, routes, sailing in convoy, ports of call, stoppages, destinations, discharge of cargo, delivery, or in any other way whatsoever, which are given by the Government of the Nation under whose flag the Vessel sails, or any other Government, body or group whatsoever acting with the power to compel compliance with their orders or directions;</w:t>
      </w:r>
    </w:p>
    <w:p>
      <w:pPr>
        <w:ind w:left="728" w:hanging="269"/>
        <w:spacing w:after="0"/>
        <w:tabs>
          <w:tab w:leader="none" w:pos="728" w:val="left"/>
        </w:tabs>
        <w:numPr>
          <w:ilvl w:val="2"/>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orders, directions or recommendations of any war risks underwriters who have the authority to give the same under the terms of the war risks insurance;</w:t>
      </w:r>
    </w:p>
    <w:p>
      <w:pPr>
        <w:spacing w:after="0" w:line="6" w:lineRule="exact"/>
        <w:rPr>
          <w:rFonts w:ascii="Times New Roman" w:cs="Times New Roman" w:eastAsia="Times New Roman" w:hAnsi="Times New Roman"/>
          <w:sz w:val="12"/>
          <w:szCs w:val="12"/>
          <w:color w:val="auto"/>
        </w:rPr>
      </w:pPr>
    </w:p>
    <w:p>
      <w:pPr>
        <w:ind w:left="728" w:right="20" w:hanging="269"/>
        <w:spacing w:after="0" w:line="250" w:lineRule="auto"/>
        <w:tabs>
          <w:tab w:leader="none" w:pos="728" w:val="left"/>
        </w:tabs>
        <w:numPr>
          <w:ilvl w:val="2"/>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comply with the terms of any resolution of the Security Council of the United Nations, any directives of the European Community, the effective orders of any other Supranational body which has the right to issue and give the same, and with national laws aimed at enforcing the same to which the Owners are subject, and to obey the orders and directions of those who are charged with their enforcement.</w:t>
      </w:r>
    </w:p>
    <w:p>
      <w:pPr>
        <w:jc w:val="both"/>
        <w:ind w:left="468" w:right="20" w:hanging="270"/>
        <w:spacing w:after="0" w:line="253" w:lineRule="auto"/>
        <w:tabs>
          <w:tab w:leader="none" w:pos="468" w:val="left"/>
        </w:tabs>
        <w:numPr>
          <w:ilvl w:val="1"/>
          <w:numId w:val="3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In the event of outbreak of war (whether there be a declaration of war or not) (i) between any two or more of the following countries: the United States of America; Russia; the United Kingdom; France; and the People's Republic of China, (ii) between any two or more of the countries stated in Box 36, both the Owners and the Charterers shall have the right to cancel this Charter, whereupon the Charterers shall redeliver the Vessel to the Owners in accordance with Clause 15, if the Vessel has cargo on board after discharge thereof at destination, or if debarred under this Clause from reaching or entering it at a near, open and safe port as directed by the Owners, or if the Vessel has no cargo on board, at the port at which the Vessel then is or if at sea at a near, open and safe port as directed by the Owners. In all cases</w:t>
      </w:r>
      <w:r>
        <w:rPr>
          <w:rFonts w:ascii="Times New Roman" w:cs="Times New Roman" w:eastAsia="Times New Roman" w:hAnsi="Times New Roman"/>
          <w:sz w:val="12"/>
          <w:szCs w:val="12"/>
          <w:b w:val="1"/>
          <w:bCs w:val="1"/>
          <w:color w:val="auto"/>
          <w:strike w:val="1"/>
        </w:rPr>
        <w:t>,</w:t>
      </w:r>
      <w:r>
        <w:rPr>
          <w:rFonts w:ascii="Times New Roman" w:cs="Times New Roman" w:eastAsia="Times New Roman" w:hAnsi="Times New Roman"/>
          <w:sz w:val="12"/>
          <w:szCs w:val="12"/>
          <w:color w:val="auto"/>
          <w:strike w:val="1"/>
        </w:rPr>
        <w:t xml:space="preserve"> hire shall continue to be paid in accordance with Clause 11 and except as aforesaid all other provisions of this Charter shall apply until redelivery.</w:t>
      </w:r>
    </w:p>
    <w:p>
      <w:pPr>
        <w:spacing w:after="0" w:line="121"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8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Commission</w:t>
      </w:r>
    </w:p>
    <w:p>
      <w:pPr>
        <w:spacing w:after="0" w:line="20" w:lineRule="exact"/>
        <w:rPr>
          <w:rFonts w:ascii="Times New Roman" w:cs="Times New Roman" w:eastAsia="Times New Roman" w:hAnsi="Times New Roman"/>
          <w:sz w:val="12"/>
          <w:szCs w:val="12"/>
          <w:b w:val="1"/>
          <w:bCs w:val="1"/>
          <w:color w:val="auto"/>
        </w:rPr>
      </w:pPr>
    </w:p>
    <w:p>
      <w:pPr>
        <w:ind w:left="168" w:right="20"/>
        <w:spacing w:after="0" w:line="25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The Owners to pay a commission at the rate indicated in Box 33 to the Brokers named in Box 33 on any hire paid under the Charter. If no rate is indicated in Box 33, the commission to be paid by the Owners shall cover the actual expenses of the Brokers and a reasonable fee for their work.</w:t>
      </w:r>
    </w:p>
    <w:p>
      <w:pPr>
        <w:ind w:left="168" w:right="20"/>
        <w:spacing w:after="0" w:line="260"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If the full hire is not paid owing to breach of the Charter by either of the parties the party liable therefor shall indemnify the Brokers against their loss of commission. Should the parties agree to cancel the Charter, the Owners shall indemnify the Brokers against any loss of commission but in such case the commission shall not exceed the brokerage on one year's hire.</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3" w:name="page304"/>
    <w:bookmarkEnd w:id="303"/>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1" w:lineRule="exact"/>
        <w:rPr>
          <w:sz w:val="20"/>
          <w:szCs w:val="20"/>
          <w:color w:val="auto"/>
        </w:rPr>
      </w:pPr>
    </w:p>
    <w:p>
      <w:pPr>
        <w:ind w:left="168" w:hanging="168"/>
        <w:spacing w:after="0"/>
        <w:tabs>
          <w:tab w:leader="none" w:pos="168" w:val="left"/>
        </w:tabs>
        <w:numPr>
          <w:ilvl w:val="0"/>
          <w:numId w:val="3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1"/>
          <w:numId w:val="3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Charterers' Default</w:t>
      </w:r>
    </w:p>
    <w:p>
      <w:pPr>
        <w:spacing w:after="0" w:line="6" w:lineRule="exact"/>
        <w:rPr>
          <w:rFonts w:ascii="Times New Roman" w:cs="Times New Roman" w:eastAsia="Times New Roman" w:hAnsi="Times New Roman"/>
          <w:sz w:val="12"/>
          <w:szCs w:val="12"/>
          <w:color w:val="auto"/>
        </w:rPr>
      </w:pPr>
    </w:p>
    <w:p>
      <w:pPr>
        <w:ind w:left="46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Owners shall be entitled to withdraw the Vessel from the service of the Charterers and terminate the Charter with immediate effect by written notice to the Charterers if:</w:t>
      </w:r>
    </w:p>
    <w:p>
      <w:pPr>
        <w:spacing w:after="0" w:line="6" w:lineRule="exact"/>
        <w:rPr>
          <w:rFonts w:ascii="Times New Roman" w:cs="Times New Roman" w:eastAsia="Times New Roman" w:hAnsi="Times New Roman"/>
          <w:sz w:val="12"/>
          <w:szCs w:val="12"/>
          <w:color w:val="auto"/>
        </w:rPr>
      </w:pPr>
    </w:p>
    <w:p>
      <w:pPr>
        <w:jc w:val="both"/>
        <w:ind w:left="728" w:right="20" w:hanging="269"/>
        <w:spacing w:after="0" w:line="250" w:lineRule="auto"/>
        <w:tabs>
          <w:tab w:leader="none" w:pos="728" w:val="left"/>
        </w:tabs>
        <w:numPr>
          <w:ilvl w:val="2"/>
          <w:numId w:val="38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pay hire in accordance with Clause 11. However, where there is a failure to make punctual payment of hire due to oversight, negligence, errors or omissions on the part of the Charterers or their bankers, the Owners shall give the Charterers written notice of the number of clear banking days stated in Box 34 (as recognised at the agreed place of payment) in which to rectify the failure, and when so rectified within such number of days following the Owners' notice, the payment shall stand as regular and punctual. Failure by the Charterers to pay hire within the number of days stated in Box 34 of their receiving the Owners' notice as provided herein, shall entitle the Owners to withdraw the Vessel from the service of the Charterers and terminate the Charter without further notice;</w:t>
      </w:r>
    </w:p>
    <w:p>
      <w:pPr>
        <w:spacing w:after="0" w:line="1"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2"/>
          <w:numId w:val="38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comply with the requirements of:</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38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6 (Trading Restrictions)</w:t>
      </w:r>
    </w:p>
    <w:p>
      <w:pPr>
        <w:spacing w:after="0" w:line="6" w:lineRule="exact"/>
        <w:rPr>
          <w:rFonts w:ascii="Times New Roman" w:cs="Times New Roman" w:eastAsia="Times New Roman" w:hAnsi="Times New Roman"/>
          <w:sz w:val="12"/>
          <w:szCs w:val="12"/>
          <w:color w:val="auto"/>
          <w:strike w:val="1"/>
        </w:rPr>
      </w:pPr>
    </w:p>
    <w:p>
      <w:pPr>
        <w:ind w:left="988" w:hanging="268"/>
        <w:spacing w:after="0"/>
        <w:tabs>
          <w:tab w:leader="none" w:pos="988" w:val="left"/>
        </w:tabs>
        <w:numPr>
          <w:ilvl w:val="3"/>
          <w:numId w:val="388"/>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Clause 13(a) (Insurance and Repairs)</w:t>
      </w:r>
    </w:p>
    <w:p>
      <w:pPr>
        <w:spacing w:after="0" w:line="6" w:lineRule="exact"/>
        <w:rPr>
          <w:sz w:val="20"/>
          <w:szCs w:val="20"/>
          <w:color w:val="auto"/>
        </w:rPr>
      </w:pPr>
    </w:p>
    <w:p>
      <w:pPr>
        <w:ind w:left="728" w:right="20"/>
        <w:spacing w:after="0" w:line="250" w:lineRule="auto"/>
        <w:rPr>
          <w:sz w:val="20"/>
          <w:szCs w:val="20"/>
          <w:color w:val="auto"/>
        </w:rPr>
      </w:pPr>
      <w:r>
        <w:rPr>
          <w:rFonts w:ascii="Times New Roman" w:cs="Times New Roman" w:eastAsia="Times New Roman" w:hAnsi="Times New Roman"/>
          <w:sz w:val="12"/>
          <w:szCs w:val="12"/>
          <w:color w:val="auto"/>
          <w:strike w:val="1"/>
        </w:rPr>
        <w:t>provided that the Owners shall have the option, by written notice to the Charterers, to give the Charterers a specified number of days grace within which to rectify the failure without prejudice to the Owners’ right to withdraw and terminate under this Clause if the Charterers fail to comply with such notice;</w:t>
      </w:r>
    </w:p>
    <w:p>
      <w:pPr>
        <w:spacing w:after="0" w:line="1" w:lineRule="exact"/>
        <w:rPr>
          <w:sz w:val="20"/>
          <w:szCs w:val="20"/>
          <w:color w:val="auto"/>
        </w:rPr>
      </w:pPr>
    </w:p>
    <w:p>
      <w:pPr>
        <w:ind w:left="728" w:right="20" w:hanging="269"/>
        <w:spacing w:after="0" w:line="250" w:lineRule="auto"/>
        <w:tabs>
          <w:tab w:leader="none" w:pos="728" w:val="left"/>
        </w:tabs>
        <w:numPr>
          <w:ilvl w:val="2"/>
          <w:numId w:val="389"/>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fail to rectify any failure to comply with the requirements of sub-clause 10(a)(i) (Maintenance and Repairs) as soon as practically possible after the Owners have requested them in writing so to do and in any event so that the Vessel's insurance cover is not prejudiced.</w:t>
      </w:r>
    </w:p>
    <w:p>
      <w:pPr>
        <w:ind w:left="448" w:hanging="322"/>
        <w:spacing w:after="0"/>
        <w:tabs>
          <w:tab w:leader="none" w:pos="448" w:val="left"/>
        </w:tabs>
        <w:numPr>
          <w:ilvl w:val="1"/>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Owners' Default</w:t>
      </w:r>
    </w:p>
    <w:p>
      <w:pPr>
        <w:spacing w:after="0" w:line="6" w:lineRule="exact"/>
        <w:rPr>
          <w:rFonts w:ascii="Times New Roman" w:cs="Times New Roman" w:eastAsia="Times New Roman" w:hAnsi="Times New Roman"/>
          <w:sz w:val="12"/>
          <w:szCs w:val="12"/>
          <w:color w:val="auto"/>
        </w:rPr>
      </w:pPr>
    </w:p>
    <w:p>
      <w:pPr>
        <w:ind w:left="468" w:right="20"/>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If the Owners shall by any act or omission be in breach of their obligations under this Charter to the extent that the Charterers are deprived of the use of the Vessel and such breach continues for a period of fourteen (14) running days after written notice thereof has been given by the Charterers to the Owners, the Charterers shall be entitled to terminate this Charter with immediate effect by written notice to the Owners.</w:t>
      </w:r>
    </w:p>
    <w:p>
      <w:pPr>
        <w:ind w:left="448" w:hanging="322"/>
        <w:spacing w:after="0"/>
        <w:tabs>
          <w:tab w:leader="none" w:pos="448" w:val="left"/>
        </w:tabs>
        <w:numPr>
          <w:ilvl w:val="1"/>
          <w:numId w:val="3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strike w:val="1"/>
        </w:rPr>
        <w:t>Loss of Vessel</w:t>
      </w:r>
    </w:p>
    <w:p>
      <w:pPr>
        <w:spacing w:after="0" w:line="6" w:lineRule="exact"/>
        <w:rPr>
          <w:rFonts w:ascii="Times New Roman" w:cs="Times New Roman" w:eastAsia="Times New Roman" w:hAnsi="Times New Roman"/>
          <w:sz w:val="12"/>
          <w:szCs w:val="12"/>
          <w:color w:val="auto"/>
        </w:rPr>
      </w:pPr>
    </w:p>
    <w:p>
      <w:pPr>
        <w:jc w:val="both"/>
        <w:ind w:left="468"/>
        <w:spacing w:after="0" w:line="25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This Charter shall be deemed to be terminated if the Vessel becomes a total loss or is declared as a constructive or compromise or arranged total loss. For the purpose of this sub-clause,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w:t>
      </w:r>
    </w:p>
    <w:p>
      <w:pPr>
        <w:jc w:val="both"/>
        <w:ind w:left="448" w:hanging="322"/>
        <w:spacing w:after="0" w:line="250" w:lineRule="auto"/>
        <w:tabs>
          <w:tab w:leader="none" w:pos="448" w:val="left"/>
        </w:tabs>
        <w:numPr>
          <w:ilvl w:val="1"/>
          <w:numId w:val="39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shall be entitled to terminate this Charter with immediate effect by written notice to the other party in the event of an order being made or resolution passed for the winding up, dissolution, liquidation or bankruptcy of the other party (otherwise than for the purpose of reconstruction or amalgamation) or if a receiver is appointed, or if it suspends payment, ceases to carry on business or makes any special arrangement or composition with its creditors.</w:t>
      </w:r>
    </w:p>
    <w:p>
      <w:pPr>
        <w:ind w:left="448" w:hanging="322"/>
        <w:spacing w:after="0"/>
        <w:tabs>
          <w:tab w:leader="none" w:pos="448" w:val="left"/>
        </w:tabs>
        <w:numPr>
          <w:ilvl w:val="1"/>
          <w:numId w:val="390"/>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termination of this Charter shall be without prejudice to all rights accrued due between the parties prior to the date of termination and to any claim that either party might have.</w:t>
      </w:r>
    </w:p>
    <w:p>
      <w:pPr>
        <w:spacing w:after="0" w:line="135"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3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Repossession (See Additional Clauses)</w:t>
      </w:r>
    </w:p>
    <w:p>
      <w:pPr>
        <w:spacing w:after="0" w:line="20" w:lineRule="exact"/>
        <w:rPr>
          <w:rFonts w:ascii="Times New Roman" w:cs="Times New Roman" w:eastAsia="Times New Roman" w:hAnsi="Times New Roman"/>
          <w:sz w:val="12"/>
          <w:szCs w:val="12"/>
          <w:b w:val="1"/>
          <w:bCs w:val="1"/>
          <w:color w:val="auto"/>
        </w:rPr>
      </w:pPr>
    </w:p>
    <w:p>
      <w:pPr>
        <w:jc w:val="both"/>
        <w:ind w:left="168" w:right="20"/>
        <w:spacing w:after="0" w:line="253"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strike w:val="1"/>
        </w:rPr>
        <w:t>In the event of the termination of this Charter in accordance with the applicable provisions of this Charter Clause 28, the Owners shall have the right to repossess the Vessel from the Charterers at her current or next port of call, or at a port or place convenient to them without hindrance or interference by the Charterers, courts or local authorities. Pending physical repossession of the Vessel in accordance with this Clause 29 and the Additional Clauses, the Charterers shall hold the Vessel as gratuitous bailee only to the Owners and the Charterer shall procure that the Master and crew follow the orders and directions of the Owners. The Owners shall arrange for an authorised representative to board the Vessel as soon as reasonably practicable following the termination of the Charter. The Vessel shall be deemed to be repossessed by the Owners from the Charterers upon the boarding of the Vessel by the Owners' representative. All arrangements and expenses relating to the settling of wages, disembarkation and repatriation of the Charterers' Master, officers and crew shall be the sole responsibility of the Charterers.</w:t>
      </w:r>
    </w:p>
    <w:p>
      <w:pPr>
        <w:spacing w:after="0" w:line="121" w:lineRule="exact"/>
        <w:rPr>
          <w:rFonts w:ascii="Times New Roman" w:cs="Times New Roman" w:eastAsia="Times New Roman" w:hAnsi="Times New Roman"/>
          <w:sz w:val="12"/>
          <w:szCs w:val="12"/>
          <w:b w:val="1"/>
          <w:bCs w:val="1"/>
          <w:color w:val="auto"/>
        </w:rPr>
      </w:pPr>
    </w:p>
    <w:p>
      <w:pPr>
        <w:ind w:left="168" w:hanging="168"/>
        <w:spacing w:after="0"/>
        <w:tabs>
          <w:tab w:leader="none" w:pos="168" w:val="left"/>
        </w:tabs>
        <w:numPr>
          <w:ilvl w:val="0"/>
          <w:numId w:val="3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Dispute Resolution (See Additional Clauses)</w:t>
      </w:r>
    </w:p>
    <w:p>
      <w:pPr>
        <w:spacing w:after="0" w:line="21" w:lineRule="exact"/>
        <w:rPr>
          <w:sz w:val="20"/>
          <w:szCs w:val="20"/>
          <w:color w:val="auto"/>
        </w:rPr>
      </w:pPr>
    </w:p>
    <w:p>
      <w:pPr>
        <w:jc w:val="both"/>
        <w:ind w:left="468" w:hanging="259"/>
        <w:spacing w:after="0" w:line="251"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*(a)</w:t>
        <w:tab/>
        <w:t>This Contract shall be governed by and construed in accordance with English law and any dispute arising out of or in connection with this Contract shall be referred to arbitration in London in accordance with the Arbitration Act 1996 or any statutory modification or re-enactment thereof save to the extent necessary to give effect to the provisions of this Clause. The arbitration shall be conducted in accordance with the London Maritime Arbitrators Association (LMAA) Terms current at the time when the arbitration proceedings are commenced. The reference shall be to three arbitrators. A party wishing to refer a dispute to arbitration shall appoint its arbitrator and send notice of such appointment in writing to the other party requiring the other party to appoint its own arbitrator within 14 calendar days of that notice and stating that it will appoint its arbitrator as sole arbitrator unless the other party appoints its own arbitrator and gives notice that it has done so within the 14 days specified. If the other party does not appoint its own arbitrator and give notice that it has done so within the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he had been appointed by agreement. Nothing herein shall prevent the parties agreeing in writing to vary these provisions to provide for the appointment of a sole arbitrator. In cases where neither the claim nor any counterclaim exceeds the sum of US$50,000 (or such other sum as the parties may agree) the arbitration shall be conducted in accordance with the LMAA Small Claims Procedure current at the time when the arbitration proceedings are commenced.</w:t>
      </w:r>
    </w:p>
    <w:p>
      <w:pPr>
        <w:spacing w:after="0" w:line="22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4" w:name="page305"/>
    <w:bookmarkEnd w:id="304"/>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195" w:lineRule="exact"/>
        <w:rPr>
          <w:sz w:val="20"/>
          <w:szCs w:val="20"/>
          <w:color w:val="auto"/>
        </w:rPr>
      </w:pPr>
    </w:p>
    <w:p>
      <w:pPr>
        <w:jc w:val="both"/>
        <w:ind w:left="468" w:hanging="260"/>
        <w:spacing w:after="0" w:line="256" w:lineRule="auto"/>
        <w:rPr>
          <w:sz w:val="20"/>
          <w:szCs w:val="20"/>
          <w:color w:val="auto"/>
        </w:rPr>
      </w:pPr>
      <w:r>
        <w:rPr>
          <w:rFonts w:ascii="Times New Roman" w:cs="Times New Roman" w:eastAsia="Times New Roman" w:hAnsi="Times New Roman"/>
          <w:sz w:val="12"/>
          <w:szCs w:val="12"/>
          <w:color w:val="auto"/>
          <w:strike w:val="1"/>
        </w:rPr>
        <w:t>*(b) This Contract shall be governed by and construed in accordance with Title 9 of the United States Code and the Maritime Law of the United States and any dispute arising out of or in connection with this Contract shall be referred to three persons at New York, one to be appointed by each of the parties hereto, and the third by the two so chosen; their decision or that of any two of them shall be final, and for the purposes of enforcing any award, judgement may be entered on an award by any court of competent jurisdiction. The proceedings shall be conducted in accordance with the rules of the Society of Maritime Arbitrators, Inc.</w:t>
      </w:r>
    </w:p>
    <w:p>
      <w:pPr>
        <w:spacing w:after="0" w:line="1" w:lineRule="exact"/>
        <w:rPr>
          <w:sz w:val="20"/>
          <w:szCs w:val="20"/>
          <w:color w:val="auto"/>
        </w:rPr>
      </w:pPr>
    </w:p>
    <w:p>
      <w:pPr>
        <w:ind w:left="468" w:right="20"/>
        <w:spacing w:after="0" w:line="250" w:lineRule="auto"/>
        <w:rPr>
          <w:sz w:val="20"/>
          <w:szCs w:val="20"/>
          <w:color w:val="auto"/>
        </w:rPr>
      </w:pPr>
      <w:r>
        <w:rPr>
          <w:rFonts w:ascii="Times New Roman" w:cs="Times New Roman" w:eastAsia="Times New Roman" w:hAnsi="Times New Roman"/>
          <w:sz w:val="12"/>
          <w:szCs w:val="12"/>
          <w:color w:val="auto"/>
          <w:strike w:val="1"/>
        </w:rPr>
        <w:t>In cases where neither the claim nor any counterclaim exceeds the sum of US$50,000 (or such other sum as the parties may agree) the arbitration shall be conducted in accordance with the Shortened Arbitration Procedure of the Society of Maritime Arbitrators, Inc. current at the time when the arbitration proceedings are commenced.</w:t>
      </w:r>
    </w:p>
    <w:p>
      <w:pPr>
        <w:spacing w:after="0" w:line="1" w:lineRule="exact"/>
        <w:rPr>
          <w:sz w:val="20"/>
          <w:szCs w:val="20"/>
          <w:color w:val="auto"/>
        </w:rPr>
      </w:pPr>
    </w:p>
    <w:p>
      <w:pPr>
        <w:ind w:left="468" w:hanging="259"/>
        <w:spacing w:after="0" w:line="250" w:lineRule="auto"/>
        <w:tabs>
          <w:tab w:leader="none" w:pos="448" w:val="left"/>
        </w:tabs>
        <w:rPr>
          <w:sz w:val="20"/>
          <w:szCs w:val="20"/>
          <w:color w:val="auto"/>
        </w:rPr>
      </w:pPr>
      <w:r>
        <w:rPr>
          <w:rFonts w:ascii="Times New Roman" w:cs="Times New Roman" w:eastAsia="Times New Roman" w:hAnsi="Times New Roman"/>
          <w:sz w:val="12"/>
          <w:szCs w:val="12"/>
          <w:color w:val="auto"/>
          <w:strike w:val="1"/>
        </w:rPr>
        <w:t>*(c)</w:t>
        <w:tab/>
        <w:t>This Contract shall be governed by and construed in accordance with the laws of the place mutually agreed by the parties and any dispute arising out of or in connection with this Contract shall be referred to arbitration at a mutually agreed place, subject to the procedures applicable there.</w:t>
      </w:r>
    </w:p>
    <w:p>
      <w:pPr>
        <w:spacing w:after="0" w:line="1"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strike w:val="1"/>
        </w:rPr>
        <w:t>*(d) Notwithstanding (a), (b) or (c) above, the parties may agree at any time to refer to mediation any difference and/or dispute arising out of or in connection with this Contract.</w:t>
      </w:r>
    </w:p>
    <w:p>
      <w:pPr>
        <w:spacing w:after="0" w:line="6" w:lineRule="exact"/>
        <w:rPr>
          <w:sz w:val="20"/>
          <w:szCs w:val="20"/>
          <w:color w:val="auto"/>
        </w:rPr>
      </w:pPr>
    </w:p>
    <w:p>
      <w:pPr>
        <w:ind w:left="468"/>
        <w:spacing w:after="0"/>
        <w:rPr>
          <w:sz w:val="20"/>
          <w:szCs w:val="20"/>
          <w:color w:val="auto"/>
        </w:rPr>
      </w:pPr>
      <w:r>
        <w:rPr>
          <w:rFonts w:ascii="Times New Roman" w:cs="Times New Roman" w:eastAsia="Times New Roman" w:hAnsi="Times New Roman"/>
          <w:sz w:val="12"/>
          <w:szCs w:val="12"/>
          <w:color w:val="auto"/>
          <w:strike w:val="1"/>
        </w:rPr>
        <w:t>In the case of a dispute in respect of which arbitration has been commenced under (a), (b) or (c) above, the following shall apply:-</w:t>
      </w:r>
    </w:p>
    <w:p>
      <w:pPr>
        <w:spacing w:after="0" w:line="6" w:lineRule="exact"/>
        <w:rPr>
          <w:sz w:val="20"/>
          <w:szCs w:val="20"/>
          <w:color w:val="auto"/>
        </w:rPr>
      </w:pPr>
    </w:p>
    <w:p>
      <w:pPr>
        <w:ind w:left="728" w:right="20" w:hanging="269"/>
        <w:spacing w:after="0" w:line="250" w:lineRule="auto"/>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at any time and from time to time elect to refer the dispute or part of the dispute to mediation by service on the other party of a written notice (the "Mediation Notice") calling on the other party to agree to mediation.</w:t>
      </w:r>
    </w:p>
    <w:p>
      <w:pPr>
        <w:jc w:val="both"/>
        <w:ind w:left="728" w:right="20" w:hanging="269"/>
        <w:spacing w:after="0" w:line="250" w:lineRule="auto"/>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other party shall thereupon within 14 calendar days of receipt of the Mediation Notice confirm that they agree to mediation, in which case the parties shall thereafter agree a mediator within a further 14 calendar days, failing which on the application of either party a mediator will be appointed promptly by the Arbitration Tribunal ("the Tribunal") or such person as the Tribunal may designate for that purpose. The mediation shall be conducted in such place and in accordance with such procedure and on such terms as the parties may agree or, in the event of disagreement, as may be set by the mediator.</w:t>
      </w:r>
    </w:p>
    <w:p>
      <w:pPr>
        <w:ind w:left="728" w:hanging="269"/>
        <w:spacing w:after="0"/>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other party does not agree to mediate, that fact may be brought to the attention of the Tribunal and may be taken into account by the Tribunal when allocating the costs of the arbitration as between the parties.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shall not affect the right of either party to seek such relief or take such steps as it considers necessary to protect its interest.</w:t>
      </w:r>
    </w:p>
    <w:p>
      <w:pPr>
        <w:spacing w:after="0" w:line="6" w:lineRule="exact"/>
        <w:rPr>
          <w:rFonts w:ascii="Times New Roman" w:cs="Times New Roman" w:eastAsia="Times New Roman" w:hAnsi="Times New Roman"/>
          <w:sz w:val="12"/>
          <w:szCs w:val="12"/>
          <w:color w:val="auto"/>
          <w:strike w:val="1"/>
        </w:rPr>
      </w:pPr>
    </w:p>
    <w:p>
      <w:pPr>
        <w:ind w:left="728" w:right="20" w:hanging="269"/>
        <w:spacing w:after="0" w:line="250" w:lineRule="auto"/>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Either party may advise the Tribunal that they have agreed to mediation. The arbitration procedure shall continue during the conduct of the mediation but the Tribunal may take the mediation timetable into account when setting the timetable for steps in the arbitration.</w:t>
      </w:r>
    </w:p>
    <w:p>
      <w:pPr>
        <w:ind w:left="728" w:hanging="269"/>
        <w:spacing w:after="0"/>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Unless otherwise agreed or specified in the mediation terms, each party shall bear its own costs incurred in the mediation and the parties shall share equally the mediator’s costs and expenses.</w:t>
      </w:r>
    </w:p>
    <w:p>
      <w:pPr>
        <w:spacing w:after="0" w:line="6" w:lineRule="exact"/>
        <w:rPr>
          <w:rFonts w:ascii="Times New Roman" w:cs="Times New Roman" w:eastAsia="Times New Roman" w:hAnsi="Times New Roman"/>
          <w:sz w:val="12"/>
          <w:szCs w:val="12"/>
          <w:color w:val="auto"/>
          <w:strike w:val="1"/>
        </w:rPr>
      </w:pPr>
    </w:p>
    <w:p>
      <w:pPr>
        <w:ind w:left="728" w:hanging="269"/>
        <w:spacing w:after="0"/>
        <w:tabs>
          <w:tab w:leader="none" w:pos="728" w:val="left"/>
        </w:tabs>
        <w:numPr>
          <w:ilvl w:val="0"/>
          <w:numId w:val="392"/>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mediation process shall be without prejudice and confidential and no information or documents disclosed during it shall be revealed to the Tribunal except to the extent that they are disclosable under the law and</w:t>
      </w:r>
    </w:p>
    <w:p>
      <w:pPr>
        <w:spacing w:after="0" w:line="4" w:lineRule="exact"/>
        <w:rPr>
          <w:sz w:val="20"/>
          <w:szCs w:val="20"/>
          <w:color w:val="auto"/>
        </w:rPr>
      </w:pPr>
    </w:p>
    <w:p>
      <w:pPr>
        <w:ind w:left="728"/>
        <w:spacing w:after="0"/>
        <w:rPr>
          <w:sz w:val="20"/>
          <w:szCs w:val="20"/>
          <w:color w:val="auto"/>
        </w:rPr>
      </w:pPr>
      <w:r>
        <w:rPr>
          <w:rFonts w:ascii="Times New Roman" w:cs="Times New Roman" w:eastAsia="Times New Roman" w:hAnsi="Times New Roman"/>
          <w:sz w:val="12"/>
          <w:szCs w:val="12"/>
          <w:color w:val="auto"/>
          <w:strike w:val="1"/>
        </w:rPr>
        <w:t>procedure governing the arbitration.</w:t>
      </w:r>
    </w:p>
    <w:p>
      <w:pPr>
        <w:ind w:left="168"/>
        <w:spacing w:after="0" w:line="219" w:lineRule="auto"/>
        <w:rPr>
          <w:sz w:val="20"/>
          <w:szCs w:val="20"/>
          <w:color w:val="auto"/>
        </w:rPr>
      </w:pPr>
      <w:r>
        <w:rPr>
          <w:rFonts w:ascii="Times New Roman" w:cs="Times New Roman" w:eastAsia="Times New Roman" w:hAnsi="Times New Roman"/>
          <w:sz w:val="12"/>
          <w:szCs w:val="12"/>
          <w:b w:val="1"/>
          <w:bCs w:val="1"/>
          <w:i w:val="1"/>
          <w:iCs w:val="1"/>
          <w:color w:val="auto"/>
          <w:strike w:val="1"/>
        </w:rPr>
        <w:t>(Note: The parties should be aware that the mediation process may not necessarily interrupt time limits.)</w:t>
      </w:r>
    </w:p>
    <w:p>
      <w:pPr>
        <w:ind w:left="208" w:right="4540" w:hanging="46"/>
        <w:spacing w:after="0" w:line="258" w:lineRule="auto"/>
        <w:tabs>
          <w:tab w:leader="none" w:pos="433" w:val="left"/>
        </w:tabs>
        <w:numPr>
          <w:ilvl w:val="1"/>
          <w:numId w:val="3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 xml:space="preserve">If Box 35 in Part I is not appropriately filled in, sub-clause 30(a) of this Clause shall apply. Sub-clause 30(d) shall apply in all cases. </w:t>
      </w:r>
      <w:r>
        <w:rPr>
          <w:rFonts w:ascii="Times New Roman" w:cs="Times New Roman" w:eastAsia="Times New Roman" w:hAnsi="Times New Roman"/>
          <w:sz w:val="12"/>
          <w:szCs w:val="12"/>
          <w:i w:val="1"/>
          <w:iCs w:val="1"/>
          <w:color w:val="auto"/>
          <w:strike w:val="1"/>
        </w:rPr>
        <w:t xml:space="preserve">* Sub-clauses 30(a), 30(b) and 30(c) are alternatives; indicate alternative agreed in Box </w:t>
      </w:r>
      <w:r>
        <w:rPr>
          <w:rFonts w:ascii="Times New Roman" w:cs="Times New Roman" w:eastAsia="Times New Roman" w:hAnsi="Times New Roman"/>
          <w:sz w:val="12"/>
          <w:szCs w:val="12"/>
          <w:color w:val="auto"/>
          <w:strike w:val="1"/>
        </w:rPr>
        <w:t>35.</w:t>
      </w:r>
    </w:p>
    <w:p>
      <w:pPr>
        <w:spacing w:after="0" w:line="119" w:lineRule="exact"/>
        <w:rPr>
          <w:rFonts w:ascii="Times New Roman" w:cs="Times New Roman" w:eastAsia="Times New Roman" w:hAnsi="Times New Roman"/>
          <w:sz w:val="12"/>
          <w:szCs w:val="12"/>
          <w:color w:val="auto"/>
        </w:rPr>
      </w:pPr>
    </w:p>
    <w:p>
      <w:pPr>
        <w:ind w:left="168" w:hanging="168"/>
        <w:spacing w:after="0"/>
        <w:tabs>
          <w:tab w:leader="none" w:pos="168" w:val="left"/>
        </w:tabs>
        <w:numPr>
          <w:ilvl w:val="0"/>
          <w:numId w:val="3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 (See Additional Clauses)</w:t>
      </w:r>
    </w:p>
    <w:p>
      <w:pPr>
        <w:spacing w:after="0" w:line="20" w:lineRule="exact"/>
        <w:rPr>
          <w:rFonts w:ascii="Times New Roman" w:cs="Times New Roman" w:eastAsia="Times New Roman" w:hAnsi="Times New Roman"/>
          <w:sz w:val="12"/>
          <w:szCs w:val="12"/>
          <w:b w:val="1"/>
          <w:bCs w:val="1"/>
          <w:color w:val="auto"/>
        </w:rPr>
      </w:pPr>
    </w:p>
    <w:p>
      <w:pPr>
        <w:ind w:left="468" w:hanging="270"/>
        <w:spacing w:after="0"/>
        <w:tabs>
          <w:tab w:leader="none" w:pos="468" w:val="left"/>
        </w:tabs>
        <w:numPr>
          <w:ilvl w:val="2"/>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Any notice to be given by either party to the other party shall be in writing and may be sent by fax, telex, registered or recorded mail or by personal service.</w:t>
      </w:r>
    </w:p>
    <w:p>
      <w:pPr>
        <w:spacing w:after="0" w:line="6" w:lineRule="exact"/>
        <w:rPr>
          <w:rFonts w:ascii="Times New Roman" w:cs="Times New Roman" w:eastAsia="Times New Roman" w:hAnsi="Times New Roman"/>
          <w:sz w:val="12"/>
          <w:szCs w:val="12"/>
          <w:color w:val="auto"/>
        </w:rPr>
      </w:pPr>
    </w:p>
    <w:p>
      <w:pPr>
        <w:ind w:left="468" w:hanging="270"/>
        <w:spacing w:after="0"/>
        <w:tabs>
          <w:tab w:leader="none" w:pos="468" w:val="left"/>
        </w:tabs>
        <w:numPr>
          <w:ilvl w:val="2"/>
          <w:numId w:val="3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strike w:val="1"/>
        </w:rPr>
        <w:t>The address of the Parties for service of such communication shall be as stated in Boxes 3 and 4 respectively</w:t>
      </w:r>
    </w:p>
    <w:p>
      <w:pPr>
        <w:spacing w:after="0" w:line="22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5" w:name="page306"/>
    <w:bookmarkEnd w:id="30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PART III</w:t>
      </w:r>
    </w:p>
    <w:p>
      <w:pPr>
        <w:spacing w:after="0" w:line="6" w:lineRule="exact"/>
        <w:rPr>
          <w:sz w:val="20"/>
          <w:szCs w:val="20"/>
          <w:color w:val="auto"/>
        </w:rPr>
      </w:pPr>
    </w:p>
    <w:p>
      <w:pPr>
        <w:ind w:left="3928"/>
        <w:spacing w:after="0"/>
        <w:rPr>
          <w:sz w:val="20"/>
          <w:szCs w:val="20"/>
          <w:color w:val="auto"/>
        </w:rPr>
      </w:pPr>
      <w:r>
        <w:rPr>
          <w:rFonts w:ascii="Arial" w:cs="Arial" w:eastAsia="Arial" w:hAnsi="Arial"/>
          <w:sz w:val="12"/>
          <w:szCs w:val="12"/>
          <w:color w:val="auto"/>
        </w:rPr>
        <w:t>PROVISIONS TO APPLY FOR NEWBUILDING VESSELS ONLY</w:t>
      </w:r>
    </w:p>
    <w:p>
      <w:pPr>
        <w:ind w:left="39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215265</wp:posOffset>
            </wp:positionV>
            <wp:extent cx="708660" cy="3257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62">
                      <a:extLst>
                        <a:ext uri="{28A0092B-C50C-407E-A947-70E740481C1C}"/>
                      </a:extLst>
                    </a:blip>
                    <a:srcRect/>
                    <a:stretch>
                      <a:fillRect/>
                    </a:stretch>
                  </pic:blipFill>
                  <pic:spPr bwMode="auto">
                    <a:xfrm>
                      <a:off x="0" y="0"/>
                      <a:ext cx="7086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 w:hanging="168"/>
        <w:spacing w:after="0"/>
        <w:tabs>
          <w:tab w:leader="none" w:pos="168" w:val="left"/>
        </w:tabs>
        <w:numPr>
          <w:ilvl w:val="0"/>
          <w:numId w:val="395"/>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Specifications and Building Contract</w:t>
      </w:r>
    </w:p>
    <w:p>
      <w:pPr>
        <w:spacing w:after="0" w:line="20" w:lineRule="exact"/>
        <w:rPr>
          <w:rFonts w:ascii="Times New Roman" w:cs="Times New Roman" w:eastAsia="Times New Roman" w:hAnsi="Times New Roman"/>
          <w:sz w:val="12"/>
          <w:szCs w:val="12"/>
          <w:b w:val="1"/>
          <w:bCs w:val="1"/>
          <w:color w:val="auto"/>
          <w:strike w:val="1"/>
        </w:rPr>
      </w:pPr>
    </w:p>
    <w:p>
      <w:pPr>
        <w:ind w:left="468" w:right="20" w:hanging="270"/>
        <w:spacing w:after="0" w:line="250" w:lineRule="auto"/>
        <w:tabs>
          <w:tab w:leader="none" w:pos="468" w:val="left"/>
        </w:tabs>
        <w:numPr>
          <w:ilvl w:val="1"/>
          <w:numId w:val="39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constructed in accordance with the Building Contract (hereafter called “the Building Contract”) as annexed to this Charter, made between the Builders and the Owners and in accordance with the specifications and plans annexed thereto, such Building Contract, specifications and plans having been counter-signed as approved by the Charterers.</w:t>
      </w:r>
    </w:p>
    <w:p>
      <w:pPr>
        <w:ind w:left="468" w:hanging="270"/>
        <w:spacing w:after="0"/>
        <w:tabs>
          <w:tab w:leader="none" w:pos="468" w:val="left"/>
        </w:tabs>
        <w:numPr>
          <w:ilvl w:val="1"/>
          <w:numId w:val="39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No change shall be made in the Building Contract or in the specifications or plans of the Vessel as approved by the Charterers as aforesaid, without the Charterers’ consent.</w:t>
      </w:r>
    </w:p>
    <w:p>
      <w:pPr>
        <w:spacing w:after="0" w:line="6" w:lineRule="exact"/>
        <w:rPr>
          <w:rFonts w:ascii="Times New Roman" w:cs="Times New Roman" w:eastAsia="Times New Roman" w:hAnsi="Times New Roman"/>
          <w:sz w:val="12"/>
          <w:szCs w:val="12"/>
          <w:color w:val="auto"/>
          <w:strike w:val="1"/>
        </w:rPr>
      </w:pPr>
    </w:p>
    <w:p>
      <w:pPr>
        <w:ind w:left="468" w:right="20" w:hanging="270"/>
        <w:spacing w:after="0" w:line="250" w:lineRule="auto"/>
        <w:tabs>
          <w:tab w:leader="none" w:pos="468" w:val="left"/>
        </w:tabs>
        <w:numPr>
          <w:ilvl w:val="1"/>
          <w:numId w:val="39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Charterers shall have the right to send their representative to the Builders’ Yard to inspect the Vessel during the course of her construction to satisfy themselves that construction is in accordance with such approved specifications and plans as referred to under sub-clause (a) of this Clause.</w:t>
      </w:r>
    </w:p>
    <w:p>
      <w:pPr>
        <w:jc w:val="both"/>
        <w:ind w:left="468" w:right="20" w:hanging="270"/>
        <w:spacing w:after="0" w:line="250" w:lineRule="auto"/>
        <w:tabs>
          <w:tab w:leader="none" w:pos="468" w:val="left"/>
        </w:tabs>
        <w:numPr>
          <w:ilvl w:val="1"/>
          <w:numId w:val="395"/>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The Vessel shall be built in accordance with the Building Contract and shall be of the description set out therein. Subject to the provisions of sub-clause 2(c)(ii) hereunder, the Charterers shall be bound to accept the Vessel from the Owners, completed and constructed in accordance with the Building Contract, on the date of delivery by the Builders. The Charterers undertake that having accepted the Vessel they will not thereafter raise any claims against the Owners in respect of the Vessel’s performance or specification or defects, if any. Nevertheless, in respect of any repairs, replacements or defects which appear within the first 12 months from delivery by the Builders, the Owners shall endeavour to compel the Builders to repair, replace or remedy any defects or to recover from the Builders any expenditure incurred in carrying out such repairs, replacements or remedies. However, the Owners’ liability to the Charterers shall be limited to the extent the Owners have a valid claim against the Builders under the guarantee clause of the Building Contract (a copy whereof has been supplied to the Charterers). The Charterer shall be bound to accept such sums as the Owners are reasonably able to recover under this Clause and shall make no further claim on the Owners for the difference between the amount(s) so recovered and the actual expenditure on repairs, replacement or remedying defects or for any loss of time incurred.</w:t>
      </w:r>
    </w:p>
    <w:p>
      <w:pPr>
        <w:spacing w:after="0" w:line="1" w:lineRule="exact"/>
        <w:rPr>
          <w:rFonts w:ascii="Times New Roman" w:cs="Times New Roman" w:eastAsia="Times New Roman" w:hAnsi="Times New Roman"/>
          <w:sz w:val="12"/>
          <w:szCs w:val="12"/>
          <w:color w:val="auto"/>
          <w:strike w:val="1"/>
        </w:rPr>
      </w:pPr>
    </w:p>
    <w:p>
      <w:pPr>
        <w:ind w:left="468"/>
        <w:spacing w:after="0" w:line="260" w:lineRule="auto"/>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physical defects or deficiencies shall accrue to the amount of the party stated in Box 41(a) or if not filled in shall be shared equally between the parties. The costs of pursuing a claim or claims against the Builders under this Clause (including any liability to the Builders) shall be borne by the party stated in Box 41(b)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395"/>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Time and Place of Delivery</w:t>
      </w:r>
    </w:p>
    <w:p>
      <w:pPr>
        <w:spacing w:after="0" w:line="2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2"/>
          <w:szCs w:val="12"/>
          <w:color w:val="auto"/>
          <w:strike w:val="1"/>
        </w:rPr>
        <w:t>(a)</w:t>
      </w:r>
    </w:p>
    <w:p>
      <w:pPr>
        <w:spacing w:after="0" w:line="139" w:lineRule="exact"/>
        <w:rPr>
          <w:sz w:val="20"/>
          <w:szCs w:val="20"/>
          <w:color w:val="auto"/>
        </w:rPr>
      </w:pPr>
    </w:p>
    <w:p>
      <w:pPr>
        <w:jc w:val="both"/>
        <w:ind w:left="328" w:hanging="265"/>
        <w:spacing w:after="0" w:line="253" w:lineRule="auto"/>
        <w:tabs>
          <w:tab w:leader="none" w:pos="328" w:val="left"/>
        </w:tabs>
        <w:numPr>
          <w:ilvl w:val="1"/>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Subject to the Vessel having completed her acceptance trials including trials of cargo equipment in accordance with the Building Contract and specifications to the satisfaction of the Charterers, the Owners shall give and the Charterers shall take delivery of the Vessel afloat when ready for delivery and properly documented at the Builders’ Yard or some other safe and readily accessible dock, wharf or place as may be agreed between the parties hereto and the Builders. Under the Building Contract the Builders have estimated that the Vessel will be ready for delivery to the Owners as therein provided by the delivery date for the purpose of this Charter shall be the date when the Vessel is in fact ready for delivery by the Builders after completion of trials whether that be before or after as indicated in the Building Contract. The Charterers shall not be entitled to refuse acceptance of delivery of the Vessel and upon and after such acceptance subject to Clause 1(d), the Charterers shall not be entitled to make any claim against the Owners in respect of any conditions, representations or warranties, whether express or implied as to the seaworthiness of the Vessel or in respect of delay in delivery.</w:t>
      </w:r>
    </w:p>
    <w:p>
      <w:pPr>
        <w:spacing w:after="0" w:line="2" w:lineRule="exact"/>
        <w:rPr>
          <w:rFonts w:ascii="Times New Roman" w:cs="Times New Roman" w:eastAsia="Times New Roman" w:hAnsi="Times New Roman"/>
          <w:sz w:val="12"/>
          <w:szCs w:val="12"/>
          <w:color w:val="auto"/>
          <w:strike w:val="1"/>
        </w:rPr>
      </w:pPr>
    </w:p>
    <w:p>
      <w:pPr>
        <w:ind w:left="328" w:right="20" w:hanging="265"/>
        <w:spacing w:after="0" w:line="250" w:lineRule="auto"/>
        <w:tabs>
          <w:tab w:leader="none" w:pos="328" w:val="left"/>
        </w:tabs>
        <w:numPr>
          <w:ilvl w:val="1"/>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other than a default by the Owners under the Building Contract, the Builders become entitled under that Contract not to deliver the Vessel to the Owners, the Owner shall upon giving to the Charterers written notice of Builders becoming so entitled, be excused from giving delivery of the Vessel to the Charterers and upon receipt of such notice by the Charterers this Charter shall cease to have effect.</w:t>
      </w:r>
    </w:p>
    <w:p>
      <w:pPr>
        <w:ind w:left="328" w:hanging="265"/>
        <w:spacing w:after="0"/>
        <w:tabs>
          <w:tab w:leader="none" w:pos="328" w:val="left"/>
        </w:tabs>
        <w:numPr>
          <w:ilvl w:val="1"/>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for any reason the Owners become entitled under the Building Contract to reject the Vessel the Owners shall, before exercising such right of rejection, consult the Charterers and thereupon</w:t>
      </w:r>
    </w:p>
    <w:p>
      <w:pPr>
        <w:spacing w:after="0" w:line="6" w:lineRule="exact"/>
        <w:rPr>
          <w:rFonts w:ascii="Times New Roman" w:cs="Times New Roman" w:eastAsia="Times New Roman" w:hAnsi="Times New Roman"/>
          <w:sz w:val="12"/>
          <w:szCs w:val="12"/>
          <w:color w:val="auto"/>
          <w:strike w:val="1"/>
        </w:rPr>
      </w:pPr>
    </w:p>
    <w:p>
      <w:pPr>
        <w:ind w:left="588" w:right="20" w:hanging="264"/>
        <w:spacing w:after="0" w:line="250" w:lineRule="auto"/>
        <w:tabs>
          <w:tab w:leader="none" w:pos="588" w:val="left"/>
        </w:tabs>
        <w:numPr>
          <w:ilvl w:val="2"/>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do not wish to take delivery of the Vessel they shall inform the Owners within seven (7) running days by notice in writing and upon receipt by the Owners of such notice this Charter shall cease to have effect; or</w:t>
      </w:r>
    </w:p>
    <w:p>
      <w:pPr>
        <w:ind w:left="588" w:right="20" w:hanging="264"/>
        <w:spacing w:after="0" w:line="250" w:lineRule="auto"/>
        <w:tabs>
          <w:tab w:leader="none" w:pos="588" w:val="left"/>
        </w:tabs>
        <w:numPr>
          <w:ilvl w:val="2"/>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the Charterers wish to take delivery of the Vessel they may by notice in writing within seven (7) running days require the Owners to negotiate with the Builders as to the terms on which delivery should be taken and/or refrain from exercising their right to rejection and upon receipt of such notice the Owners shall commence such negotiations and/or take delivery of the Vessel from the Builders and deliver her to the Charterers.</w:t>
      </w:r>
    </w:p>
    <w:p>
      <w:pPr>
        <w:ind w:left="588" w:hanging="264"/>
        <w:spacing w:after="0"/>
        <w:tabs>
          <w:tab w:leader="none" w:pos="588" w:val="left"/>
        </w:tabs>
        <w:numPr>
          <w:ilvl w:val="2"/>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In no circumstances shall the Charterers be entitled to reject the Vessel unless the Owners are able to reject the Vessel from the Builders;</w:t>
      </w:r>
    </w:p>
    <w:p>
      <w:pPr>
        <w:spacing w:after="0" w:line="6" w:lineRule="exact"/>
        <w:rPr>
          <w:rFonts w:ascii="Times New Roman" w:cs="Times New Roman" w:eastAsia="Times New Roman" w:hAnsi="Times New Roman"/>
          <w:sz w:val="12"/>
          <w:szCs w:val="12"/>
          <w:color w:val="auto"/>
          <w:strike w:val="1"/>
        </w:rPr>
      </w:pPr>
    </w:p>
    <w:p>
      <w:pPr>
        <w:ind w:left="588" w:hanging="264"/>
        <w:spacing w:after="0"/>
        <w:tabs>
          <w:tab w:leader="none" w:pos="588" w:val="left"/>
        </w:tabs>
        <w:numPr>
          <w:ilvl w:val="2"/>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if this Charter terminates under sub-clause (b) or (c) of this Clause, the Owners shall thereafter not be liable to the Charterers for any claim under or arising out of this Charter or its termination.</w:t>
      </w:r>
    </w:p>
    <w:p>
      <w:pPr>
        <w:spacing w:after="0" w:line="6" w:lineRule="exact"/>
        <w:rPr>
          <w:rFonts w:ascii="Times New Roman" w:cs="Times New Roman" w:eastAsia="Times New Roman" w:hAnsi="Times New Roman"/>
          <w:sz w:val="12"/>
          <w:szCs w:val="12"/>
          <w:color w:val="auto"/>
          <w:strike w:val="1"/>
        </w:rPr>
      </w:pPr>
    </w:p>
    <w:p>
      <w:pPr>
        <w:ind w:left="328" w:right="20" w:hanging="265"/>
        <w:spacing w:after="0" w:line="260" w:lineRule="auto"/>
        <w:tabs>
          <w:tab w:leader="none" w:pos="328" w:val="left"/>
        </w:tabs>
        <w:numPr>
          <w:ilvl w:val="1"/>
          <w:numId w:val="396"/>
        </w:numPr>
        <w:rPr>
          <w:rFonts w:ascii="Times New Roman" w:cs="Times New Roman" w:eastAsia="Times New Roman" w:hAnsi="Times New Roman"/>
          <w:sz w:val="12"/>
          <w:szCs w:val="12"/>
          <w:color w:val="auto"/>
          <w:strike w:val="1"/>
        </w:rPr>
      </w:pPr>
      <w:r>
        <w:rPr>
          <w:rFonts w:ascii="Times New Roman" w:cs="Times New Roman" w:eastAsia="Times New Roman" w:hAnsi="Times New Roman"/>
          <w:sz w:val="12"/>
          <w:szCs w:val="12"/>
          <w:color w:val="auto"/>
          <w:strike w:val="1"/>
        </w:rPr>
        <w:t>Any liquidated damages for delay in delivery under the Building Contract and any costs incurred in pursuing a claim therefor shall accrue to the account of the party stated in Box 41(c) or if not filled in shall be shared equally between the parties.</w:t>
      </w:r>
    </w:p>
    <w:p>
      <w:pPr>
        <w:spacing w:after="0" w:line="118" w:lineRule="exact"/>
        <w:rPr>
          <w:rFonts w:ascii="Times New Roman" w:cs="Times New Roman" w:eastAsia="Times New Roman" w:hAnsi="Times New Roman"/>
          <w:sz w:val="12"/>
          <w:szCs w:val="12"/>
          <w:color w:val="auto"/>
          <w:strike w:val="1"/>
        </w:rPr>
      </w:pPr>
    </w:p>
    <w:p>
      <w:pPr>
        <w:ind w:left="168" w:hanging="168"/>
        <w:spacing w:after="0"/>
        <w:tabs>
          <w:tab w:leader="none" w:pos="168" w:val="left"/>
        </w:tabs>
        <w:numPr>
          <w:ilvl w:val="0"/>
          <w:numId w:val="397"/>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Guarantee Works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If not otherwise agreed, the Owners authorise the Charterers to arrange for the guarantee works to be performed in accordance with the building contract terms, and hire to continue during the period of guarantee works. The Charterers have to advise the Owners about the performance to the extent the Owners may request.</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6" w:name="page307"/>
    <w:bookmarkEnd w:id="306"/>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PART III</w:t>
      </w:r>
    </w:p>
    <w:p>
      <w:pPr>
        <w:spacing w:after="0" w:line="6" w:lineRule="exact"/>
        <w:rPr>
          <w:sz w:val="20"/>
          <w:szCs w:val="20"/>
          <w:color w:val="auto"/>
        </w:rPr>
      </w:pPr>
    </w:p>
    <w:p>
      <w:pPr>
        <w:ind w:left="3928"/>
        <w:spacing w:after="0"/>
        <w:rPr>
          <w:sz w:val="20"/>
          <w:szCs w:val="20"/>
          <w:color w:val="auto"/>
        </w:rPr>
      </w:pPr>
      <w:r>
        <w:rPr>
          <w:rFonts w:ascii="Arial" w:cs="Arial" w:eastAsia="Arial" w:hAnsi="Arial"/>
          <w:sz w:val="12"/>
          <w:szCs w:val="12"/>
          <w:color w:val="auto"/>
        </w:rPr>
        <w:t>PROVISIONS TO APPLY FOR NEWBUILDING VESSELS ONLY</w:t>
      </w:r>
    </w:p>
    <w:p>
      <w:pPr>
        <w:ind w:left="39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37)</w:t>
      </w:r>
    </w:p>
    <w:p>
      <w:pPr>
        <w:spacing w:after="0" w:line="307" w:lineRule="exact"/>
        <w:rPr>
          <w:sz w:val="20"/>
          <w:szCs w:val="20"/>
          <w:color w:val="auto"/>
        </w:rPr>
      </w:pPr>
    </w:p>
    <w:p>
      <w:pPr>
        <w:ind w:left="168" w:hanging="168"/>
        <w:spacing w:after="0"/>
        <w:tabs>
          <w:tab w:leader="none" w:pos="168" w:val="left"/>
        </w:tabs>
        <w:numPr>
          <w:ilvl w:val="0"/>
          <w:numId w:val="398"/>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Name of Vessel</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name of the Vessel shall be mutually agreed between the Owners and the Charterers and the Vessel shall be painted in the colours, display the funnel insignia and fly the house flag as required by the Charterers.</w:t>
      </w:r>
    </w:p>
    <w:p>
      <w:pPr>
        <w:spacing w:after="0" w:line="135"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398"/>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Survey on Redelivery</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Owners and the Charterers shall appoint surveyors for the purpose of determining and agreeing in writing the condition of the Vessel at the time of re-delivery.</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Without prejudice to Clause 15 (Part II), the Charterers shall bear all survey expenses and all other costs, if any, including the cost of docking and undocking, if required, as well as all repair costs incurred. The Charterers shall also bear all loss of time spent in connection with any docking and undocking as well as repairs, which shall be paid at the date of hire per day or pro rata.</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7" w:name="page308"/>
    <w:bookmarkEnd w:id="30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ind w:left="5000"/>
        <w:spacing w:after="0"/>
        <w:rPr>
          <w:sz w:val="20"/>
          <w:szCs w:val="20"/>
          <w:color w:val="auto"/>
        </w:rPr>
      </w:pPr>
      <w:r>
        <w:rPr>
          <w:rFonts w:ascii="Arial" w:cs="Arial" w:eastAsia="Arial" w:hAnsi="Arial"/>
          <w:sz w:val="12"/>
          <w:szCs w:val="12"/>
          <w:color w:val="auto"/>
        </w:rPr>
        <w:t>PART IV</w:t>
      </w:r>
    </w:p>
    <w:p>
      <w:pPr>
        <w:spacing w:after="0" w:line="6" w:lineRule="exact"/>
        <w:rPr>
          <w:sz w:val="20"/>
          <w:szCs w:val="20"/>
          <w:color w:val="auto"/>
        </w:rPr>
      </w:pPr>
    </w:p>
    <w:p>
      <w:pPr>
        <w:jc w:val="center"/>
        <w:ind w:right="440"/>
        <w:spacing w:after="0"/>
        <w:rPr>
          <w:sz w:val="20"/>
          <w:szCs w:val="20"/>
          <w:color w:val="auto"/>
        </w:rPr>
      </w:pPr>
      <w:r>
        <w:rPr>
          <w:rFonts w:ascii="Arial" w:cs="Arial" w:eastAsia="Arial" w:hAnsi="Arial"/>
          <w:sz w:val="12"/>
          <w:szCs w:val="12"/>
          <w:color w:val="auto"/>
        </w:rPr>
        <w:t>HIRE/PURCHASE AGREEMENT</w:t>
      </w:r>
    </w:p>
    <w:p>
      <w:pPr>
        <w:jc w:val="center"/>
        <w:ind w:righ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42)</w:t>
      </w:r>
    </w:p>
    <w:p>
      <w:pPr>
        <w:spacing w:after="0" w:line="275"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On expiration of this Charter and provided the Charterers have fulfilled their obligations according to Part I and II as well as Part III, if applicable, it is agreed, that on payment of the final payment of hire as per Clause 11 the Charterers have purchased the Vessel with everything belonging to her and the Vessel is fully paid for.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strike w:val="1"/>
        </w:rPr>
        <w:t>In the following paragraphs the Owners are referred to as the Sellers and the Charterers as the Buyers.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Vessel shall be delivered by the Sellers and taken over by the Buyers on expiration of the Charter.</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strike w:val="1"/>
        </w:rPr>
        <w:t>The Sellers guarantee that the Vessel, at the time of delivery, is free from all encumbrances and maritime liens or any debts whatsoever other than those arising from anything done or not done by the Buyers or any existing mortgage agreed not to be paid off by the time of delivery. Should any claims, which have been incurred prior to the time of delivery be made against the Vessel, the Sellers hereby undertake to indemnify the Buyers against all consequences of such claims to the extent it can be proved that the Sellers are responsible for such claims. Any taxes, notarial, consular and other charges and expenses connected with the purchase and registration under Buyers' flag, shall be for Buyers' account. Any taxes, consular and other charges and expenses connected with closing of the Sellers' register, shall be for Sellers' account.</w:t>
      </w:r>
    </w:p>
    <w:p>
      <w:pPr>
        <w:spacing w:after="0" w:line="12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In exchange for payment of the last month's hire instalment the Sellers shall furnish the Buyers with a Bill of Sale duly attested and legalized, together with a certificate setting out the registered encumbrances, if any. On delivery of the Vessel the Sellers shall provide for deletion of the Vessel from the Ship's Register and deliver a certificate of deletion to the Buyers.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Sellers shall, at the time of delivery, hand to the Buyers all classification certificates (for hull, engines, anchors, chains etc), as well as all plans which may be in Sellers’ possession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strike w:val="1"/>
        </w:rPr>
        <w:t>The Wireless Installation and Nautical Instruments, unless on hire, shall be included in the sale without any extra payment.</w:t>
      </w:r>
    </w:p>
    <w:p>
      <w:pPr>
        <w:spacing w:after="0" w:line="150"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strike w:val="1"/>
        </w:rPr>
        <w:t>The Vessel with everything belonging to her shall be at Sellers' risk and expense until she is delivered to the Buyers, subject to the conditions of this Contract and the Vessel with everything belonging to her shall be delivered and taken over as she is at the time of delivery, after which the Sellers shall have no responsibility for possible faults or deficiencies of any description.</w:t>
      </w:r>
    </w:p>
    <w:p>
      <w:pPr>
        <w:spacing w:after="0" w:line="11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strike w:val="1"/>
        </w:rPr>
        <w:t>The Buyers undertake to pay for the repatriation of the Master, officers and other personnel if appointed by the Sellers to the port where the Vessel entered the Bareboat Charter as per Clause 3 (Part II) or to pay the equivalent cost for their journey to any other place.</w:t>
      </w:r>
    </w:p>
    <w:p>
      <w:pPr>
        <w:spacing w:after="0" w:line="14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08" w:name="page309"/>
    <w:bookmarkEnd w:id="30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BBC BARECON 2001</w:t>
      </w:r>
    </w:p>
    <w:p>
      <w:pPr>
        <w:spacing w:after="0" w:line="85" w:lineRule="exact"/>
        <w:rPr>
          <w:sz w:val="20"/>
          <w:szCs w:val="20"/>
          <w:color w:val="auto"/>
        </w:rPr>
      </w:pPr>
    </w:p>
    <w:p>
      <w:pPr>
        <w:ind w:left="4428"/>
        <w:spacing w:after="0"/>
        <w:rPr>
          <w:sz w:val="20"/>
          <w:szCs w:val="20"/>
          <w:color w:val="auto"/>
        </w:rPr>
      </w:pPr>
      <w:r>
        <w:rPr>
          <w:rFonts w:ascii="Arial" w:cs="Arial" w:eastAsia="Arial" w:hAnsi="Arial"/>
          <w:sz w:val="12"/>
          <w:szCs w:val="12"/>
          <w:color w:val="auto"/>
        </w:rPr>
        <w:t>“BARECON 2001” Standard Bareboat Charter</w:t>
      </w:r>
    </w:p>
    <w:p>
      <w:pPr>
        <w:spacing w:after="0" w:line="132" w:lineRule="exact"/>
        <w:rPr>
          <w:sz w:val="20"/>
          <w:szCs w:val="20"/>
          <w:color w:val="auto"/>
        </w:rPr>
      </w:pPr>
    </w:p>
    <w:p>
      <w:pPr>
        <w:ind w:left="5448"/>
        <w:spacing w:after="0"/>
        <w:rPr>
          <w:sz w:val="20"/>
          <w:szCs w:val="20"/>
          <w:color w:val="auto"/>
        </w:rPr>
      </w:pPr>
      <w:r>
        <w:rPr>
          <w:rFonts w:ascii="Arial" w:cs="Arial" w:eastAsia="Arial" w:hAnsi="Arial"/>
          <w:sz w:val="12"/>
          <w:szCs w:val="12"/>
          <w:color w:val="auto"/>
        </w:rPr>
        <w:t>PART V</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PROVISIONS TO APPLY FOR VESSELS REGISTERED IN A BAREBOAT CHARTER REGISTRY</w:t>
      </w:r>
    </w:p>
    <w:p>
      <w:pPr>
        <w:jc w:val="center"/>
        <w:ind w:right="-7"/>
        <w:spacing w:after="0"/>
        <w:rPr>
          <w:sz w:val="20"/>
          <w:szCs w:val="20"/>
          <w:color w:val="auto"/>
        </w:rPr>
      </w:pPr>
      <w:r>
        <w:rPr>
          <w:rFonts w:ascii="Arial" w:cs="Arial" w:eastAsia="Arial" w:hAnsi="Arial"/>
          <w:sz w:val="12"/>
          <w:szCs w:val="12"/>
          <w:color w:val="auto"/>
        </w:rPr>
        <w:t>(</w:t>
      </w:r>
      <w:r>
        <w:rPr>
          <w:rFonts w:ascii="Arial" w:cs="Arial" w:eastAsia="Arial" w:hAnsi="Arial"/>
          <w:sz w:val="12"/>
          <w:szCs w:val="12"/>
          <w:i w:val="1"/>
          <w:iCs w:val="1"/>
          <w:color w:val="auto"/>
        </w:rPr>
        <w:t>Optional, only to apply if expressly agreed and stated in Box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6446520</wp:posOffset>
            </wp:positionH>
            <wp:positionV relativeFrom="paragraph">
              <wp:posOffset>215265</wp:posOffset>
            </wp:positionV>
            <wp:extent cx="708660" cy="3257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6">
                      <a:extLst>
                        <a:ext uri="{28A0092B-C50C-407E-A947-70E740481C1C}"/>
                      </a:extLst>
                    </a:blip>
                    <a:srcRect/>
                    <a:stretch>
                      <a:fillRect/>
                    </a:stretch>
                  </pic:blipFill>
                  <pic:spPr bwMode="auto">
                    <a:xfrm>
                      <a:off x="0" y="0"/>
                      <a:ext cx="70866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68" w:hanging="168"/>
        <w:spacing w:after="0"/>
        <w:tabs>
          <w:tab w:leader="none" w:pos="168" w:val="left"/>
        </w:tabs>
        <w:numPr>
          <w:ilvl w:val="0"/>
          <w:numId w:val="399"/>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Definitions</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For the purpose of this PART V, the following terms shall have the meanings hereby assigned to them:</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Bareboat Charter Registry</w:t>
      </w:r>
      <w:r>
        <w:rPr>
          <w:rFonts w:ascii="Times New Roman" w:cs="Times New Roman" w:eastAsia="Times New Roman" w:hAnsi="Times New Roman"/>
          <w:sz w:val="12"/>
          <w:szCs w:val="12"/>
          <w:color w:val="auto"/>
          <w:strike w:val="1"/>
        </w:rPr>
        <w:t>" shall mean the registry of the State whose flag the Vessel will fly and in which the Charterers are registered as the bareboat charterers during the period of the Bareboat Charter.</w:t>
      </w:r>
    </w:p>
    <w:p>
      <w:pPr>
        <w:spacing w:after="0" w:line="6" w:lineRule="exact"/>
        <w:rPr>
          <w:rFonts w:ascii="Times New Roman" w:cs="Times New Roman" w:eastAsia="Times New Roman" w:hAnsi="Times New Roman"/>
          <w:sz w:val="12"/>
          <w:szCs w:val="12"/>
          <w:b w:val="1"/>
          <w:bCs w:val="1"/>
          <w:color w:val="auto"/>
          <w:strike w:val="1"/>
        </w:rPr>
      </w:pPr>
    </w:p>
    <w:p>
      <w:pPr>
        <w:ind w:left="168"/>
        <w:spacing w:after="0" w:line="260" w:lineRule="auto"/>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w:t>
      </w:r>
      <w:r>
        <w:rPr>
          <w:rFonts w:ascii="Times New Roman" w:cs="Times New Roman" w:eastAsia="Times New Roman" w:hAnsi="Times New Roman"/>
          <w:sz w:val="12"/>
          <w:szCs w:val="12"/>
          <w:u w:val="single" w:color="auto"/>
          <w:color w:val="auto"/>
          <w:strike w:val="1"/>
        </w:rPr>
        <w:t>The Underlying Registry</w:t>
      </w:r>
      <w:r>
        <w:rPr>
          <w:rFonts w:ascii="Times New Roman" w:cs="Times New Roman" w:eastAsia="Times New Roman" w:hAnsi="Times New Roman"/>
          <w:sz w:val="12"/>
          <w:szCs w:val="12"/>
          <w:color w:val="auto"/>
          <w:strike w:val="1"/>
        </w:rPr>
        <w:t>” shall mean the registry of the State in which the Owners of the Vessel are registered as Owners and to which jurisdiction and control of the Vessel will revert upon termination of the Bareboat Charter Registration.</w:t>
      </w:r>
    </w:p>
    <w:p>
      <w:pPr>
        <w:spacing w:after="0" w:line="118" w:lineRule="exact"/>
        <w:rPr>
          <w:rFonts w:ascii="Times New Roman" w:cs="Times New Roman" w:eastAsia="Times New Roman" w:hAnsi="Times New Roman"/>
          <w:sz w:val="12"/>
          <w:szCs w:val="12"/>
          <w:b w:val="1"/>
          <w:bCs w:val="1"/>
          <w:color w:val="auto"/>
          <w:strike w:val="1"/>
        </w:rPr>
      </w:pPr>
    </w:p>
    <w:p>
      <w:pPr>
        <w:ind w:left="168" w:hanging="168"/>
        <w:spacing w:after="0"/>
        <w:tabs>
          <w:tab w:leader="none" w:pos="168" w:val="left"/>
        </w:tabs>
        <w:numPr>
          <w:ilvl w:val="0"/>
          <w:numId w:val="399"/>
        </w:numPr>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b w:val="1"/>
          <w:bCs w:val="1"/>
          <w:color w:val="auto"/>
          <w:strike w:val="1"/>
        </w:rPr>
        <w:t>Mortgage</w:t>
      </w:r>
    </w:p>
    <w:p>
      <w:pPr>
        <w:spacing w:after="0" w:line="20" w:lineRule="exact"/>
        <w:rPr>
          <w:rFonts w:ascii="Times New Roman" w:cs="Times New Roman" w:eastAsia="Times New Roman" w:hAnsi="Times New Roman"/>
          <w:sz w:val="12"/>
          <w:szCs w:val="12"/>
          <w:b w:val="1"/>
          <w:bCs w:val="1"/>
          <w:color w:val="auto"/>
          <w:strike w:val="1"/>
        </w:rPr>
      </w:pPr>
    </w:p>
    <w:p>
      <w:pPr>
        <w:ind w:left="168"/>
        <w:spacing w:after="0"/>
        <w:rPr>
          <w:rFonts w:ascii="Times New Roman" w:cs="Times New Roman" w:eastAsia="Times New Roman" w:hAnsi="Times New Roman"/>
          <w:sz w:val="12"/>
          <w:szCs w:val="12"/>
          <w:b w:val="1"/>
          <w:bCs w:val="1"/>
          <w:color w:val="auto"/>
          <w:strike w:val="1"/>
        </w:rPr>
      </w:pPr>
      <w:r>
        <w:rPr>
          <w:rFonts w:ascii="Times New Roman" w:cs="Times New Roman" w:eastAsia="Times New Roman" w:hAnsi="Times New Roman"/>
          <w:sz w:val="12"/>
          <w:szCs w:val="12"/>
          <w:color w:val="auto"/>
          <w:strike w:val="1"/>
        </w:rPr>
        <w:t>The Vessel chartered under this Charter is financed by a mortgage and the provisions of Clause 12(b) (Part II) shall apply.</w:t>
      </w:r>
    </w:p>
    <w:p>
      <w:pPr>
        <w:spacing w:after="0" w:line="135" w:lineRule="exact"/>
        <w:rPr>
          <w:rFonts w:ascii="Times New Roman" w:cs="Times New Roman" w:eastAsia="Times New Roman" w:hAnsi="Times New Roman"/>
          <w:sz w:val="12"/>
          <w:szCs w:val="12"/>
          <w:b w:val="1"/>
          <w:bCs w:val="1"/>
          <w:color w:val="auto"/>
          <w:strike w:val="1"/>
        </w:rPr>
      </w:pPr>
    </w:p>
    <w:p>
      <w:pPr>
        <w:ind w:left="128" w:hanging="128"/>
        <w:spacing w:after="0"/>
        <w:tabs>
          <w:tab w:leader="none" w:pos="128" w:val="left"/>
        </w:tabs>
        <w:numPr>
          <w:ilvl w:val="0"/>
          <w:numId w:val="3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strike w:val="1"/>
        </w:rPr>
        <w:t>Termination of Charter by Default</w:t>
      </w:r>
    </w:p>
    <w:p>
      <w:pPr>
        <w:spacing w:after="0" w:line="21" w:lineRule="exact"/>
        <w:rPr>
          <w:sz w:val="20"/>
          <w:szCs w:val="20"/>
          <w:color w:val="auto"/>
        </w:rPr>
      </w:pPr>
    </w:p>
    <w:p>
      <w:pPr>
        <w:ind w:left="168"/>
        <w:spacing w:after="0" w:line="250" w:lineRule="auto"/>
        <w:rPr>
          <w:sz w:val="20"/>
          <w:szCs w:val="20"/>
          <w:color w:val="auto"/>
        </w:rPr>
      </w:pPr>
      <w:r>
        <w:rPr>
          <w:rFonts w:ascii="Times New Roman" w:cs="Times New Roman" w:eastAsia="Times New Roman" w:hAnsi="Times New Roman"/>
          <w:sz w:val="12"/>
          <w:szCs w:val="12"/>
          <w:color w:val="auto"/>
          <w:strike w:val="1"/>
        </w:rPr>
        <w:t>If the Vessel chartered under this Charter is registered in a Bareboat Charter Registry as stated in Box 44, and if the Owners shall default in the payment of any amounts due under the mortgage(s) specified in Box 28, the Charterers shall, if so required by the mortgagee, direct the Owners to re-register the Vessel in the Underlying Registry as shown in Box 45.</w:t>
      </w:r>
    </w:p>
    <w:p>
      <w:pPr>
        <w:spacing w:after="0" w:line="1" w:lineRule="exact"/>
        <w:rPr>
          <w:sz w:val="20"/>
          <w:szCs w:val="20"/>
          <w:color w:val="auto"/>
        </w:rPr>
      </w:pPr>
    </w:p>
    <w:p>
      <w:pPr>
        <w:ind w:left="168"/>
        <w:spacing w:after="0" w:line="260" w:lineRule="auto"/>
        <w:rPr>
          <w:sz w:val="20"/>
          <w:szCs w:val="20"/>
          <w:color w:val="auto"/>
        </w:rPr>
      </w:pPr>
      <w:r>
        <w:rPr>
          <w:rFonts w:ascii="Times New Roman" w:cs="Times New Roman" w:eastAsia="Times New Roman" w:hAnsi="Times New Roman"/>
          <w:sz w:val="12"/>
          <w:szCs w:val="12"/>
          <w:color w:val="auto"/>
          <w:strike w:val="1"/>
        </w:rPr>
        <w:t>In the event of the Vessel being deleted from the Bareboat Charter Registry as stated in Box 44, due to a default by the Owners in the payment of any amounts due under the mortgage(s), the Charterers shall have the right to terminate this Charter forthwith and without prejudice to any other claim they may have against the Owners under this Charter.</w:t>
      </w:r>
    </w:p>
    <w:p>
      <w:pPr>
        <w:spacing w:after="0" w:line="15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05" w:right="299"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5140" w:type="dxa"/>
            <w:vAlign w:val="bottom"/>
          </w:tcPr>
          <w:p>
            <w:pPr>
              <w:jc w:val="right"/>
              <w:spacing w:after="0"/>
              <w:rPr>
                <w:sz w:val="20"/>
                <w:szCs w:val="20"/>
                <w:color w:val="auto"/>
              </w:rPr>
            </w:pPr>
            <w:r>
              <w:rPr>
                <w:rFonts w:ascii="Arial" w:cs="Arial" w:eastAsia="Arial" w:hAnsi="Arial"/>
                <w:sz w:val="10"/>
                <w:szCs w:val="10"/>
                <w:b w:val="1"/>
                <w:bCs w:val="1"/>
                <w:color w:val="auto"/>
              </w:rPr>
              <w:t>SYDNEY EXPRESS</w:t>
            </w:r>
          </w:p>
        </w:tc>
      </w:tr>
      <w:tr>
        <w:trPr>
          <w:trHeight w:val="131"/>
        </w:trPr>
        <w:tc>
          <w:tcPr>
            <w:tcW w:w="180" w:type="dxa"/>
            <w:vAlign w:val="bottom"/>
          </w:tcPr>
          <w:p>
            <w:pPr>
              <w:spacing w:after="0"/>
              <w:rPr>
                <w:sz w:val="11"/>
                <w:szCs w:val="11"/>
                <w:color w:val="auto"/>
              </w:rPr>
            </w:pPr>
          </w:p>
        </w:tc>
        <w:tc>
          <w:tcPr>
            <w:tcW w:w="5980" w:type="dxa"/>
            <w:vAlign w:val="bottom"/>
          </w:tcPr>
          <w:p>
            <w:pPr>
              <w:spacing w:after="0"/>
              <w:rPr>
                <w:sz w:val="11"/>
                <w:szCs w:val="11"/>
                <w:color w:val="auto"/>
              </w:rPr>
            </w:pPr>
          </w:p>
        </w:tc>
        <w:tc>
          <w:tcPr>
            <w:tcW w:w="5140" w:type="dxa"/>
            <w:vAlign w:val="bottom"/>
          </w:tcPr>
          <w:p>
            <w:pPr>
              <w:jc w:val="right"/>
              <w:spacing w:after="0"/>
              <w:rPr>
                <w:sz w:val="20"/>
                <w:szCs w:val="20"/>
                <w:color w:val="auto"/>
              </w:rPr>
            </w:pPr>
            <w:r>
              <w:rPr>
                <w:rFonts w:ascii="Arial" w:cs="Arial" w:eastAsia="Arial" w:hAnsi="Arial"/>
                <w:sz w:val="10"/>
                <w:szCs w:val="10"/>
                <w:b w:val="1"/>
                <w:bCs w:val="1"/>
                <w:color w:val="auto"/>
              </w:rPr>
              <w:t>Bareboat Charter Additional Clauses</w:t>
            </w:r>
          </w:p>
        </w:tc>
      </w:tr>
      <w:tr>
        <w:trPr>
          <w:trHeight w:val="596"/>
        </w:trPr>
        <w:tc>
          <w:tcPr>
            <w:tcW w:w="61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CONTENTS</w:t>
            </w:r>
          </w:p>
        </w:tc>
        <w:tc>
          <w:tcPr>
            <w:tcW w:w="5140" w:type="dxa"/>
            <w:vAlign w:val="bottom"/>
          </w:tcPr>
          <w:p>
            <w:pPr>
              <w:spacing w:after="0"/>
              <w:rPr>
                <w:sz w:val="24"/>
                <w:szCs w:val="24"/>
                <w:color w:val="auto"/>
              </w:rPr>
            </w:pPr>
          </w:p>
        </w:tc>
      </w:tr>
      <w:tr>
        <w:trPr>
          <w:trHeight w:val="273"/>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32.</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Definitions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33.</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Interpretations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34.</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Background</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35.</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Delivery</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36.</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Conditions precedent and conditions subsequent</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37.</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Bunkers and luboils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38.</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maintenance and operation</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39.</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Structural changes and alterations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40.</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Hire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41.</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42.</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43.</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Redelivery conditions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44.</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Diver’s inspection at redelivery</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45.</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Owners’ mortgage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46.</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Financial covenants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47.</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representations and warranties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38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48.</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Charterers’ undertakings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41</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49.</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Terminations Events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49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50.</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Sub-chartering and assignment</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51.</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Name of Vessel</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52.</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Transfer of title</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53.</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Total Loss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54.</w:t>
            </w:r>
          </w:p>
        </w:tc>
        <w:tc>
          <w:tcPr>
            <w:tcW w:w="598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Appointment of Approved Manager</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55.</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Fees and expenses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56.</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Stamp duties and Taxies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159"/>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57.</w:t>
            </w:r>
          </w:p>
        </w:tc>
        <w:tc>
          <w:tcPr>
            <w:tcW w:w="598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Operational notifiable events</w:t>
            </w:r>
          </w:p>
        </w:tc>
        <w:tc>
          <w:tcPr>
            <w:tcW w:w="51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59</w:t>
            </w:r>
          </w:p>
        </w:tc>
      </w:tr>
      <w:tr>
        <w:trPr>
          <w:trHeight w:val="432"/>
        </w:trPr>
        <w:tc>
          <w:tcPr>
            <w:tcW w:w="18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98" w:right="299" w:bottom="1440" w:gutter="0" w:footer="0" w:header="0"/>
        </w:sectPr>
      </w:pPr>
    </w:p>
    <w:bookmarkStart w:id="310" w:name="page311"/>
    <w:bookmarkEnd w:id="3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0" w:type="dxa"/>
            <w:vAlign w:val="bottom"/>
          </w:tcPr>
          <w:p>
            <w:pPr>
              <w:spacing w:after="0"/>
              <w:rPr>
                <w:sz w:val="10"/>
                <w:szCs w:val="10"/>
                <w:color w:val="auto"/>
              </w:rPr>
            </w:pPr>
          </w:p>
        </w:tc>
        <w:tc>
          <w:tcPr>
            <w:tcW w:w="7200" w:type="dxa"/>
            <w:vAlign w:val="bottom"/>
          </w:tcPr>
          <w:p>
            <w:pPr>
              <w:spacing w:after="0"/>
              <w:rPr>
                <w:sz w:val="10"/>
                <w:szCs w:val="10"/>
                <w:color w:val="auto"/>
              </w:rPr>
            </w:pPr>
          </w:p>
        </w:tc>
        <w:tc>
          <w:tcPr>
            <w:tcW w:w="3920" w:type="dxa"/>
            <w:vAlign w:val="bottom"/>
          </w:tcPr>
          <w:p>
            <w:pPr>
              <w:jc w:val="right"/>
              <w:spacing w:after="0"/>
              <w:rPr>
                <w:sz w:val="20"/>
                <w:szCs w:val="20"/>
                <w:color w:val="auto"/>
              </w:rPr>
            </w:pPr>
            <w:r>
              <w:rPr>
                <w:rFonts w:ascii="Arial" w:cs="Arial" w:eastAsia="Arial" w:hAnsi="Arial"/>
                <w:sz w:val="10"/>
                <w:szCs w:val="10"/>
                <w:b w:val="1"/>
                <w:bCs w:val="1"/>
                <w:color w:val="auto"/>
              </w:rPr>
              <w:t>SYDNEY EXPRESS</w:t>
            </w:r>
          </w:p>
        </w:tc>
      </w:tr>
      <w:tr>
        <w:trPr>
          <w:trHeight w:val="131"/>
        </w:trPr>
        <w:tc>
          <w:tcPr>
            <w:tcW w:w="180" w:type="dxa"/>
            <w:vAlign w:val="bottom"/>
          </w:tcPr>
          <w:p>
            <w:pPr>
              <w:spacing w:after="0"/>
              <w:rPr>
                <w:sz w:val="11"/>
                <w:szCs w:val="11"/>
                <w:color w:val="auto"/>
              </w:rPr>
            </w:pPr>
          </w:p>
        </w:tc>
        <w:tc>
          <w:tcPr>
            <w:tcW w:w="7200" w:type="dxa"/>
            <w:vAlign w:val="bottom"/>
          </w:tcPr>
          <w:p>
            <w:pPr>
              <w:spacing w:after="0"/>
              <w:rPr>
                <w:sz w:val="11"/>
                <w:szCs w:val="11"/>
                <w:color w:val="auto"/>
              </w:rPr>
            </w:pPr>
          </w:p>
        </w:tc>
        <w:tc>
          <w:tcPr>
            <w:tcW w:w="3920" w:type="dxa"/>
            <w:vAlign w:val="bottom"/>
          </w:tcPr>
          <w:p>
            <w:pPr>
              <w:jc w:val="right"/>
              <w:spacing w:after="0"/>
              <w:rPr>
                <w:sz w:val="20"/>
                <w:szCs w:val="20"/>
                <w:color w:val="auto"/>
              </w:rPr>
            </w:pPr>
            <w:r>
              <w:rPr>
                <w:rFonts w:ascii="Arial" w:cs="Arial" w:eastAsia="Arial" w:hAnsi="Arial"/>
                <w:sz w:val="10"/>
                <w:szCs w:val="10"/>
                <w:b w:val="1"/>
                <w:bCs w:val="1"/>
                <w:color w:val="auto"/>
              </w:rPr>
              <w:t>Bareboat Charter Additional Clauses</w:t>
            </w:r>
          </w:p>
        </w:tc>
      </w:tr>
      <w:tr>
        <w:trPr>
          <w:trHeight w:val="347"/>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58.</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indemnities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60</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59.</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Further assurances and undertakings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60.</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Cumulative rights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61.</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waiver</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62.</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Entire agreement</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63.</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Invalidity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64.</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English language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65.</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 partnership</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66.</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Notices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63</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67.</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Conflicts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68.</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Survival of Charterers’ obligations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69.</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Counterparts</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70.</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Third Parties Act</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64</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71.</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Waiver of immunity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72.</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FATCA</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65</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73.</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Governing Law</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74.</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Arbitration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66</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75.</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Confidentiality</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67</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76.</w:t>
            </w:r>
          </w:p>
        </w:tc>
        <w:tc>
          <w:tcPr>
            <w:tcW w:w="7200" w:type="dxa"/>
            <w:vAlign w:val="bottom"/>
          </w:tcPr>
          <w:p>
            <w:pPr>
              <w:ind w:left="40"/>
              <w:spacing w:after="0"/>
              <w:rPr>
                <w:sz w:val="20"/>
                <w:szCs w:val="20"/>
                <w:color w:val="auto"/>
              </w:rPr>
            </w:pPr>
            <w:r>
              <w:rPr>
                <w:rFonts w:ascii="Times New Roman" w:cs="Times New Roman" w:eastAsia="Times New Roman" w:hAnsi="Times New Roman"/>
                <w:sz w:val="12"/>
                <w:szCs w:val="12"/>
                <w:b w:val="1"/>
                <w:bCs w:val="1"/>
                <w:color w:val="auto"/>
              </w:rPr>
              <w:t>Assignment and Transfer</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r>
      <w:tr>
        <w:trPr>
          <w:trHeight w:val="144"/>
        </w:trPr>
        <w:tc>
          <w:tcPr>
            <w:tcW w:w="18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77.</w:t>
            </w:r>
          </w:p>
        </w:tc>
        <w:tc>
          <w:tcPr>
            <w:tcW w:w="720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Financing Charter</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68</w:t>
            </w:r>
          </w:p>
        </w:tc>
      </w:tr>
      <w:tr>
        <w:trPr>
          <w:trHeight w:val="144"/>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1 FORM OF PROTOCOL OF DELIVERY AND ACCEPTANCE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69</w:t>
            </w:r>
          </w:p>
        </w:tc>
      </w:tr>
      <w:tr>
        <w:trPr>
          <w:trHeight w:val="144"/>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2 FORM OF TITLE TRANSFER PROTOCOL OF DELIVERY AND ACCEPTANCE</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70</w:t>
            </w:r>
          </w:p>
        </w:tc>
      </w:tr>
      <w:tr>
        <w:trPr>
          <w:trHeight w:val="159"/>
        </w:trPr>
        <w:tc>
          <w:tcPr>
            <w:tcW w:w="73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 3 RELATED CHARTER AND RELEVANT INFORMATION</w:t>
            </w:r>
          </w:p>
        </w:tc>
        <w:tc>
          <w:tcPr>
            <w:tcW w:w="3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71</w:t>
            </w:r>
          </w:p>
        </w:tc>
      </w:tr>
      <w:tr>
        <w:trPr>
          <w:trHeight w:val="450"/>
        </w:trPr>
        <w:tc>
          <w:tcPr>
            <w:tcW w:w="18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98" w:right="299" w:bottom="1440" w:gutter="0" w:footer="0" w:header="0"/>
        </w:sectPr>
      </w:pPr>
    </w:p>
    <w:bookmarkStart w:id="311" w:name="page312"/>
    <w:bookmarkEnd w:id="311"/>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9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b w:val="1"/>
          <w:bCs w:val="1"/>
          <w:color w:val="auto"/>
        </w:rPr>
        <w:t>ADDITIONAL CLAUSES</w:t>
      </w:r>
    </w:p>
    <w:p>
      <w:pPr>
        <w:spacing w:after="0" w:line="21"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2"/>
          <w:szCs w:val="12"/>
          <w:b w:val="1"/>
          <w:bCs w:val="1"/>
          <w:u w:val="single" w:color="auto"/>
          <w:color w:val="auto"/>
        </w:rPr>
        <w:t>TO BIMCO STANDARD BAREBOAT CHARTER FOR "SYDNEY EXPRESS"</w:t>
      </w:r>
    </w:p>
    <w:p>
      <w:pPr>
        <w:spacing w:after="0" w:line="279" w:lineRule="exact"/>
        <w:rPr>
          <w:sz w:val="20"/>
          <w:szCs w:val="20"/>
          <w:color w:val="auto"/>
        </w:rPr>
      </w:pPr>
    </w:p>
    <w:p>
      <w:pPr>
        <w:ind w:left="660" w:hanging="440"/>
        <w:spacing w:after="0"/>
        <w:tabs>
          <w:tab w:leader="none" w:pos="660" w:val="left"/>
        </w:tabs>
        <w:numPr>
          <w:ilvl w:val="0"/>
          <w:numId w:val="40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this Charter:</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 ABN AMRO Bank N.V. at Gustav Mahlerlaan 10, Postbus 283, 1000 EA Amsterdam (BIC: ABNANL2A) or such other first-class international bank or financial institution as nominated by the Charterers and approved by the Owners in writing from time to time (acting reasonably).</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the deed of charge or pledge or other legal instrument executed or to be executed by the Charterers in Agreed Form in favour of the Security Trustee conferring a Security Interest over the Earnings Account and all amounts from time to time standing to the credit to the Earnings Account.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Actual Delivery Date</w:t>
      </w:r>
      <w:r>
        <w:rPr>
          <w:rFonts w:ascii="Times New Roman" w:cs="Times New Roman" w:eastAsia="Times New Roman" w:hAnsi="Times New Roman"/>
          <w:sz w:val="12"/>
          <w:szCs w:val="12"/>
          <w:color w:val="auto"/>
        </w:rPr>
        <w:t>" means the date of delivery of the Vessel by the Owners to the Charterers under this Charter.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Agreed Form</w:t>
      </w:r>
      <w:r>
        <w:rPr>
          <w:rFonts w:ascii="Times New Roman" w:cs="Times New Roman" w:eastAsia="Times New Roman" w:hAnsi="Times New Roman"/>
          <w:sz w:val="12"/>
          <w:szCs w:val="12"/>
          <w:color w:val="auto"/>
        </w:rPr>
        <w:t>" means in relation to any document, that document in the form approved in writing by the Owners and agreed with the Charterers.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 Term</w:t>
      </w:r>
      <w:r>
        <w:rPr>
          <w:rFonts w:ascii="Times New Roman" w:cs="Times New Roman" w:eastAsia="Times New Roman" w:hAnsi="Times New Roman"/>
          <w:sz w:val="12"/>
          <w:szCs w:val="12"/>
          <w:color w:val="auto"/>
        </w:rPr>
        <w:t>" means the period commencing on the date of this Charter and terminating on the later of:</w:t>
      </w:r>
    </w:p>
    <w:p>
      <w:pPr>
        <w:spacing w:after="0" w:line="154" w:lineRule="exact"/>
        <w:rPr>
          <w:sz w:val="20"/>
          <w:szCs w:val="20"/>
          <w:color w:val="auto"/>
        </w:rPr>
      </w:pPr>
    </w:p>
    <w:p>
      <w:pPr>
        <w:ind w:left="420" w:hanging="416"/>
        <w:spacing w:after="0"/>
        <w:tabs>
          <w:tab w:leader="none" w:pos="420" w:val="left"/>
        </w:tabs>
        <w:numPr>
          <w:ilvl w:val="0"/>
          <w:numId w:val="4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expiration of the Charter Period; and</w:t>
      </w:r>
    </w:p>
    <w:p>
      <w:pPr>
        <w:spacing w:after="0" w:line="150" w:lineRule="exact"/>
        <w:rPr>
          <w:rFonts w:ascii="Times New Roman" w:cs="Times New Roman" w:eastAsia="Times New Roman" w:hAnsi="Times New Roman"/>
          <w:sz w:val="12"/>
          <w:szCs w:val="12"/>
          <w:color w:val="auto"/>
        </w:rPr>
      </w:pPr>
    </w:p>
    <w:p>
      <w:pPr>
        <w:ind w:left="420" w:hanging="416"/>
        <w:spacing w:after="0" w:line="327" w:lineRule="auto"/>
        <w:tabs>
          <w:tab w:leader="none" w:pos="420" w:val="left"/>
        </w:tabs>
        <w:numPr>
          <w:ilvl w:val="0"/>
          <w:numId w:val="40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date on which all money of any nature owed by the Obligors to the Owners under the Transaction Documents or otherwise in connection with the Vessel have been paid in full to the Owners and no obligations of the Obligors of any nature to the Owners or otherwise in connection with the Transaction Documents, the Related Transaction Documents or with the Vessel or the Related Vessels remain unperformed or undischarged.</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Anniversary</w:t>
      </w:r>
      <w:r>
        <w:rPr>
          <w:rFonts w:ascii="Times New Roman" w:cs="Times New Roman" w:eastAsia="Times New Roman" w:hAnsi="Times New Roman"/>
          <w:sz w:val="12"/>
          <w:szCs w:val="12"/>
          <w:color w:val="auto"/>
        </w:rPr>
        <w:t>" means each anniversary of the Actual Delivery Date.</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Anti-Money Laundering Laws</w:t>
      </w:r>
      <w:r>
        <w:rPr>
          <w:rFonts w:ascii="Times New Roman" w:cs="Times New Roman" w:eastAsia="Times New Roman" w:hAnsi="Times New Roman"/>
          <w:sz w:val="12"/>
          <w:szCs w:val="12"/>
          <w:color w:val="auto"/>
        </w:rPr>
        <w:t>" means all applicable financial record-keeping and reporting requirements, anti-money laundering statutes (including all applicable rules and regulations thereunder) and all applicable related or similar laws, rules, regulations or guidelines, of all applicable jurisdictions including and without limitation, the United States of America, the European Union and the People’s Republic of China and which in each case are:</w:t>
      </w:r>
    </w:p>
    <w:p>
      <w:pPr>
        <w:spacing w:after="0" w:line="107" w:lineRule="exact"/>
        <w:rPr>
          <w:sz w:val="20"/>
          <w:szCs w:val="20"/>
          <w:color w:val="auto"/>
        </w:rPr>
      </w:pPr>
    </w:p>
    <w:p>
      <w:pPr>
        <w:ind w:left="420" w:hanging="416"/>
        <w:spacing w:after="0"/>
        <w:tabs>
          <w:tab w:leader="none" w:pos="420"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and</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Trustee conduct business; or Security Interest to which any Obligor, the Owners or the Security Trustee is subjected or subject to.</w:t>
      </w:r>
    </w:p>
    <w:p>
      <w:pPr>
        <w:spacing w:after="0" w:line="14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Anti-Terrorism Financing Laws</w:t>
      </w:r>
      <w:r>
        <w:rPr>
          <w:rFonts w:ascii="Times New Roman" w:cs="Times New Roman" w:eastAsia="Times New Roman" w:hAnsi="Times New Roman"/>
          <w:sz w:val="12"/>
          <w:szCs w:val="12"/>
          <w:color w:val="auto"/>
        </w:rPr>
        <w:t>" means all applicable anti-terrorism laws, statutes (including all applicable rules and regulations thereunder) and all applicable related or similar rules, regulations, guidelines, of any applicable jurisdiction, including and not limited to the United States of America or the People’s Republic of China which are:</w:t>
      </w:r>
    </w:p>
    <w:p>
      <w:pPr>
        <w:spacing w:after="0" w:line="107" w:lineRule="exact"/>
        <w:rPr>
          <w:sz w:val="20"/>
          <w:szCs w:val="20"/>
          <w:color w:val="auto"/>
        </w:rPr>
      </w:pPr>
    </w:p>
    <w:p>
      <w:pPr>
        <w:ind w:left="5200" w:right="3920" w:hanging="5196"/>
        <w:spacing w:after="0" w:line="812" w:lineRule="auto"/>
        <w:tabs>
          <w:tab w:leader="none" w:pos="419" w:val="left"/>
        </w:tabs>
        <w:numPr>
          <w:ilvl w:val="0"/>
          <w:numId w:val="4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issued, administered or enforced by any governmental agency, having jurisdiction over any Obligor, the Owners or the Security Trustee;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-208280</wp:posOffset>
            </wp:positionV>
            <wp:extent cx="717804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12" w:name="page313"/>
    <w:bookmarkEnd w:id="312"/>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420" w:hanging="416"/>
        <w:spacing w:after="0"/>
        <w:tabs>
          <w:tab w:leader="none" w:pos="420"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any jurisdiction in which any Obligor, the Owners or the Security Trustee conducts business;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which any Obligor, the Owners or the Security Trustee is subjected or subject to.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Insurer</w:t>
      </w:r>
      <w:r>
        <w:rPr>
          <w:rFonts w:ascii="Times New Roman" w:cs="Times New Roman" w:eastAsia="Times New Roman" w:hAnsi="Times New Roman"/>
          <w:sz w:val="12"/>
          <w:szCs w:val="12"/>
          <w:color w:val="auto"/>
        </w:rPr>
        <w:t>" means, in respect of the Vessel, a first-class international insurance broker, underwriter or association acceptable to the Owners (acting reasonably).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technical management of the Vessel, TECHNOMAR SHIPPING INC., a company incorporated and existing under the laws of the Republic of Liberia with Registration Number C-76029 and having its registered office at 80 Broad Street, Monrovia, Liberia;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commercial management of the Vessel, CONCHART COMMERCIAL INC., a company incorporate and existing under the laws of the Republic of the Marshall Islands having its registered address at Trust Company Complex, Ajeltake Road, Ajeltake Island, Majuro, Republic of the Marshall Islands MH 96960; 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first class reputable ship technical and/or commercial manager acceptable to the Owners.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each of BRS Shipbrokers, MB Shipbrokers, Kontiki Shipbrokers, Howe Robinson and any other reputable and independent ship brokers proposed by the Charterers and approved by the Owners (acting reasonably).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 has the meaning given to the term in Clause 55(a)(a)(a), being a sum of US$445,000 (Dollars Four Hundred Forty Five Thousand only).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or registration.</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 all costs, losses, premiums or penalties incurred by the Owners as a result of (i) the receipt by the Owners of any payment under or in relation to the Transaction Documents on a day other than the due date for payment of the sum in question and/or (ii) the Termination Payment Date does not fall on a Hire Payment Date (in each case, including any Break Costs incurred under the Finance Documents.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Sunday) on which banks and financial markets are open for business:</w:t>
      </w:r>
    </w:p>
    <w:p>
      <w:pPr>
        <w:spacing w:after="0" w:line="154" w:lineRule="exact"/>
        <w:rPr>
          <w:sz w:val="20"/>
          <w:szCs w:val="20"/>
          <w:color w:val="auto"/>
        </w:rPr>
      </w:pPr>
    </w:p>
    <w:p>
      <w:pPr>
        <w:ind w:left="440" w:hanging="436"/>
        <w:spacing w:after="0"/>
        <w:tabs>
          <w:tab w:leader="none" w:pos="440"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date for payment, in Amsterdam, Athens, Beijing and New York;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all other purposes, in Beijing and Athens.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"Business Ethics Laws" </w:t>
      </w:r>
      <w:r>
        <w:rPr>
          <w:rFonts w:ascii="Times New Roman" w:cs="Times New Roman" w:eastAsia="Times New Roman" w:hAnsi="Times New Roman"/>
          <w:sz w:val="12"/>
          <w:szCs w:val="12"/>
          <w:color w:val="auto"/>
        </w:rPr>
        <w:t>means any laws, regulations and/or other legally binding requirements or determinations in relation to bribery, corruption, fraud, money-laundering, terrorism, collusion bid-rigging or anti-trust, human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rights violations (including forced labour and human trafficking) which are applicable to an Obligor or to any jurisdiction where activities are performed and which shall include: (i) the United Kingdom Bribery Act 2010, (ii) the United States Foreign Corrupt Practices Act 1977 and (iii) Prevention of Bribery Ordinance (Cap. 201) of the Laws of Hong Kong.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Cancellation Date</w:t>
      </w:r>
      <w:r>
        <w:rPr>
          <w:rFonts w:ascii="Times New Roman" w:cs="Times New Roman" w:eastAsia="Times New Roman" w:hAnsi="Times New Roman"/>
          <w:sz w:val="12"/>
          <w:szCs w:val="12"/>
          <w:color w:val="auto"/>
        </w:rPr>
        <w:t>" means 31 January 2025 or such later date as the Owners may in their sole discretion approve in writing.</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13" w:name="page314"/>
    <w:bookmarkEnd w:id="313"/>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has the meaning given to such term in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Group</w:t>
      </w:r>
      <w:r>
        <w:rPr>
          <w:rFonts w:ascii="Times New Roman" w:cs="Times New Roman" w:eastAsia="Times New Roman" w:hAnsi="Times New Roman"/>
          <w:sz w:val="12"/>
          <w:szCs w:val="12"/>
          <w:color w:val="auto"/>
        </w:rPr>
        <w:t>" means the Charterers, the Charter Guarantor and, the Subsidiaries of each of them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the deed of guarantee and indemnity executed or to be executed by the Charter Guarantor in favour of the Security Trustee in the Agreed Form.</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means GLOBAL SHIP LEASE, INC., a corporation incorporated and existing under the laws of the Republic of Marshall Islands with corporation number 28891 and having its registered office at Trust Company Complex, Ajeltake Road, Ajeltake Island, Majuro, Republic of the Marshall Islands MH 96960, being the sole member and manager of the Charterers.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Guarantor Change of Control Event</w:t>
      </w:r>
      <w:r>
        <w:rPr>
          <w:rFonts w:ascii="Times New Roman" w:cs="Times New Roman" w:eastAsia="Times New Roman" w:hAnsi="Times New Roman"/>
          <w:sz w:val="12"/>
          <w:szCs w:val="12"/>
          <w:color w:val="auto"/>
        </w:rPr>
        <w:t>" means any of the following events:</w:t>
      </w:r>
    </w:p>
    <w:p>
      <w:pPr>
        <w:spacing w:after="0" w:line="154" w:lineRule="exact"/>
        <w:rPr>
          <w:sz w:val="20"/>
          <w:szCs w:val="20"/>
          <w:color w:val="auto"/>
        </w:rPr>
      </w:pPr>
    </w:p>
    <w:p>
      <w:pPr>
        <w:ind w:left="420" w:hanging="416"/>
        <w:spacing w:after="0"/>
        <w:tabs>
          <w:tab w:leader="none" w:pos="420"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 is not or ceases to be a wholly-owned direct or indirect Subsidiary of the Charter Guarantor;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own at least 1 per cent. of the shares in the Charter Guarantor (either directly or through one or more of his affiliates);</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Charter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15 per cent. of the shares in the Charter Guarantor, other than Mr George Giouroukos (either directly or through one or more of his affiliates).</w:t>
      </w:r>
    </w:p>
    <w:p>
      <w:pPr>
        <w:spacing w:after="0" w:line="14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"Charter Period" </w:t>
      </w:r>
      <w:r>
        <w:rPr>
          <w:rFonts w:ascii="Times New Roman" w:cs="Times New Roman" w:eastAsia="Times New Roman" w:hAnsi="Times New Roman"/>
          <w:sz w:val="12"/>
          <w:szCs w:val="12"/>
          <w:color w:val="auto"/>
        </w:rPr>
        <w:t>means, subject to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Clauses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the period of One Hundred Twenty (120) months commencing from the Actual Delivery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Date.</w:t>
      </w:r>
    </w:p>
    <w:p>
      <w:pPr>
        <w:spacing w:after="0" w:line="10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"Charterers' Assignment" </w:t>
      </w:r>
      <w:r>
        <w:rPr>
          <w:rFonts w:ascii="Times New Roman" w:cs="Times New Roman" w:eastAsia="Times New Roman" w:hAnsi="Times New Roman"/>
          <w:sz w:val="12"/>
          <w:szCs w:val="12"/>
          <w:color w:val="auto"/>
        </w:rPr>
        <w:t>means the deed of assignment executed or to be executed (as the case may be) by the Charterers in favour of the Security Trustee in the Agreed Form in relation to certain of the Charterers' rights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interest in and to (among other things) the (a) the Earnings, (b) the Insurances, and (c) the Requisition Compensation and (d) the Initial Sub-Charter and any other Sub-Charter (if any) which have a duration of twelve (12) months or more (including any option to renew or extend).</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"Classification Society" </w:t>
      </w:r>
      <w:r>
        <w:rPr>
          <w:rFonts w:ascii="Times New Roman" w:cs="Times New Roman" w:eastAsia="Times New Roman" w:hAnsi="Times New Roman"/>
          <w:sz w:val="12"/>
          <w:szCs w:val="12"/>
          <w:color w:val="auto"/>
        </w:rPr>
        <w:t>means the vessel classification society referred to in Box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 or such other reputable classification society which is a member of the International Association of</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Classification Societies as the Charterers may select and the Owners may approve from time to time (acting reasonably).</w:t>
      </w:r>
    </w:p>
    <w:p>
      <w:pPr>
        <w:spacing w:after="0" w:line="1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Co-Assured Undertakings</w:t>
      </w:r>
      <w:r>
        <w:rPr>
          <w:rFonts w:ascii="Times New Roman" w:cs="Times New Roman" w:eastAsia="Times New Roman" w:hAnsi="Times New Roman"/>
          <w:sz w:val="12"/>
          <w:szCs w:val="12"/>
          <w:color w:val="auto"/>
        </w:rPr>
        <w:t>" means an undertaking in respect of the Insurances by a party named as an assured or co-assured (as the case may be) on any of the Insurances (other than the Charterers, the Approved Managers, the Owners and the Finance Parties) in favour of the Owners and the Security Trustee.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Debt</w:t>
      </w:r>
      <w:r>
        <w:rPr>
          <w:rFonts w:ascii="Times New Roman" w:cs="Times New Roman" w:eastAsia="Times New Roman" w:hAnsi="Times New Roman"/>
          <w:sz w:val="12"/>
          <w:szCs w:val="12"/>
          <w:color w:val="auto"/>
        </w:rPr>
        <w:t>" means the aggregate from time to time of all sums of any nature (together with all accrued unpaid interest on any of those sums) payable by any Obligor to the Owners under all or any of the Transaction Documents.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Interest Rate</w:t>
      </w:r>
      <w:r>
        <w:rPr>
          <w:rFonts w:ascii="Times New Roman" w:cs="Times New Roman" w:eastAsia="Times New Roman" w:hAnsi="Times New Roman"/>
          <w:sz w:val="12"/>
          <w:szCs w:val="12"/>
          <w:color w:val="auto"/>
        </w:rPr>
        <w:t>" means a rate equivalent to the applicable Interest Rate plus [two per cent. (2%) per annum (on a 360-day year basis).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 Termination</w:t>
      </w:r>
      <w:r>
        <w:rPr>
          <w:rFonts w:ascii="Times New Roman" w:cs="Times New Roman" w:eastAsia="Times New Roman" w:hAnsi="Times New Roman"/>
          <w:sz w:val="12"/>
          <w:szCs w:val="12"/>
          <w:color w:val="auto"/>
        </w:rPr>
        <w:t>" means a termination of the Charter Period pursuant to the provisions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14" w:name="page315"/>
    <w:bookmarkEnd w:id="314"/>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jc w:val="both"/>
        <w:spacing w:after="0" w:line="25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Delivery Costs</w:t>
      </w:r>
      <w:r>
        <w:rPr>
          <w:rFonts w:ascii="Times New Roman" w:cs="Times New Roman" w:eastAsia="Times New Roman" w:hAnsi="Times New Roman"/>
          <w:sz w:val="12"/>
          <w:szCs w:val="12"/>
          <w:color w:val="auto"/>
        </w:rPr>
        <w:t>" means the aggregate amount of all documented charges, fees, costs (including legal fees) and expenses whatsoever (with the only exception of the MOA Purchase Price) reasonably incurred and/or arising out of and/or in relation to:</w:t>
      </w:r>
    </w:p>
    <w:p>
      <w:pPr>
        <w:spacing w:after="0" w:line="123" w:lineRule="exact"/>
        <w:rPr>
          <w:sz w:val="20"/>
          <w:szCs w:val="20"/>
          <w:color w:val="auto"/>
        </w:rPr>
      </w:pPr>
    </w:p>
    <w:p>
      <w:pPr>
        <w:ind w:left="440" w:hanging="436"/>
        <w:spacing w:after="0"/>
        <w:tabs>
          <w:tab w:leader="none" w:pos="440"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taking delivery of the Vessel under the MOA;</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by the Owners to the Charterers under this Charter;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all hires, freights, pool income and other sums payable to or for the account of the Charterers in respect of the Vessel including (without limitation) all remuneration for salvage and towage services, demurrage and detention moneys, contributions in general average, compensation in respect of any requisition for hire, and damages and other payments (whether awarded by any court or arbitral tribunal or by agreement or otherwise) for breach, termination or variation of any contract for the operation, employment or use of the Vessel.</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xml:space="preserve">" means the account in the name of the Charterers (IBAN: </w:t>
      </w:r>
      <w:r>
        <w:rPr>
          <w:rFonts w:ascii="Times New Roman" w:cs="Times New Roman" w:eastAsia="Times New Roman" w:hAnsi="Times New Roman"/>
          <w:sz w:val="12"/>
          <w:szCs w:val="12"/>
          <w:b w:val="1"/>
          <w:bCs w:val="1"/>
          <w:color w:val="auto"/>
        </w:rPr>
        <w:t>NL73ABNA0139181636</w:t>
      </w:r>
      <w:r>
        <w:rPr>
          <w:rFonts w:ascii="Times New Roman" w:cs="Times New Roman" w:eastAsia="Times New Roman" w:hAnsi="Times New Roman"/>
          <w:sz w:val="12"/>
          <w:szCs w:val="12"/>
          <w:color w:val="auto"/>
        </w:rPr>
        <w:t>) opened with the Account Bank and subject to the Account Security acceptable to the Owners, and includes any sub-account thereof and such account which is designated by the Owners as the earnings account for the purposes of this Charter.</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person which arises out of an Environmental Incident which relates to any Environmental Law.</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Environmentally Sensitive Material from the Vessel; or</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from a vessel other than the Vessel and which involves a collision between the Vessel and such other vessel or some other incident of navigation or operation, in either case, in connection with which the Vessel is actually arrested, attached, detained or injuncted and/or the Vessel and/or the Owners and/or the Charterers and/or any Approved Manager and/or any operator or manager of the Vessel is at fault or otherwise liable to any legal action; or</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4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otherwise than from the Vessel and in connection with which the Vessel is actually arrested and/or where the Owners and/or the Charterers and/or any Approved Manager and/or any operator or manager of the Vessel is at fault or otherwise liable to any legal action.</w:t>
      </w:r>
    </w:p>
    <w:p>
      <w:pPr>
        <w:spacing w:after="0" w:line="10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law or regulation having the force of law applicable to the Vessel or the use and employment of the Vessel by the Owners and the Charterers relating to pollution or protection of the environment, to the carriage of Environmentally Sensitive Material or to actual releases of Environmentally Sensitive Material.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Permits</w:t>
      </w:r>
      <w:r>
        <w:rPr>
          <w:rFonts w:ascii="Times New Roman" w:cs="Times New Roman" w:eastAsia="Times New Roman" w:hAnsi="Times New Roman"/>
          <w:sz w:val="12"/>
          <w:szCs w:val="12"/>
          <w:color w:val="auto"/>
        </w:rPr>
        <w:t>" means any permit and other authorisation and the filing of any notification, report or assessment required under any Environmental Law for the operation of the Vessel.</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oil, oil products and any other substance (including any chemical, gas or other hazardous or noxious substance) which is polluting, toxic or hazardous.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ETS Mandate Letter</w:t>
      </w:r>
      <w:r>
        <w:rPr>
          <w:rFonts w:ascii="Times New Roman" w:cs="Times New Roman" w:eastAsia="Times New Roman" w:hAnsi="Times New Roman"/>
          <w:sz w:val="12"/>
          <w:szCs w:val="12"/>
          <w:color w:val="auto"/>
        </w:rPr>
        <w:t>" means the mandate letter in respect of the Vessel addressed to the relevant entities charged with administering compliance with the EU-ETS Regulations and duly executed by the Owners and the Charterers and the Approved Manager nominated by the Charterers, mandating the Approved Manager as nominated by the Charterers and approved by the Owners as the party required to comply with and be responsible for compliance with the EU-ETS Regulations in place of the Owners.</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15" w:name="page316"/>
    <w:bookmarkEnd w:id="31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EU-ETS Regulations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jc w:val="both"/>
        <w:ind w:left="440" w:hanging="434"/>
        <w:spacing w:after="0" w:line="265" w:lineRule="auto"/>
        <w:tabs>
          <w:tab w:leader="none" w:pos="440"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EU Emissions Trading Scheme (Directive 2003/87/EC establishing a system for greenhouse gas emission allowance trading within the Union and Decision (EU) 2015/1814 concerning the establishment and operation of a market stability reserve for the Union greenhouse gas emission trading system as amended by Directive (EU) 2023/959 of the European Parliament and of the Council of 10 May 2023) and the Commission Implementing Regulation (EU) 2023/2599 of 22 November 2023 as the same may be amended, supplemented, superseded or readopted from time to time (whether with or without modifications); and</w:t>
      </w:r>
    </w:p>
    <w:p>
      <w:pPr>
        <w:spacing w:after="0" w:line="118"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implementing the above Directive and/or Implementing Regulation.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 any facility agreement, security document, fee letter and any other document designated as such by the Finance Parties and the Owners, and which have been or may be (as the case may be) entered into between the Finance Parties and the Owners for the purpose of, among other things, financing or (as the case may be) refinancing all or any part of the Outstanding Principal.</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any bank or financial institution which is or will be party to a Finance Document (other than the Owners and other entities which may have agreed or be intended as debtors and/or obligors thereunder) and "</w:t>
      </w:r>
      <w:r>
        <w:rPr>
          <w:rFonts w:ascii="Times New Roman" w:cs="Times New Roman" w:eastAsia="Times New Roman" w:hAnsi="Times New Roman"/>
          <w:sz w:val="12"/>
          <w:szCs w:val="12"/>
          <w:b w:val="1"/>
          <w:bCs w:val="1"/>
          <w:color w:val="auto"/>
        </w:rPr>
        <w:t>Finance Parties</w:t>
      </w:r>
      <w:r>
        <w:rPr>
          <w:rFonts w:ascii="Times New Roman" w:cs="Times New Roman" w:eastAsia="Times New Roman" w:hAnsi="Times New Roman"/>
          <w:sz w:val="12"/>
          <w:szCs w:val="12"/>
          <w:color w:val="auto"/>
        </w:rPr>
        <w:t>" means two or more of them.</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respect of:</w:t>
      </w:r>
    </w:p>
    <w:p>
      <w:pPr>
        <w:spacing w:after="0" w:line="154" w:lineRule="exact"/>
        <w:rPr>
          <w:sz w:val="20"/>
          <w:szCs w:val="20"/>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lease or hire purchase contract which would, in accordance with GAAP, be treated as a balance sheet liability;</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hire purchase agreement) of a type not referred to in any other paragraph of this definition having the commercial effect of a borrowing;</w:t>
      </w:r>
    </w:p>
    <w:p>
      <w:pPr>
        <w:spacing w:after="0" w:line="78" w:lineRule="exact"/>
        <w:rPr>
          <w:rFonts w:ascii="Times New Roman" w:cs="Times New Roman" w:eastAsia="Times New Roman" w:hAnsi="Times New Roman"/>
          <w:sz w:val="12"/>
          <w:szCs w:val="12"/>
          <w:color w:val="auto"/>
        </w:rPr>
      </w:pPr>
    </w:p>
    <w:p>
      <w:pPr>
        <w:ind w:left="460" w:right="20" w:hanging="436"/>
        <w:spacing w:after="0" w:line="279" w:lineRule="auto"/>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39"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respect of a guarantee, indemnity, bond, standby or documentary letter of credit or any other instrument issued by a bank or financial institution; and</w:t>
      </w:r>
    </w:p>
    <w:p>
      <w:pPr>
        <w:spacing w:after="0" w:line="78"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0"/>
          <w:numId w:val="4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respect of any guarantee or indemnity for any of the items referred to in paragraphs (a) to (h) above.</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16" w:name="page317"/>
    <w:bookmarkEnd w:id="316"/>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jc w:val="both"/>
        <w:ind w:left="20"/>
        <w:spacing w:after="0" w:line="25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Institution</w:t>
      </w:r>
      <w:r>
        <w:rPr>
          <w:rFonts w:ascii="Times New Roman" w:cs="Times New Roman" w:eastAsia="Times New Roman" w:hAnsi="Times New Roman"/>
          <w:sz w:val="12"/>
          <w:szCs w:val="12"/>
          <w:color w:val="auto"/>
        </w:rPr>
        <w:t>" means any bank or financial institution, trust, fund, leasing company or other entity which is regularly engaged in or established for the purpose of making, purchasing or investing in loans, securities or other financial assets.</w:t>
      </w:r>
    </w:p>
    <w:p>
      <w:pPr>
        <w:spacing w:after="0" w:line="1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Fixed Hire</w:t>
      </w:r>
      <w:r>
        <w:rPr>
          <w:rFonts w:ascii="Times New Roman" w:cs="Times New Roman" w:eastAsia="Times New Roman" w:hAnsi="Times New Roman"/>
          <w:sz w:val="12"/>
          <w:szCs w:val="12"/>
          <w:color w:val="auto"/>
        </w:rPr>
        <w:t>" means in respect of each Hire Payment Date, an amount of US$862,500 (Dollars Eight Hundred Sixty Two Thousand Five Hundred Only).</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"GAAP" </w:t>
      </w:r>
      <w:r>
        <w:rPr>
          <w:rFonts w:ascii="Times New Roman" w:cs="Times New Roman" w:eastAsia="Times New Roman" w:hAnsi="Times New Roman"/>
          <w:sz w:val="12"/>
          <w:szCs w:val="12"/>
          <w:color w:val="auto"/>
        </w:rPr>
        <w:t>means generally accepted accounting principles in the United States or the International Financial Reporting Standards (IFRS), issued by the International Accounting Standards Board, in either case as in effect from</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time to time.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w:t>
      </w:r>
      <w:r>
        <w:rPr>
          <w:rFonts w:ascii="Times New Roman" w:cs="Times New Roman" w:eastAsia="Times New Roman" w:hAnsi="Times New Roman"/>
          <w:sz w:val="12"/>
          <w:szCs w:val="12"/>
          <w:color w:val="auto"/>
        </w:rPr>
        <w:t>" means, in relation to each Hire Period, the aggregate amount of (A) the Fixed Hire and (B) the Variable Hire for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Payment Date</w:t>
      </w:r>
      <w:r>
        <w:rPr>
          <w:rFonts w:ascii="Times New Roman" w:cs="Times New Roman" w:eastAsia="Times New Roman" w:hAnsi="Times New Roman"/>
          <w:sz w:val="12"/>
          <w:szCs w:val="12"/>
          <w:color w:val="auto"/>
        </w:rPr>
        <w:t>" means in relation to the Hire for each Hire Period, the last day of that Hire Period.</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Hire Period</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first Hire Period, the period commencing on the MOA Payment Date and ending on the last day of three (3) months of the Actual Delivery Date; and</w:t>
      </w:r>
    </w:p>
    <w:p>
      <w:pPr>
        <w:spacing w:after="0" w:line="150" w:lineRule="exact"/>
        <w:rPr>
          <w:rFonts w:ascii="Times New Roman" w:cs="Times New Roman" w:eastAsia="Times New Roman" w:hAnsi="Times New Roman"/>
          <w:sz w:val="12"/>
          <w:szCs w:val="12"/>
          <w:color w:val="auto"/>
        </w:rPr>
      </w:pPr>
    </w:p>
    <w:p>
      <w:pPr>
        <w:ind w:left="440" w:hanging="425"/>
        <w:spacing w:after="0" w:line="279" w:lineRule="auto"/>
        <w:tabs>
          <w:tab w:leader="none" w:pos="440" w:val="left"/>
        </w:tabs>
        <w:numPr>
          <w:ilvl w:val="0"/>
          <w:numId w:val="4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each and every successive Hire Period, each and every consecutive three (3)-month period during the Charter Period commencing forthwith upon the expiration of the immediately previous Hire Period, provided that the last and final Hire Period shall end on the last day of the Charter Period.</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respect of which it is a Subsidiary.</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Hong Kong</w:t>
      </w:r>
      <w:r>
        <w:rPr>
          <w:rFonts w:ascii="Times New Roman" w:cs="Times New Roman" w:eastAsia="Times New Roman" w:hAnsi="Times New Roman"/>
          <w:sz w:val="12"/>
          <w:szCs w:val="12"/>
          <w:color w:val="auto"/>
        </w:rPr>
        <w:t>" means the Hong Kong Special Administrative Region of The People's Republic of China.</w:t>
      </w:r>
    </w:p>
    <w:p>
      <w:pPr>
        <w:spacing w:after="0" w:line="150"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IAPPC</w:t>
      </w:r>
      <w:r>
        <w:rPr>
          <w:rFonts w:ascii="Times New Roman" w:cs="Times New Roman" w:eastAsia="Times New Roman" w:hAnsi="Times New Roman"/>
          <w:sz w:val="12"/>
          <w:szCs w:val="12"/>
          <w:color w:val="auto"/>
        </w:rPr>
        <w:t>" means a valid international air pollution prevention certificate for the Vessel issued under Annex VI (Regulations for the Prevention of Air Pollution from Ships) to the International Convention for the Prevention of Pollution from Ships 1973 (as modified in 1978 and 1997).</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Indemnitee</w:t>
      </w:r>
      <w:r>
        <w:rPr>
          <w:rFonts w:ascii="Times New Roman" w:cs="Times New Roman" w:eastAsia="Times New Roman" w:hAnsi="Times New Roman"/>
          <w:sz w:val="12"/>
          <w:szCs w:val="12"/>
          <w:color w:val="auto"/>
        </w:rPr>
        <w:t>" has the meaning given to such term in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Sellers</w:t>
      </w:r>
      <w:r>
        <w:rPr>
          <w:rFonts w:ascii="Times New Roman" w:cs="Times New Roman" w:eastAsia="Times New Roman" w:hAnsi="Times New Roman"/>
          <w:sz w:val="12"/>
          <w:szCs w:val="12"/>
          <w:color w:val="auto"/>
        </w:rPr>
        <w:t>" means Minsheng Zhi Ming (Tianjin) Shipping Leasing Company Limited, a company incorporated and existing under the laws of the People’s Republic of China and having its registered office at Room 202, No.6262, Australia Road, Dongjiang Free Trade Pilot Zone, Tianjin (DJBS Free Trade Zone Branch No. 2518), China.</w:t>
      </w:r>
    </w:p>
    <w:p>
      <w:pPr>
        <w:spacing w:after="0" w:line="103"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w:t>
      </w:r>
      <w:r>
        <w:rPr>
          <w:rFonts w:ascii="Times New Roman" w:cs="Times New Roman" w:eastAsia="Times New Roman" w:hAnsi="Times New Roman"/>
          <w:sz w:val="12"/>
          <w:szCs w:val="12"/>
          <w:color w:val="auto"/>
        </w:rPr>
        <w:t>" means the time charterparty dated 15 December 2020 in respect of the Vessel with the Initial Sub-Charterers as charterers, as amened, supplemented and novated from time to time, in particular, pursuant to the Initial Sub-Charter Novation Agreement.</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 Novation Agreement</w:t>
      </w:r>
      <w:r>
        <w:rPr>
          <w:rFonts w:ascii="Times New Roman" w:cs="Times New Roman" w:eastAsia="Times New Roman" w:hAnsi="Times New Roman"/>
          <w:sz w:val="12"/>
          <w:szCs w:val="12"/>
          <w:color w:val="auto"/>
        </w:rPr>
        <w:t>" means the novation agreement dated 29 November 2024 to the Initial Sub-Charter entered into by and between the Initial Sub-Charterers as charterers, the Initial Sellers as original owners and the Charterers as new owners, whereby subject and pursuant to the terms and conditions therein contained, with effect from the time and date of delivery of the Vessel by the Initial Sellers to the Charterers (i.e., 6 December 2024) under a memorandum of agreement dated 29 November 2024, all the rights and obligations of the Initial Sellers (as owners) under the Initial Sub-Charter have been novated to and assumed by the Charterers.</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Sub-Charterers</w:t>
      </w:r>
      <w:r>
        <w:rPr>
          <w:rFonts w:ascii="Times New Roman" w:cs="Times New Roman" w:eastAsia="Times New Roman" w:hAnsi="Times New Roman"/>
          <w:sz w:val="12"/>
          <w:szCs w:val="12"/>
          <w:color w:val="auto"/>
        </w:rPr>
        <w:t>" means Hapag-Lloyd Aktiengesellschaft of Ballindamm 25, Hamburg, Germany.</w:t>
      </w:r>
    </w:p>
    <w:p>
      <w:pPr>
        <w:spacing w:after="0" w:line="15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17" w:name="page318"/>
    <w:bookmarkEnd w:id="317"/>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jc w:val="both"/>
        <w:ind w:left="5"/>
        <w:spacing w:after="0" w:line="25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Innocent Owners' Interest Insurances</w:t>
      </w:r>
      <w:r>
        <w:rPr>
          <w:rFonts w:ascii="Times New Roman" w:cs="Times New Roman" w:eastAsia="Times New Roman" w:hAnsi="Times New Roman"/>
          <w:sz w:val="12"/>
          <w:szCs w:val="12"/>
          <w:color w:val="auto"/>
        </w:rPr>
        <w:t>" means all policies and contracts of innocent owners' interest insurance and innocent owners' additional perils insurance from time to time taken out by the Owners in relation to the Vessel.</w:t>
      </w:r>
    </w:p>
    <w:p>
      <w:pPr>
        <w:spacing w:after="0" w:line="119" w:lineRule="exact"/>
        <w:rPr>
          <w:sz w:val="20"/>
          <w:szCs w:val="20"/>
          <w:color w:val="auto"/>
        </w:rPr>
      </w:pPr>
    </w:p>
    <w:p>
      <w:pPr>
        <w:jc w:val="both"/>
        <w:ind w:left="5"/>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all policies and contracts of insurance which are from time to time taken out or entered into by the Charterers in respect of the Vessel or her earnings or otherwise in connection with the Vessel or her earnings.</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"Interest Rate" </w:t>
      </w:r>
      <w:r>
        <w:rPr>
          <w:rFonts w:ascii="Times New Roman" w:cs="Times New Roman" w:eastAsia="Times New Roman" w:hAnsi="Times New Roman"/>
          <w:sz w:val="12"/>
          <w:szCs w:val="12"/>
          <w:color w:val="auto"/>
        </w:rPr>
        <w:t>means the rate of interest applicable for each Hire Period and any other period for which an interest rate is to be determined is the percentage rate per annum which is the aggregate of:</w:t>
      </w:r>
    </w:p>
    <w:p>
      <w:pPr>
        <w:spacing w:after="0" w:line="154" w:lineRule="exact"/>
        <w:rPr>
          <w:sz w:val="20"/>
          <w:szCs w:val="20"/>
          <w:color w:val="auto"/>
        </w:rPr>
      </w:pPr>
    </w:p>
    <w:p>
      <w:pPr>
        <w:ind w:left="385" w:hanging="376"/>
        <w:spacing w:after="0"/>
        <w:tabs>
          <w:tab w:leader="none" w:pos="385"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Reference Rate; and</w:t>
      </w:r>
    </w:p>
    <w:p>
      <w:pPr>
        <w:spacing w:after="0" w:line="150" w:lineRule="exact"/>
        <w:rPr>
          <w:rFonts w:ascii="Times New Roman" w:cs="Times New Roman" w:eastAsia="Times New Roman" w:hAnsi="Times New Roman"/>
          <w:sz w:val="12"/>
          <w:szCs w:val="12"/>
          <w:color w:val="auto"/>
        </w:rPr>
      </w:pPr>
    </w:p>
    <w:p>
      <w:pPr>
        <w:ind w:left="385" w:hanging="376"/>
        <w:spacing w:after="0"/>
        <w:tabs>
          <w:tab w:leader="none" w:pos="385" w:val="left"/>
        </w:tabs>
        <w:numPr>
          <w:ilvl w:val="0"/>
          <w:numId w:val="4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Interpolated Term SOFR</w:t>
      </w:r>
      <w:r>
        <w:rPr>
          <w:rFonts w:ascii="Times New Roman" w:cs="Times New Roman" w:eastAsia="Times New Roman" w:hAnsi="Times New Roman"/>
          <w:sz w:val="12"/>
          <w:szCs w:val="12"/>
          <w:color w:val="auto"/>
        </w:rPr>
        <w:t>" means, in relation to any Outstanding Principal, the rate (rounded to the same number of decimal places as Term SOFR) which results from interpolating on a linear basis between:</w:t>
      </w:r>
    </w:p>
    <w:p>
      <w:pPr>
        <w:spacing w:after="0" w:line="154" w:lineRule="exact"/>
        <w:rPr>
          <w:sz w:val="20"/>
          <w:szCs w:val="20"/>
          <w:color w:val="auto"/>
        </w:rPr>
      </w:pPr>
    </w:p>
    <w:p>
      <w:pPr>
        <w:ind w:left="345" w:hanging="343"/>
        <w:spacing w:after="0"/>
        <w:tabs>
          <w:tab w:leader="none" w:pos="345"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longest period (for which Term SOFR is available) which is less than three (3) months; or</w:t>
      </w:r>
    </w:p>
    <w:p>
      <w:pPr>
        <w:spacing w:after="0" w:line="150" w:lineRule="exact"/>
        <w:rPr>
          <w:rFonts w:ascii="Times New Roman" w:cs="Times New Roman" w:eastAsia="Times New Roman" w:hAnsi="Times New Roman"/>
          <w:sz w:val="12"/>
          <w:szCs w:val="12"/>
          <w:color w:val="auto"/>
        </w:rPr>
      </w:pPr>
    </w:p>
    <w:p>
      <w:pPr>
        <w:ind w:left="925" w:hanging="502"/>
        <w:spacing w:after="0"/>
        <w:tabs>
          <w:tab w:leader="none" w:pos="925" w:val="left"/>
        </w:tabs>
        <w:numPr>
          <w:ilvl w:val="1"/>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such Term SOFR is available for a period less than three (3) months, SOFR for the day which is three (3) US Government Securities Business Days before the Quotation Day; and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4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the shortest period (for which Term SOFR is available) which exceeds three (3) months.</w:t>
      </w:r>
    </w:p>
    <w:p>
      <w:pPr>
        <w:spacing w:after="0" w:line="146" w:lineRule="exact"/>
        <w:rPr>
          <w:sz w:val="20"/>
          <w:szCs w:val="20"/>
          <w:color w:val="auto"/>
        </w:rPr>
      </w:pPr>
    </w:p>
    <w:p>
      <w:pPr>
        <w:jc w:val="both"/>
        <w:ind w:left="5"/>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(including the guidelines on its implementation), adopted by the International Maritime Organisation Assembly as Resolutions A.741 (18) (as amended by MSC 104 (73)) and A.913(22) (superseding Resolution A.788 (19)), as the same may be amended, supplemented or superseded from time to time (and the terms "safety management system", "Safety Management Certificate" and "Document of Compliance" have the same meanings as are given to them in the ISM Code).</w:t>
      </w:r>
    </w:p>
    <w:p>
      <w:pPr>
        <w:spacing w:after="0" w:line="1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"ISPS Code" </w:t>
      </w:r>
      <w:r>
        <w:rPr>
          <w:rFonts w:ascii="Times New Roman" w:cs="Times New Roman" w:eastAsia="Times New Roman" w:hAnsi="Times New Roman"/>
          <w:sz w:val="12"/>
          <w:szCs w:val="12"/>
          <w:color w:val="auto"/>
        </w:rPr>
        <w:t>means the International Ship and Port Facility Security Code adopted by the International Maritime Organisation (as the same may be amended, supplemented or superseded from time to time).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"ISSC" </w:t>
      </w:r>
      <w:r>
        <w:rPr>
          <w:rFonts w:ascii="Times New Roman" w:cs="Times New Roman" w:eastAsia="Times New Roman" w:hAnsi="Times New Roman"/>
          <w:sz w:val="12"/>
          <w:szCs w:val="12"/>
          <w:color w:val="auto"/>
        </w:rPr>
        <w:t>means a valid and current International Ship Security Certificate issued under the ISPS Code.</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Opinions</w:t>
      </w:r>
      <w:r>
        <w:rPr>
          <w:rFonts w:ascii="Times New Roman" w:cs="Times New Roman" w:eastAsia="Times New Roman" w:hAnsi="Times New Roman"/>
          <w:sz w:val="12"/>
          <w:szCs w:val="12"/>
          <w:color w:val="auto"/>
        </w:rPr>
        <w:t>" means the legal opinions provided to the Owners under Clause 36.(b)(vi)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right="20" w:hanging="425"/>
        <w:spacing w:after="0" w:line="279" w:lineRule="auto"/>
        <w:tabs>
          <w:tab w:leader="none" w:pos="425"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nonpayment of UK stamp duty may be void and defences of set-off or counterclaim;</w:t>
      </w:r>
    </w:p>
    <w:p>
      <w:pPr>
        <w:spacing w:after="0" w:line="111"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4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50"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318" w:name="page319"/>
    <w:bookmarkEnd w:id="318"/>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25" w:hanging="425"/>
        <w:spacing w:after="0"/>
        <w:tabs>
          <w:tab w:leader="none" w:pos="425" w:val="left"/>
        </w:tabs>
        <w:numPr>
          <w:ilvl w:val="0"/>
          <w:numId w:val="4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the Legal Opinions.</w:t>
      </w:r>
    </w:p>
    <w:p>
      <w:pPr>
        <w:spacing w:after="0" w:line="1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b w:val="1"/>
          <w:bCs w:val="1"/>
          <w:color w:val="auto"/>
        </w:rPr>
        <w:t xml:space="preserve">"Manager's Undertakings" </w:t>
      </w:r>
      <w:r>
        <w:rPr>
          <w:rFonts w:ascii="Times New Roman" w:cs="Times New Roman" w:eastAsia="Times New Roman" w:hAnsi="Times New Roman"/>
          <w:sz w:val="12"/>
          <w:szCs w:val="12"/>
          <w:color w:val="auto"/>
        </w:rPr>
        <w:t>means the deed of undertaking executed or to be executed by each Approved Manager in favour of the Owners and the Security Trustee in the Agreed Form.</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two point five per cent. (2.5%) per annum.</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the Market Value determined pursuant to Clause 4832..1(bb)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a material adverse effect on:</w:t>
      </w:r>
    </w:p>
    <w:p>
      <w:pPr>
        <w:spacing w:after="0" w:line="154" w:lineRule="exact"/>
        <w:rPr>
          <w:sz w:val="20"/>
          <w:szCs w:val="20"/>
          <w:color w:val="auto"/>
        </w:rPr>
      </w:pPr>
    </w:p>
    <w:p>
      <w:pPr>
        <w:ind w:left="445" w:hanging="436"/>
        <w:spacing w:after="0"/>
        <w:tabs>
          <w:tab w:leader="none" w:pos="445"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financial condition of the Charter Group taken as a whole; or</w:t>
      </w:r>
    </w:p>
    <w:p>
      <w:pPr>
        <w:spacing w:after="0" w:line="150"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Obligor to perform its or his obligations under the Transaction Documents to which it is a party; or</w:t>
      </w:r>
    </w:p>
    <w:p>
      <w:pPr>
        <w:spacing w:after="0" w:line="150" w:lineRule="exact"/>
        <w:rPr>
          <w:rFonts w:ascii="Times New Roman" w:cs="Times New Roman" w:eastAsia="Times New Roman" w:hAnsi="Times New Roman"/>
          <w:sz w:val="12"/>
          <w:szCs w:val="12"/>
          <w:color w:val="auto"/>
        </w:rPr>
      </w:pPr>
    </w:p>
    <w:p>
      <w:pPr>
        <w:ind w:left="5" w:right="640" w:firstLine="4"/>
        <w:spacing w:after="0" w:line="497" w:lineRule="auto"/>
        <w:tabs>
          <w:tab w:leader="none" w:pos="444" w:val="left"/>
        </w:tabs>
        <w:numPr>
          <w:ilvl w:val="0"/>
          <w:numId w:val="4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effectiveness or ranking of any Security Interest granted pursuant to any of the Transaction Documents or the rights or remedies of the Owners or the Security Trustee under any Transaction Document.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has the meaning given to such term in Clause 34 (</w:t>
      </w:r>
      <w:r>
        <w:rPr>
          <w:rFonts w:ascii="Times New Roman" w:cs="Times New Roman" w:eastAsia="Times New Roman" w:hAnsi="Times New Roman"/>
          <w:sz w:val="12"/>
          <w:szCs w:val="12"/>
          <w:i w:val="1"/>
          <w:iCs w:val="1"/>
          <w:color w:val="auto"/>
        </w:rPr>
        <w:t>Background</w:t>
      </w:r>
      <w:r>
        <w:rPr>
          <w:rFonts w:ascii="Times New Roman" w:cs="Times New Roman" w:eastAsia="Times New Roman" w:hAnsi="Times New Roman"/>
          <w:sz w:val="12"/>
          <w:szCs w:val="12"/>
          <w:color w:val="auto"/>
        </w:rPr>
        <w:t>).</w:t>
      </w:r>
    </w:p>
    <w:p>
      <w:pPr>
        <w:ind w:left="5" w:right="80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MOA Payment Date</w:t>
      </w:r>
      <w:r>
        <w:rPr>
          <w:rFonts w:ascii="Times New Roman" w:cs="Times New Roman" w:eastAsia="Times New Roman" w:hAnsi="Times New Roman"/>
          <w:sz w:val="12"/>
          <w:szCs w:val="12"/>
          <w:color w:val="auto"/>
        </w:rPr>
        <w:t>" means the date on which the Owners remit the MOA Purchase Price to the client account of the Escrow Agent (as defined in the MOA) pursuant to Clause 3.2 (</w:t>
      </w:r>
      <w:r>
        <w:rPr>
          <w:rFonts w:ascii="Times New Roman" w:cs="Times New Roman" w:eastAsia="Times New Roman" w:hAnsi="Times New Roman"/>
          <w:sz w:val="12"/>
          <w:szCs w:val="12"/>
          <w:i w:val="1"/>
          <w:iCs w:val="1"/>
          <w:color w:val="auto"/>
        </w:rPr>
        <w:t>Preposition</w:t>
      </w:r>
      <w:r>
        <w:rPr>
          <w:rFonts w:ascii="Times New Roman" w:cs="Times New Roman" w:eastAsia="Times New Roman" w:hAnsi="Times New Roman"/>
          <w:sz w:val="12"/>
          <w:szCs w:val="12"/>
          <w:color w:val="auto"/>
        </w:rPr>
        <w:t>) of the MOA. "</w:t>
      </w:r>
      <w:r>
        <w:rPr>
          <w:rFonts w:ascii="Times New Roman" w:cs="Times New Roman" w:eastAsia="Times New Roman" w:hAnsi="Times New Roman"/>
          <w:sz w:val="12"/>
          <w:szCs w:val="12"/>
          <w:b w:val="1"/>
          <w:bCs w:val="1"/>
          <w:color w:val="auto"/>
        </w:rPr>
        <w:t>MOA Purchase Price</w:t>
      </w:r>
      <w:r>
        <w:rPr>
          <w:rFonts w:ascii="Times New Roman" w:cs="Times New Roman" w:eastAsia="Times New Roman" w:hAnsi="Times New Roman"/>
          <w:sz w:val="12"/>
          <w:szCs w:val="12"/>
          <w:color w:val="auto"/>
        </w:rPr>
        <w:t>" means the purchase price as stated in clause 1 (</w:t>
      </w:r>
      <w:r>
        <w:rPr>
          <w:rFonts w:ascii="Times New Roman" w:cs="Times New Roman" w:eastAsia="Times New Roman" w:hAnsi="Times New Roman"/>
          <w:sz w:val="12"/>
          <w:szCs w:val="12"/>
          <w:i w:val="1"/>
          <w:iCs w:val="1"/>
          <w:color w:val="auto"/>
        </w:rPr>
        <w:t>Purchase price</w:t>
      </w:r>
      <w:r>
        <w:rPr>
          <w:rFonts w:ascii="Times New Roman" w:cs="Times New Roman" w:eastAsia="Times New Roman" w:hAnsi="Times New Roman"/>
          <w:sz w:val="12"/>
          <w:szCs w:val="12"/>
          <w:color w:val="auto"/>
        </w:rPr>
        <w:t>) of the MOA, being US$44,500,000 (Dollars Forty Four Million Five Hundred Thousand Only).</w:t>
      </w:r>
    </w:p>
    <w:p>
      <w:pPr>
        <w:spacing w:after="0" w:line="1" w:lineRule="exact"/>
        <w:rPr>
          <w:sz w:val="20"/>
          <w:szCs w:val="20"/>
          <w:color w:val="auto"/>
        </w:rPr>
      </w:pPr>
    </w:p>
    <w:p>
      <w:pPr>
        <w:ind w:left="5"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a period starting on one day in a calendar month and ending on the numerically corresponding day in the next calendar month, except that if there is no numerically corresponding day in the calendar month in which that period is to end, that period shall end on the last day in that calendar month.</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Mortgagees' Interest Insurances</w:t>
      </w:r>
      <w:r>
        <w:rPr>
          <w:rFonts w:ascii="Times New Roman" w:cs="Times New Roman" w:eastAsia="Times New Roman" w:hAnsi="Times New Roman"/>
          <w:sz w:val="12"/>
          <w:szCs w:val="12"/>
          <w:color w:val="auto"/>
        </w:rPr>
        <w:t>" means all policies and contracts of mortgagees' interest insurance, mortgagees’ additional perils insurance taken out by any Finance Party in relation to the Vessel.</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Obligors</w:t>
      </w:r>
      <w:r>
        <w:rPr>
          <w:rFonts w:ascii="Times New Roman" w:cs="Times New Roman" w:eastAsia="Times New Roman" w:hAnsi="Times New Roman"/>
          <w:sz w:val="12"/>
          <w:szCs w:val="12"/>
          <w:color w:val="auto"/>
        </w:rPr>
        <w:t>" means the Charterers, the Charter Guarantor and the Related Charterers.</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Principal</w:t>
      </w:r>
      <w:r>
        <w:rPr>
          <w:rFonts w:ascii="Times New Roman" w:cs="Times New Roman" w:eastAsia="Times New Roman" w:hAnsi="Times New Roman"/>
          <w:sz w:val="12"/>
          <w:szCs w:val="12"/>
          <w:color w:val="auto"/>
        </w:rPr>
        <w:t>" means an amount equal to the MOA Purchase Price, being US$44,500,000 (Dollars Forty Four Million Five Hundred Thousand Only).</w:t>
      </w:r>
    </w:p>
    <w:p>
      <w:pPr>
        <w:spacing w:after="0" w:line="150" w:lineRule="exact"/>
        <w:rPr>
          <w:sz w:val="20"/>
          <w:szCs w:val="20"/>
          <w:color w:val="auto"/>
        </w:rPr>
      </w:pPr>
    </w:p>
    <w:p>
      <w:pPr>
        <w:ind w:left="5"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Outstanding Principal</w:t>
      </w:r>
      <w:r>
        <w:rPr>
          <w:rFonts w:ascii="Times New Roman" w:cs="Times New Roman" w:eastAsia="Times New Roman" w:hAnsi="Times New Roman"/>
          <w:sz w:val="12"/>
          <w:szCs w:val="12"/>
          <w:color w:val="auto"/>
        </w:rPr>
        <w:t>" means, at any relevant time during the Agreement Term, an amount equal to the Original Principal as may be reduced by payment of Fixed Hire in accordance with Clause 40(a)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and prepayment of the Purchase Obligation Price in accordance with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Owners' Account</w:t>
      </w:r>
      <w:r>
        <w:rPr>
          <w:rFonts w:ascii="Times New Roman" w:cs="Times New Roman" w:eastAsia="Times New Roman" w:hAnsi="Times New Roman"/>
          <w:sz w:val="12"/>
          <w:szCs w:val="12"/>
          <w:color w:val="auto"/>
        </w:rPr>
        <w:t>" means, subject to Clause 40(d) (</w:t>
      </w:r>
      <w:r>
        <w:rPr>
          <w:rFonts w:ascii="Times New Roman" w:cs="Times New Roman" w:eastAsia="Times New Roman" w:hAnsi="Times New Roman"/>
          <w:sz w:val="12"/>
          <w:szCs w:val="12"/>
          <w:i w:val="1"/>
          <w:iCs w:val="1"/>
          <w:color w:val="auto"/>
        </w:rPr>
        <w:t>Payment account information</w:t>
      </w:r>
      <w:r>
        <w:rPr>
          <w:rFonts w:ascii="Times New Roman" w:cs="Times New Roman" w:eastAsia="Times New Roman" w:hAnsi="Times New Roman"/>
          <w:sz w:val="12"/>
          <w:szCs w:val="12"/>
          <w:color w:val="auto"/>
        </w:rPr>
        <w:t>), the Owner’s bank account described in Box 26 (</w:t>
      </w:r>
      <w:r>
        <w:rPr>
          <w:rFonts w:ascii="Times New Roman" w:cs="Times New Roman" w:eastAsia="Times New Roman" w:hAnsi="Times New Roman"/>
          <w:sz w:val="12"/>
          <w:szCs w:val="12"/>
          <w:i w:val="1"/>
          <w:iCs w:val="1"/>
          <w:color w:val="auto"/>
        </w:rPr>
        <w:t>Place of payment; also state beneficiary and bank account</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each of the Owners and the Charterers.</w:t>
      </w:r>
    </w:p>
    <w:p>
      <w:pPr>
        <w:spacing w:after="0" w:line="150" w:lineRule="exact"/>
        <w:rPr>
          <w:sz w:val="20"/>
          <w:szCs w:val="20"/>
          <w:color w:val="auto"/>
        </w:rPr>
      </w:pPr>
    </w:p>
    <w:p>
      <w:pPr>
        <w:ind w:left="5"/>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"Perfection Requirements" </w:t>
      </w:r>
      <w:r>
        <w:rPr>
          <w:rFonts w:ascii="Times New Roman" w:cs="Times New Roman" w:eastAsia="Times New Roman" w:hAnsi="Times New Roman"/>
          <w:sz w:val="12"/>
          <w:szCs w:val="12"/>
          <w:color w:val="auto"/>
        </w:rPr>
        <w:t>means any authorisation, consent, approval, resolution, licence, exemption, filing, notarisation, lodgement or registration for the relevant Transaction Documents set out as perfection requirements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(howsoever described) for such</w:t>
      </w:r>
    </w:p>
    <w:p>
      <w:pPr>
        <w:spacing w:after="0" w:line="107"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319" w:name="page320"/>
    <w:bookmarkEnd w:id="319"/>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20"/>
        <w:spacing w:after="0"/>
        <w:rPr>
          <w:sz w:val="20"/>
          <w:szCs w:val="20"/>
          <w:color w:val="auto"/>
        </w:rPr>
      </w:pPr>
      <w:r>
        <w:rPr>
          <w:rFonts w:ascii="Times New Roman" w:cs="Times New Roman" w:eastAsia="Times New Roman" w:hAnsi="Times New Roman"/>
          <w:sz w:val="12"/>
          <w:szCs w:val="12"/>
          <w:color w:val="auto"/>
        </w:rPr>
        <w:t>Transaction Documents in any legal opinion referred to under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w:t>
      </w:r>
    </w:p>
    <w:p>
      <w:pPr>
        <w:spacing w:after="0" w:line="134"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1</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Protocol of 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4"/>
        <w:spacing w:after="0"/>
        <w:tabs>
          <w:tab w:leader="none" w:pos="44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pursuant to any Finance Document or otherwise created with the prior written consent of the Owners;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unpaid master's, officer's and crew's wages in accordance with usual maritime practice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salvage;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for master's disbursements incurred in the ordinary course of trading and are discharged within thirty (30) days;</w:t>
      </w:r>
    </w:p>
    <w:p>
      <w:pPr>
        <w:spacing w:after="0" w:line="150"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(i) by operation of law or (ii) otherwise in the ordinary course of operation, repair or maintenance of the Vessel and not as a result of any default or omission of any Obligor not exceeding an aggregate amount of US$1,500,000 (Dollars One Million Five Hundred Thousand); or</w:t>
      </w:r>
    </w:p>
    <w:p>
      <w:pPr>
        <w:spacing w:after="0" w:line="111" w:lineRule="exact"/>
        <w:rPr>
          <w:rFonts w:ascii="Times New Roman" w:cs="Times New Roman" w:eastAsia="Times New Roman" w:hAnsi="Times New Roman"/>
          <w:sz w:val="12"/>
          <w:szCs w:val="12"/>
          <w:color w:val="auto"/>
        </w:rPr>
      </w:pPr>
    </w:p>
    <w:p>
      <w:pPr>
        <w:ind w:left="440" w:hanging="434"/>
        <w:spacing w:after="0" w:line="279" w:lineRule="auto"/>
        <w:tabs>
          <w:tab w:leader="none" w:pos="440" w:val="left"/>
        </w:tabs>
        <w:numPr>
          <w:ilvl w:val="0"/>
          <w:numId w:val="4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Interest created in favour of a plaintiff or defendant in any action of the court or tribunal before whom such action is brought as security for costs and expenses where the Owners are prosecuting or defending such action in good faith by appropriate steps.</w:t>
      </w:r>
    </w:p>
    <w:p>
      <w:pPr>
        <w:spacing w:after="0" w:line="107" w:lineRule="exact"/>
        <w:rPr>
          <w:sz w:val="20"/>
          <w:szCs w:val="20"/>
          <w:color w:val="auto"/>
        </w:rPr>
      </w:pPr>
    </w:p>
    <w:p>
      <w:pPr>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Termination Event</w:t>
      </w:r>
      <w:r>
        <w:rPr>
          <w:rFonts w:ascii="Times New Roman" w:cs="Times New Roman" w:eastAsia="Times New Roman" w:hAnsi="Times New Roman"/>
          <w:sz w:val="12"/>
          <w:szCs w:val="12"/>
          <w:color w:val="auto"/>
        </w:rPr>
        <w:t>" means, an event or circumstance specified in Clause 49 (</w:t>
      </w:r>
      <w:r>
        <w:rPr>
          <w:rFonts w:ascii="Times New Roman" w:cs="Times New Roman" w:eastAsia="Times New Roman" w:hAnsi="Times New Roman"/>
          <w:sz w:val="12"/>
          <w:szCs w:val="12"/>
          <w:i w:val="1"/>
          <w:iCs w:val="1"/>
          <w:color w:val="auto"/>
        </w:rPr>
        <w:t>Termination Event</w:t>
      </w:r>
      <w:r>
        <w:rPr>
          <w:rFonts w:ascii="Times New Roman" w:cs="Times New Roman" w:eastAsia="Times New Roman" w:hAnsi="Times New Roman"/>
          <w:sz w:val="12"/>
          <w:szCs w:val="12"/>
          <w:color w:val="auto"/>
        </w:rPr>
        <w:t>) which would, with the expiry of any applicable grace period, the giving of any notice, the lapse of time, a determination under the Transaction Documents or any combination of the foregoing, be a Termination Event.</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PRC</w:t>
      </w:r>
      <w:r>
        <w:rPr>
          <w:rFonts w:ascii="Times New Roman" w:cs="Times New Roman" w:eastAsia="Times New Roman" w:hAnsi="Times New Roman"/>
          <w:sz w:val="12"/>
          <w:szCs w:val="12"/>
          <w:color w:val="auto"/>
        </w:rPr>
        <w:t>" means the People's Republic of China.</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Obligation Price</w:t>
      </w:r>
      <w:r>
        <w:rPr>
          <w:rFonts w:ascii="Times New Roman" w:cs="Times New Roman" w:eastAsia="Times New Roman" w:hAnsi="Times New Roman"/>
          <w:sz w:val="12"/>
          <w:szCs w:val="12"/>
          <w:color w:val="auto"/>
        </w:rPr>
        <w:t>" means the amount due and payable by the Charterers to the Owners pursuant to paragraph (c)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an amount of US$10,000,000 (Dollars Ten Million only).</w:t>
      </w:r>
    </w:p>
    <w:p>
      <w:pPr>
        <w:spacing w:after="0" w:line="150" w:lineRule="exact"/>
        <w:rPr>
          <w:sz w:val="20"/>
          <w:szCs w:val="20"/>
          <w:color w:val="auto"/>
        </w:rPr>
      </w:pPr>
    </w:p>
    <w:p>
      <w:pPr>
        <w:ind w:left="20" w:right="20"/>
        <w:spacing w:after="0" w:line="29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Date</w:t>
      </w:r>
      <w:r>
        <w:rPr>
          <w:rFonts w:ascii="Times New Roman" w:cs="Times New Roman" w:eastAsia="Times New Roman" w:hAnsi="Times New Roman"/>
          <w:sz w:val="12"/>
          <w:szCs w:val="12"/>
          <w:color w:val="auto"/>
        </w:rPr>
        <w:t>" means any Hire Payment Date as specified in the Purchase Option Notice served in accordance with paragraph (a)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which shall be a Business Day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 has the meaning given to such term in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Fee</w:t>
      </w:r>
      <w:r>
        <w:rPr>
          <w:rFonts w:ascii="Times New Roman" w:cs="Times New Roman" w:eastAsia="Times New Roman" w:hAnsi="Times New Roman"/>
          <w:sz w:val="12"/>
          <w:szCs w:val="12"/>
          <w:color w:val="auto"/>
        </w:rPr>
        <w:t>" means an amount equal to five per cent. (5%) of the Outstanding Principal as at the Purchase Option Date.</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Purchase Option Price</w:t>
      </w:r>
      <w:r>
        <w:rPr>
          <w:rFonts w:ascii="Times New Roman" w:cs="Times New Roman" w:eastAsia="Times New Roman" w:hAnsi="Times New Roman"/>
          <w:sz w:val="12"/>
          <w:szCs w:val="12"/>
          <w:color w:val="auto"/>
        </w:rPr>
        <w:t>" means the amount due and payable by the Charterers to the Owners pursuant to paragraph (b)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being the aggregate of:</w:t>
      </w:r>
    </w:p>
    <w:p>
      <w:pPr>
        <w:spacing w:after="0" w:line="154" w:lineRule="exact"/>
        <w:rPr>
          <w:sz w:val="20"/>
          <w:szCs w:val="20"/>
          <w:color w:val="auto"/>
        </w:rPr>
      </w:pPr>
    </w:p>
    <w:p>
      <w:pPr>
        <w:ind w:left="440" w:hanging="416"/>
        <w:spacing w:after="0"/>
        <w:tabs>
          <w:tab w:leader="none" w:pos="440"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Purchase Option Date;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Purchase Option Fee;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4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the Purchase Option Date (inclusive); and</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20" w:name="page321"/>
    <w:bookmarkEnd w:id="320"/>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0" w:hanging="416"/>
        <w:spacing w:after="0"/>
        <w:tabs>
          <w:tab w:leader="none" w:pos="440" w:val="left"/>
        </w:tabs>
        <w:numPr>
          <w:ilvl w:val="0"/>
          <w:numId w:val="4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legal costs and expenses and other reasonable documented costs and expenses incurred by the Owners relating to exercise by the Charterers of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34"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Quotation Day</w:t>
      </w:r>
      <w:r>
        <w:rPr>
          <w:rFonts w:ascii="Times New Roman" w:cs="Times New Roman" w:eastAsia="Times New Roman" w:hAnsi="Times New Roman"/>
          <w:sz w:val="12"/>
          <w:szCs w:val="12"/>
          <w:color w:val="auto"/>
        </w:rPr>
        <w:t>" means, in relation to any Hire Period and any other period for which an interest rate is to be determined, three (3) US Government Securities Business Days before the first day of that Hire Period (as the case may be) (unless the Owners, in their reasonable opinion, consider market practice differs in the relevant syndicated loan market, in which case the Quotation Day will be determined by the Owners in accordance with that market practice).</w:t>
      </w:r>
    </w:p>
    <w:p>
      <w:pPr>
        <w:spacing w:after="0" w:line="1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Rate</w:t>
      </w:r>
      <w:r>
        <w:rPr>
          <w:rFonts w:ascii="Times New Roman" w:cs="Times New Roman" w:eastAsia="Times New Roman" w:hAnsi="Times New Roman"/>
          <w:sz w:val="12"/>
          <w:szCs w:val="12"/>
          <w:color w:val="auto"/>
        </w:rPr>
        <w:t>" means, in relation to any Outstanding Principal:</w:t>
      </w:r>
    </w:p>
    <w:p>
      <w:pPr>
        <w:spacing w:after="0" w:line="154" w:lineRule="exact"/>
        <w:rPr>
          <w:sz w:val="20"/>
          <w:szCs w:val="20"/>
          <w:color w:val="auto"/>
        </w:rPr>
      </w:pPr>
    </w:p>
    <w:p>
      <w:pPr>
        <w:ind w:left="440" w:hanging="425"/>
        <w:spacing w:after="0"/>
        <w:tabs>
          <w:tab w:leader="none" w:pos="440"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Term SOFR as of the Quotation Day for a period of three (3) months; or</w:t>
      </w:r>
    </w:p>
    <w:p>
      <w:pPr>
        <w:spacing w:after="0" w:line="14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4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otherwise determined pursuant to Clause 40(l) (</w:t>
      </w:r>
      <w:r>
        <w:rPr>
          <w:rFonts w:ascii="Times New Roman" w:cs="Times New Roman" w:eastAsia="Times New Roman" w:hAnsi="Times New Roman"/>
          <w:sz w:val="12"/>
          <w:szCs w:val="12"/>
          <w:i w:val="1"/>
          <w:iCs w:val="1"/>
          <w:color w:val="auto"/>
        </w:rPr>
        <w:t>Unavailability of Term SOFR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and if, in either case, that rate is less than zero, the Reference Rate shall be deemed to be zero.</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Registration Costs</w:t>
      </w:r>
      <w:r>
        <w:rPr>
          <w:rFonts w:ascii="Times New Roman" w:cs="Times New Roman" w:eastAsia="Times New Roman" w:hAnsi="Times New Roman"/>
          <w:sz w:val="12"/>
          <w:szCs w:val="12"/>
          <w:color w:val="auto"/>
        </w:rPr>
        <w:t>" means any documented costs and expenses (including fees and taxes) in respect of:</w:t>
      </w:r>
    </w:p>
    <w:p>
      <w:pPr>
        <w:spacing w:after="0" w:line="154" w:lineRule="exact"/>
        <w:rPr>
          <w:sz w:val="20"/>
          <w:szCs w:val="20"/>
          <w:color w:val="auto"/>
        </w:rPr>
      </w:pPr>
    </w:p>
    <w:p>
      <w:pPr>
        <w:ind w:left="440" w:hanging="434"/>
        <w:spacing w:after="0"/>
        <w:tabs>
          <w:tab w:leader="none" w:pos="44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(or, as the case may be, any re-registration) of title to the Vessel in the Owners’ name;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of the Owners as a foreign maritime entity (or similar) under the laws of the flag state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financing charter recordation in respect of this Charter with the shipping registry or other competent authority of the flag state or other relevant jurisdiction (if applicable);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registration in the name of the Charterers with the shipping registry or other competent authority of the flag state or other relevant jurisdiction (if applicable);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of any of the aforementioned registrations and recordation on the Actual Delivery Date and for the duration of the Charter Period,</w:t>
      </w:r>
    </w:p>
    <w:p>
      <w:pPr>
        <w:spacing w:after="0" w:line="150"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and without prejudice to the generality of the foregoing, the Registration Costs shall include all documented costs and expenses (including, not limited to, notarisation and legalisation or apostille cost and reasonable legal fees) incurred by the Owners in preparing and provision of instruments and documents required for effecting, maintaining and perfecting the aforesaid registration and recordation and all fees and charges and tonnage tax charged by the relevant ship registry or other authorities.</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an Obligor:</w:t>
      </w:r>
    </w:p>
    <w:p>
      <w:pPr>
        <w:spacing w:after="0" w:line="154" w:lineRule="exact"/>
        <w:rPr>
          <w:sz w:val="20"/>
          <w:szCs w:val="20"/>
          <w:color w:val="auto"/>
        </w:rPr>
      </w:pPr>
    </w:p>
    <w:p>
      <w:pPr>
        <w:ind w:left="440" w:hanging="434"/>
        <w:spacing w:after="0"/>
        <w:tabs>
          <w:tab w:leader="none" w:pos="440"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jurisdiction of incorporation or formation (as the case may be);</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subject to or intended to be subject to a Security Document to be executed by it is situated;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principally conducts its business; and</w:t>
      </w:r>
    </w:p>
    <w:p>
      <w:pPr>
        <w:spacing w:after="0" w:line="150"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21" w:name="page322"/>
    <w:bookmarkEnd w:id="321"/>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w:t>
      </w:r>
      <w:r>
        <w:rPr>
          <w:rFonts w:ascii="Times New Roman" w:cs="Times New Roman" w:eastAsia="Times New Roman" w:hAnsi="Times New Roman"/>
          <w:sz w:val="12"/>
          <w:szCs w:val="12"/>
          <w:color w:val="auto"/>
        </w:rPr>
        <w:t>" means,</w:t>
      </w:r>
    </w:p>
    <w:p>
      <w:pPr>
        <w:spacing w:after="0" w:line="136" w:lineRule="exact"/>
        <w:rPr>
          <w:sz w:val="20"/>
          <w:szCs w:val="20"/>
          <w:color w:val="auto"/>
        </w:rPr>
      </w:pPr>
    </w:p>
    <w:p>
      <w:pPr>
        <w:ind w:left="440" w:hanging="425"/>
        <w:spacing w:after="0" w:line="283" w:lineRule="auto"/>
        <w:tabs>
          <w:tab w:leader="none" w:pos="440"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each bareboat charter party entered into or to be entered into the same day as this Charter or at any time after the date hereof, the details of which are listed in </w:t>
      </w:r>
      <w:r>
        <w:rPr>
          <w:rFonts w:ascii="Times New Roman" w:cs="Times New Roman" w:eastAsia="Times New Roman" w:hAnsi="Times New Roman"/>
          <w:sz w:val="12"/>
          <w:szCs w:val="12"/>
          <w:u w:val="single" w:color="auto"/>
          <w:color w:val="auto"/>
        </w:rPr>
        <w:t>Schedule 3</w:t>
      </w:r>
      <w:r>
        <w:rPr>
          <w:rFonts w:ascii="Times New Roman" w:cs="Times New Roman" w:eastAsia="Times New Roman" w:hAnsi="Times New Roman"/>
          <w:sz w:val="12"/>
          <w:szCs w:val="12"/>
          <w:color w:val="auto"/>
        </w:rPr>
        <w:t xml:space="preserve"> hereto (</w:t>
      </w:r>
      <w:r>
        <w:rPr>
          <w:rFonts w:ascii="Times New Roman" w:cs="Times New Roman" w:eastAsia="Times New Roman" w:hAnsi="Times New Roman"/>
          <w:sz w:val="12"/>
          <w:szCs w:val="12"/>
          <w:i w:val="1"/>
          <w:iCs w:val="1"/>
          <w:color w:val="auto"/>
        </w:rPr>
        <w:t>Related Charter and 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information</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4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bareboat charter party of any ship which may be entered into from time to time between the Owners or any Affiliate of the Owners (as owners) and a member of the Charter Group (as charterers).</w:t>
      </w:r>
    </w:p>
    <w:p>
      <w:pPr>
        <w:spacing w:after="0" w:line="1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means the charterers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means the owners under any Related 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Transaction Document</w:t>
      </w:r>
      <w:r>
        <w:rPr>
          <w:rFonts w:ascii="Times New Roman" w:cs="Times New Roman" w:eastAsia="Times New Roman" w:hAnsi="Times New Roman"/>
          <w:sz w:val="12"/>
          <w:szCs w:val="12"/>
          <w:color w:val="auto"/>
        </w:rPr>
        <w:t>" means any "Transaction Document" as defined in each Related Charter.</w:t>
      </w:r>
    </w:p>
    <w:p>
      <w:pPr>
        <w:spacing w:after="0" w:line="150" w:lineRule="exact"/>
        <w:rPr>
          <w:sz w:val="20"/>
          <w:szCs w:val="20"/>
          <w:color w:val="auto"/>
        </w:rPr>
      </w:pPr>
    </w:p>
    <w:p>
      <w:pPr>
        <w:jc w:val="both"/>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means all compensation or other money which may from time to time be payable to the Charterers as a result of the Vessel being requisitioned for title or in any other way compulsorily acquired (other than by way of requisition for hire).</w:t>
      </w:r>
    </w:p>
    <w:p>
      <w:pPr>
        <w:spacing w:after="0" w:line="103"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Countries</w:t>
      </w:r>
      <w:r>
        <w:rPr>
          <w:rFonts w:ascii="Times New Roman" w:cs="Times New Roman" w:eastAsia="Times New Roman" w:hAnsi="Times New Roman"/>
          <w:sz w:val="12"/>
          <w:szCs w:val="12"/>
          <w:color w:val="auto"/>
        </w:rPr>
        <w:t>" means those countries subject to country-wide or territory-wide Sanctions and/or trade embargoes, in particular but not limited to pursuant to the U.S.'s Office of Foreign Asset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at the date of this Charter, Cuba, Crimea, Iran, North Korea and Syria and any additional countries based on respective country-wide or territory-wide Sanctions being imposed by OFAC or any of the regulative bodies referred to in the definition of Restricted Person.</w:t>
      </w:r>
    </w:p>
    <w:p>
      <w:pPr>
        <w:spacing w:after="0" w:line="114" w:lineRule="exact"/>
        <w:rPr>
          <w:sz w:val="20"/>
          <w:szCs w:val="20"/>
          <w:color w:val="auto"/>
        </w:rPr>
      </w:pPr>
    </w:p>
    <w:p>
      <w:pPr>
        <w:jc w:val="both"/>
        <w:ind w:left="20"/>
        <w:spacing w:after="0" w:line="257"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Person</w:t>
      </w:r>
      <w:r>
        <w:rPr>
          <w:rFonts w:ascii="Times New Roman" w:cs="Times New Roman" w:eastAsia="Times New Roman" w:hAnsi="Times New Roman"/>
          <w:sz w:val="12"/>
          <w:szCs w:val="12"/>
          <w:color w:val="auto"/>
        </w:rPr>
        <w:t>" means a person or entity that is (a) listed on, or owned or controlled by a person listed on, or acting on behalf of a person listed on, any Sanctions List; (b) a national of, incorporated under the laws of, or owned 50% or more or (directly or indirectly) controlled by, or acting on behalf of, a person organised under the laws of a country or territory that is a Restricted Country; or (c) otherwise a target of Sanctions ("</w:t>
      </w:r>
      <w:r>
        <w:rPr>
          <w:rFonts w:ascii="Times New Roman" w:cs="Times New Roman" w:eastAsia="Times New Roman" w:hAnsi="Times New Roman"/>
          <w:sz w:val="12"/>
          <w:szCs w:val="12"/>
          <w:b w:val="1"/>
          <w:bCs w:val="1"/>
          <w:color w:val="auto"/>
        </w:rPr>
        <w:t>target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signifying a person with whom a US person or other national of Sanctions Authority would be prohibited or restricted by law from engaging in trade, business or other activities); provided that provided that, in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case of a person or entity that is targeted only by "sectoral sanctions," or other Sanctions that do not generally prohibit transactions with such person, such person or entity shall be a Restricted Person with respect to a transaction only to the extent that a Party or any other person or entity organised or resident in the jurisdiction of a Sanctions Authority would be prohibited by the law of any such applicable jurisdiction from entering into, directly or indirectly, such transaction with such person.</w:t>
      </w:r>
    </w:p>
    <w:p>
      <w:pPr>
        <w:spacing w:after="0" w:line="121"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the sanctions, embargoes, freezing provisions, prohibitions or other restrictions relating to trading, doing business, investment, exporting, financing or making assets available (or other activities similar to or connected with any of the foregoing):</w:t>
      </w:r>
    </w:p>
    <w:p>
      <w:pPr>
        <w:spacing w:after="0" w:line="107" w:lineRule="exact"/>
        <w:rPr>
          <w:sz w:val="20"/>
          <w:szCs w:val="20"/>
          <w:color w:val="auto"/>
        </w:rPr>
      </w:pPr>
    </w:p>
    <w:p>
      <w:pPr>
        <w:jc w:val="both"/>
        <w:ind w:left="440" w:hanging="434"/>
        <w:spacing w:after="0" w:line="265" w:lineRule="auto"/>
        <w:tabs>
          <w:tab w:leader="none" w:pos="440" w:val="left"/>
        </w:tabs>
        <w:numPr>
          <w:ilvl w:val="0"/>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imposed by law or regulation of (i) the United States government; (ii) the United Nations; (iii) the European Union; (iv) the People's Republic of China; (v) the United Kingdom; or (vi) the United Nations Security Council, the Office of Foreign Assets Control of the US Department of Treasury ("</w:t>
      </w:r>
      <w:r>
        <w:rPr>
          <w:rFonts w:ascii="Times New Roman" w:cs="Times New Roman" w:eastAsia="Times New Roman" w:hAnsi="Times New Roman"/>
          <w:sz w:val="12"/>
          <w:szCs w:val="12"/>
          <w:b w:val="1"/>
          <w:bCs w:val="1"/>
          <w:color w:val="auto"/>
        </w:rPr>
        <w:t>OFAC</w:t>
      </w:r>
      <w:r>
        <w:rPr>
          <w:rFonts w:ascii="Times New Roman" w:cs="Times New Roman" w:eastAsia="Times New Roman" w:hAnsi="Times New Roman"/>
          <w:sz w:val="12"/>
          <w:szCs w:val="12"/>
          <w:color w:val="auto"/>
        </w:rPr>
        <w:t>"), the United States Department of State, the Council of the European Union, the European Commission, and His Majesty's Treasury ("</w:t>
      </w:r>
      <w:r>
        <w:rPr>
          <w:rFonts w:ascii="Times New Roman" w:cs="Times New Roman" w:eastAsia="Times New Roman" w:hAnsi="Times New Roman"/>
          <w:sz w:val="12"/>
          <w:szCs w:val="12"/>
          <w:b w:val="1"/>
          <w:bCs w:val="1"/>
          <w:color w:val="auto"/>
        </w:rPr>
        <w:t>HMT</w:t>
      </w:r>
      <w:r>
        <w:rPr>
          <w:rFonts w:ascii="Times New Roman" w:cs="Times New Roman" w:eastAsia="Times New Roman" w:hAnsi="Times New Roman"/>
          <w:sz w:val="12"/>
          <w:szCs w:val="12"/>
          <w:color w:val="auto"/>
        </w:rPr>
        <w:t>") (together, the "</w:t>
      </w:r>
      <w:r>
        <w:rPr>
          <w:rFonts w:ascii="Times New Roman" w:cs="Times New Roman" w:eastAsia="Times New Roman" w:hAnsi="Times New Roman"/>
          <w:sz w:val="12"/>
          <w:szCs w:val="12"/>
          <w:b w:val="1"/>
          <w:bCs w:val="1"/>
          <w:color w:val="auto"/>
        </w:rPr>
        <w:t>Sanctions Authorities</w:t>
      </w:r>
      <w:r>
        <w:rPr>
          <w:rFonts w:ascii="Times New Roman" w:cs="Times New Roman" w:eastAsia="Times New Roman" w:hAnsi="Times New Roman"/>
          <w:sz w:val="12"/>
          <w:szCs w:val="12"/>
          <w:color w:val="auto"/>
        </w:rPr>
        <w:t>"); or</w:t>
      </w:r>
    </w:p>
    <w:p>
      <w:pPr>
        <w:spacing w:after="0" w:line="118" w:lineRule="exact"/>
        <w:rPr>
          <w:rFonts w:ascii="Times New Roman" w:cs="Times New Roman" w:eastAsia="Times New Roman" w:hAnsi="Times New Roman"/>
          <w:sz w:val="12"/>
          <w:szCs w:val="12"/>
          <w:color w:val="auto"/>
        </w:rPr>
      </w:pPr>
    </w:p>
    <w:p>
      <w:pPr>
        <w:ind w:left="440" w:right="20" w:hanging="425"/>
        <w:spacing w:after="0" w:line="279" w:lineRule="auto"/>
        <w:tabs>
          <w:tab w:leader="none" w:pos="440" w:val="left"/>
        </w:tabs>
        <w:numPr>
          <w:ilvl w:val="0"/>
          <w:numId w:val="4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imposed by any law or regulation by which any Obligor is bound (which shall include without limitation, any extra-territorial sanctions imposed by law or regulation of the United States of America) or as regards a regulation, compliance with which is reasonable in the ordinary course of business of any Obligor,</w:t>
      </w:r>
    </w:p>
    <w:p>
      <w:pPr>
        <w:spacing w:after="0" w:line="1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against any state, natural or legal person, body or entity.</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"Sanctions List" </w:t>
      </w:r>
      <w:r>
        <w:rPr>
          <w:rFonts w:ascii="Times New Roman" w:cs="Times New Roman" w:eastAsia="Times New Roman" w:hAnsi="Times New Roman"/>
          <w:sz w:val="12"/>
          <w:szCs w:val="12"/>
          <w:color w:val="auto"/>
        </w:rPr>
        <w:t>means the "Specially Designated Nationals and Blocked Persons" list maintained by the OFAC, the Consolidated List of Financial Sanctions Targets and the Investment Ban List maintained by HMT, or 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similar list maintained by, or public announcement of Sanctions designation made by, any of the Sanctions Authorities.</w:t>
      </w:r>
    </w:p>
    <w:p>
      <w:pPr>
        <w:spacing w:after="0" w:line="10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22" w:name="page323"/>
    <w:bookmarkEnd w:id="322"/>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Documents</w:t>
      </w:r>
      <w:r>
        <w:rPr>
          <w:rFonts w:ascii="Times New Roman" w:cs="Times New Roman" w:eastAsia="Times New Roman" w:hAnsi="Times New Roman"/>
          <w:sz w:val="12"/>
          <w:szCs w:val="12"/>
          <w:color w:val="auto"/>
        </w:rPr>
        <w:t>" means, in relation to the Vessel, the following:</w:t>
      </w:r>
    </w:p>
    <w:p>
      <w:pPr>
        <w:spacing w:after="0" w:line="154" w:lineRule="exact"/>
        <w:rPr>
          <w:sz w:val="20"/>
          <w:szCs w:val="20"/>
          <w:color w:val="auto"/>
        </w:rPr>
      </w:pPr>
    </w:p>
    <w:p>
      <w:pPr>
        <w:ind w:left="440" w:hanging="425"/>
        <w:spacing w:after="0"/>
        <w:tabs>
          <w:tab w:leader="none" w:pos="440"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Account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Assignment;</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78" w:lineRule="exact"/>
        <w:rPr>
          <w:rFonts w:ascii="Times New Roman" w:cs="Times New Roman" w:eastAsia="Times New Roman" w:hAnsi="Times New Roman"/>
          <w:sz w:val="12"/>
          <w:szCs w:val="12"/>
          <w:color w:val="auto"/>
        </w:rPr>
      </w:pPr>
    </w:p>
    <w:p>
      <w:pPr>
        <w:ind w:left="440" w:hanging="425"/>
        <w:spacing w:after="0"/>
        <w:tabs>
          <w:tab w:leader="none" w:pos="440"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 under any Related Charter; and</w:t>
      </w:r>
    </w:p>
    <w:p>
      <w:pPr>
        <w:spacing w:after="0" w:line="78" w:lineRule="exact"/>
        <w:rPr>
          <w:rFonts w:ascii="Times New Roman" w:cs="Times New Roman" w:eastAsia="Times New Roman" w:hAnsi="Times New Roman"/>
          <w:sz w:val="12"/>
          <w:szCs w:val="12"/>
          <w:color w:val="auto"/>
        </w:rPr>
      </w:pPr>
    </w:p>
    <w:p>
      <w:pPr>
        <w:ind w:left="20" w:right="6380" w:hanging="5"/>
        <w:spacing w:after="0" w:line="405" w:lineRule="auto"/>
        <w:tabs>
          <w:tab w:leader="none" w:pos="443" w:val="left"/>
        </w:tabs>
        <w:numPr>
          <w:ilvl w:val="0"/>
          <w:numId w:val="4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designated by the Owners and the Charterers as a Security Document; and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 any one of them.</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Interest</w:t>
      </w:r>
      <w:r>
        <w:rPr>
          <w:rFonts w:ascii="Times New Roman" w:cs="Times New Roman" w:eastAsia="Times New Roman" w:hAnsi="Times New Roman"/>
          <w:sz w:val="12"/>
          <w:szCs w:val="12"/>
          <w:color w:val="auto"/>
        </w:rPr>
        <w:t>" means a mortgage, charge (whether fixed or floating), pledge, lien, hypothecation, assignment, trust arrangement, title retention or other security interest or arrangement of any kind whatsoever.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 Deed</w:t>
      </w:r>
      <w:r>
        <w:rPr>
          <w:rFonts w:ascii="Times New Roman" w:cs="Times New Roman" w:eastAsia="Times New Roman" w:hAnsi="Times New Roman"/>
          <w:sz w:val="12"/>
          <w:szCs w:val="12"/>
          <w:color w:val="auto"/>
        </w:rPr>
        <w:t>" means the deed executed or to be executed by (amongst others) the Security Trustee, the Owners, the Related Owners, the Charterers, the Related Charterers and the Charter Guarantor.</w:t>
      </w:r>
    </w:p>
    <w:p>
      <w:pPr>
        <w:spacing w:after="0" w:line="150"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means OCEAN RAINBOW SHIPPING LIMITED, a company incorporated and existing under the laws of Hong Kong with Business Registration Number 62836611 and having its registered office at Units 904-907, 9/F Dah Sing Financial Centre, 248 Queen's Road East, Wanchai, Hong Kong, China.</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Settlement Date</w:t>
      </w:r>
      <w:r>
        <w:rPr>
          <w:rFonts w:ascii="Times New Roman" w:cs="Times New Roman" w:eastAsia="Times New Roman" w:hAnsi="Times New Roman"/>
          <w:sz w:val="12"/>
          <w:szCs w:val="12"/>
          <w:color w:val="auto"/>
        </w:rPr>
        <w:t>" means, following a Total Loss of the Vessel, the earliest of:</w:t>
      </w:r>
    </w:p>
    <w:p>
      <w:pPr>
        <w:spacing w:after="0" w:line="154" w:lineRule="exact"/>
        <w:rPr>
          <w:sz w:val="20"/>
          <w:szCs w:val="20"/>
          <w:color w:val="auto"/>
        </w:rPr>
      </w:pPr>
    </w:p>
    <w:p>
      <w:pPr>
        <w:ind w:left="440" w:hanging="416"/>
        <w:spacing w:after="0"/>
        <w:tabs>
          <w:tab w:leader="none" w:pos="44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which falls One Hundred (100) days after the date of occurrence of the Total Loss or, if such date is not a Business Day, the immediately preceding Business Day;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Owners receive the Total Loss Proceeds in respect of the Total Loss; and</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4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expiry date of the Charter Period.</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 Security</w:t>
      </w:r>
      <w:r>
        <w:rPr>
          <w:rFonts w:ascii="Times New Roman" w:cs="Times New Roman" w:eastAsia="Times New Roman" w:hAnsi="Times New Roman"/>
          <w:sz w:val="12"/>
          <w:szCs w:val="12"/>
          <w:color w:val="auto"/>
        </w:rPr>
        <w:t>" means the deed of charge or pledge over all the limited liability company interests in the Charterers executed or (as the case may be) to be executed by the Charter Guarantor as chargor in favour of the Security Trustee.</w:t>
      </w:r>
    </w:p>
    <w:p>
      <w:pPr>
        <w:spacing w:after="0" w:line="103"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Management Agreement</w:t>
      </w:r>
      <w:r>
        <w:rPr>
          <w:rFonts w:ascii="Times New Roman" w:cs="Times New Roman" w:eastAsia="Times New Roman" w:hAnsi="Times New Roman"/>
          <w:sz w:val="12"/>
          <w:szCs w:val="12"/>
          <w:color w:val="auto"/>
        </w:rPr>
        <w:t>" means any agreement made or to be made between the Charterers and any Approved Manager in respect of the technical and/or commercial management of the Vessel on such terms and conditions reasonably acceptable to the Owner.</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w:t>
      </w:r>
      <w:r>
        <w:rPr>
          <w:rFonts w:ascii="Times New Roman" w:cs="Times New Roman" w:eastAsia="Times New Roman" w:hAnsi="Times New Roman"/>
          <w:sz w:val="12"/>
          <w:szCs w:val="12"/>
          <w:color w:val="auto"/>
        </w:rPr>
        <w:t>" means, any charterparty in respect of the Vessel entered into by the Charterers (as disponent owners) for the employment of the Vessel.</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Sub-Charterers</w:t>
      </w:r>
      <w:r>
        <w:rPr>
          <w:rFonts w:ascii="Times New Roman" w:cs="Times New Roman" w:eastAsia="Times New Roman" w:hAnsi="Times New Roman"/>
          <w:sz w:val="12"/>
          <w:szCs w:val="12"/>
          <w:color w:val="auto"/>
        </w:rPr>
        <w:t>" means, in respect of the Vessel, any sub-charterers which are or will be parties to a Sub-Charter.</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in relation to any company or corporation, a company or corporation:</w:t>
      </w:r>
    </w:p>
    <w:p>
      <w:pPr>
        <w:spacing w:after="0" w:line="154" w:lineRule="exact"/>
        <w:rPr>
          <w:sz w:val="20"/>
          <w:szCs w:val="20"/>
          <w:color w:val="auto"/>
        </w:rPr>
      </w:pPr>
    </w:p>
    <w:p>
      <w:pPr>
        <w:ind w:left="440" w:hanging="434"/>
        <w:spacing w:after="0"/>
        <w:tabs>
          <w:tab w:leader="none" w:pos="440" w:val="left"/>
        </w:tabs>
        <w:numPr>
          <w:ilvl w:val="0"/>
          <w:numId w:val="4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controlled, directly or indirectly, by the first mentioned company or corporation;</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23" w:name="page324"/>
    <w:bookmarkEnd w:id="323"/>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0" w:hanging="434"/>
        <w:spacing w:after="0"/>
        <w:tabs>
          <w:tab w:leader="none" w:pos="440"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more than half the issued equity share capital of which is beneficially owned, directly or indirectly, by the first mentioned company or corporation; or</w:t>
      </w:r>
    </w:p>
    <w:p>
      <w:pPr>
        <w:spacing w:after="0" w:line="138"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Subsidiary of another Subsidiary of the first mentioned company or corporation,</w:t>
      </w:r>
    </w:p>
    <w:p>
      <w:pPr>
        <w:spacing w:after="0" w:line="150"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2"/>
          <w:szCs w:val="12"/>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07"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other than taxes imposed on the overall net income of the Owners, their Holding Company, their group and/or the Finance Parties, any FATCA Deduction, any present and future tax (including, without limitation, value added tax, consumption tax or any other tax in respect of added value or any income), levy, impost, duty or other charge or withholding of any nature (including any penalty or interest payable in connection with any failure to pay or any delay in paying any of the same); and "</w:t>
      </w:r>
      <w:r>
        <w:rPr>
          <w:rFonts w:ascii="Times New Roman" w:cs="Times New Roman" w:eastAsia="Times New Roman" w:hAnsi="Times New Roman"/>
          <w:sz w:val="12"/>
          <w:szCs w:val="12"/>
          <w:b w:val="1"/>
          <w:bCs w:val="1"/>
          <w:color w:val="auto"/>
        </w:rPr>
        <w:t>Taxes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taxation</w:t>
      </w:r>
      <w:r>
        <w:rPr>
          <w:rFonts w:ascii="Times New Roman" w:cs="Times New Roman" w:eastAsia="Times New Roman" w:hAnsi="Times New Roman"/>
          <w:sz w:val="12"/>
          <w:szCs w:val="12"/>
          <w:color w:val="auto"/>
        </w:rPr>
        <w:t>" shall be construed accordingly.</w:t>
      </w:r>
    </w:p>
    <w:p>
      <w:pPr>
        <w:spacing w:after="0" w:line="114" w:lineRule="exact"/>
        <w:rPr>
          <w:sz w:val="20"/>
          <w:szCs w:val="20"/>
          <w:color w:val="auto"/>
        </w:rPr>
      </w:pPr>
    </w:p>
    <w:p>
      <w:pPr>
        <w:jc w:val="both"/>
        <w:ind w:left="20"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 SOFR</w:t>
      </w:r>
      <w:r>
        <w:rPr>
          <w:rFonts w:ascii="Times New Roman" w:cs="Times New Roman" w:eastAsia="Times New Roman" w:hAnsi="Times New Roman"/>
          <w:sz w:val="12"/>
          <w:szCs w:val="12"/>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Event</w:t>
      </w:r>
      <w:r>
        <w:rPr>
          <w:rFonts w:ascii="Times New Roman" w:cs="Times New Roman" w:eastAsia="Times New Roman" w:hAnsi="Times New Roman"/>
          <w:sz w:val="12"/>
          <w:szCs w:val="12"/>
          <w:color w:val="auto"/>
        </w:rPr>
        <w:t>" means each of the events specified in paragraph (a)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Notice</w:t>
      </w:r>
      <w:r>
        <w:rPr>
          <w:rFonts w:ascii="Times New Roman" w:cs="Times New Roman" w:eastAsia="Times New Roman" w:hAnsi="Times New Roman"/>
          <w:sz w:val="12"/>
          <w:szCs w:val="12"/>
          <w:color w:val="auto"/>
        </w:rPr>
        <w:t>" has the meaning given to such term in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and Clause 49(b) (</w:t>
      </w:r>
      <w:r>
        <w:rPr>
          <w:rFonts w:ascii="Times New Roman" w:cs="Times New Roman" w:eastAsia="Times New Roman" w:hAnsi="Times New Roman"/>
          <w:sz w:val="12"/>
          <w:szCs w:val="12"/>
          <w:i w:val="1"/>
          <w:iCs w:val="1"/>
          <w:color w:val="auto"/>
        </w:rPr>
        <w:t>Owners' options after occurrence of a Termination Event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Payment Date</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16"/>
        <w:spacing w:after="0"/>
        <w:tabs>
          <w:tab w:leader="none" w:pos="440"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termination of this Charter in accordance with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the date specified in the Termination Notice served on the Charterers pursuant to that Clause;</w:t>
      </w:r>
    </w:p>
    <w:p>
      <w:pPr>
        <w:spacing w:after="0" w:line="150" w:lineRule="exact"/>
        <w:rPr>
          <w:rFonts w:ascii="Times New Roman" w:cs="Times New Roman" w:eastAsia="Times New Roman" w:hAnsi="Times New Roman"/>
          <w:sz w:val="12"/>
          <w:szCs w:val="12"/>
          <w:color w:val="auto"/>
        </w:rPr>
      </w:pPr>
    </w:p>
    <w:p>
      <w:pPr>
        <w:ind w:left="440" w:right="20" w:hanging="416"/>
        <w:spacing w:after="0" w:line="283" w:lineRule="auto"/>
        <w:tabs>
          <w:tab w:leader="none" w:pos="440"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Default Termination, fifteen (15) days after the date on which the Termination Notice is served on the Charterers pursuant to paragraph (b)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in respect of such Default Termination;</w:t>
      </w:r>
    </w:p>
    <w:p>
      <w:pPr>
        <w:spacing w:after="0" w:line="108" w:lineRule="exact"/>
        <w:rPr>
          <w:rFonts w:ascii="Times New Roman" w:cs="Times New Roman" w:eastAsia="Times New Roman" w:hAnsi="Times New Roman"/>
          <w:sz w:val="12"/>
          <w:szCs w:val="12"/>
          <w:color w:val="auto"/>
        </w:rPr>
      </w:pPr>
    </w:p>
    <w:p>
      <w:pPr>
        <w:ind w:left="440" w:hanging="416"/>
        <w:spacing w:after="0"/>
        <w:tabs>
          <w:tab w:leader="none" w:pos="440" w:val="left"/>
        </w:tabs>
        <w:numPr>
          <w:ilvl w:val="0"/>
          <w:numId w:val="4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Total Loss Termination, the Settlement Date in respect of the Total Loss which gives rise to such Total Loss Termination.</w:t>
      </w:r>
    </w:p>
    <w:p>
      <w:pPr>
        <w:spacing w:after="0" w:line="146"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Sum</w:t>
      </w:r>
      <w:r>
        <w:rPr>
          <w:rFonts w:ascii="Times New Roman" w:cs="Times New Roman" w:eastAsia="Times New Roman" w:hAnsi="Times New Roman"/>
          <w:sz w:val="12"/>
          <w:szCs w:val="12"/>
          <w:color w:val="auto"/>
        </w:rPr>
        <w:t>" means an amount representing the Owners' losses as a result of the early termination of this Charter prior to the expiry of the Charter Period, which both parties acknowledge as a genuine and reasonable pre-estimate of the Owners' losses in the event of such termination and shall consist of the following:</w:t>
      </w:r>
    </w:p>
    <w:p>
      <w:pPr>
        <w:spacing w:after="0" w:line="107" w:lineRule="exact"/>
        <w:rPr>
          <w:sz w:val="20"/>
          <w:szCs w:val="20"/>
          <w:color w:val="auto"/>
        </w:rPr>
      </w:pPr>
    </w:p>
    <w:p>
      <w:pPr>
        <w:ind w:left="440" w:hanging="416"/>
        <w:spacing w:after="0"/>
        <w:tabs>
          <w:tab w:leader="none" w:pos="440"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Outstanding Principal as at the Termination Payment Date;</w:t>
      </w:r>
    </w:p>
    <w:p>
      <w:pPr>
        <w:spacing w:after="0" w:line="150" w:lineRule="exact"/>
        <w:rPr>
          <w:rFonts w:ascii="Times New Roman" w:cs="Times New Roman" w:eastAsia="Times New Roman" w:hAnsi="Times New Roman"/>
          <w:sz w:val="12"/>
          <w:szCs w:val="12"/>
          <w:color w:val="auto"/>
        </w:rPr>
      </w:pPr>
    </w:p>
    <w:p>
      <w:pPr>
        <w:ind w:left="440" w:right="20" w:hanging="416"/>
        <w:spacing w:after="0" w:line="279" w:lineRule="auto"/>
        <w:tabs>
          <w:tab w:leader="none" w:pos="440" w:val="left"/>
        </w:tabs>
        <w:numPr>
          <w:ilvl w:val="0"/>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equal to six per cent. (6%) of the Outstanding Principal as at the Termination Payment Date, provided such amount shall not be payable and shall not form part of the Termination Sum in the event this Charter is terminated:</w:t>
      </w:r>
    </w:p>
    <w:p>
      <w:pPr>
        <w:spacing w:after="0" w:line="111"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a Total Loss Termination; or</w:t>
      </w:r>
    </w:p>
    <w:p>
      <w:pPr>
        <w:spacing w:after="0" w:line="148" w:lineRule="exact"/>
        <w:rPr>
          <w:rFonts w:ascii="Times New Roman" w:cs="Times New Roman" w:eastAsia="Times New Roman" w:hAnsi="Times New Roman"/>
          <w:sz w:val="12"/>
          <w:szCs w:val="12"/>
          <w:color w:val="auto"/>
        </w:rPr>
      </w:pPr>
    </w:p>
    <w:p>
      <w:pPr>
        <w:ind w:left="1320" w:hanging="432"/>
        <w:spacing w:after="0"/>
        <w:tabs>
          <w:tab w:leader="none" w:pos="1320" w:val="left"/>
        </w:tabs>
        <w:numPr>
          <w:ilvl w:val="1"/>
          <w:numId w:val="4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40(i) (</w:t>
      </w:r>
      <w:r>
        <w:rPr>
          <w:rFonts w:ascii="Times New Roman" w:cs="Times New Roman" w:eastAsia="Times New Roman" w:hAnsi="Times New Roman"/>
          <w:sz w:val="12"/>
          <w:szCs w:val="12"/>
          <w:i w:val="1"/>
          <w:iCs w:val="1"/>
          <w:color w:val="auto"/>
        </w:rPr>
        <w:t>Illegality</w:t>
      </w:r>
      <w:r>
        <w:rPr>
          <w:rFonts w:ascii="Times New Roman" w:cs="Times New Roman" w:eastAsia="Times New Roman" w:hAnsi="Times New Roman"/>
          <w:sz w:val="12"/>
          <w:szCs w:val="12"/>
          <w:color w:val="auto"/>
        </w:rPr>
        <w:t>) solely for the reason that it is unlawful or it is prohibited for the Owners (but not the Charterers) to charter the Vessel under this Charter; or</w:t>
      </w:r>
    </w:p>
    <w:p>
      <w:pPr>
        <w:spacing w:after="0" w:line="15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sectPr>
      </w:pPr>
    </w:p>
    <w:bookmarkStart w:id="324" w:name="page325"/>
    <w:bookmarkEnd w:id="324"/>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0" w:lineRule="exact"/>
        <w:rPr>
          <w:sz w:val="20"/>
          <w:szCs w:val="20"/>
          <w:color w:val="auto"/>
        </w:rPr>
      </w:pPr>
    </w:p>
    <w:p>
      <w:pPr>
        <w:ind w:left="1305" w:hanging="432"/>
        <w:spacing w:after="0"/>
        <w:tabs>
          <w:tab w:leader="none" w:pos="1305" w:val="left"/>
        </w:tabs>
        <w:numPr>
          <w:ilvl w:val="1"/>
          <w:numId w:val="4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pursuant to the provisions of Clause 40(j)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at any time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of the Actual Delivery Date.</w:t>
      </w:r>
    </w:p>
    <w:p>
      <w:pPr>
        <w:spacing w:after="0" w:line="76"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Variable Hire which has accrued, but is unpaid, up to (and including) the Termination Payment Date;</w:t>
      </w:r>
    </w:p>
    <w:p>
      <w:pPr>
        <w:spacing w:after="0" w:line="148"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and all Unpaid Sums due and payable together with interest accrued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Break Costs; and</w:t>
      </w:r>
    </w:p>
    <w:p>
      <w:pPr>
        <w:spacing w:after="0" w:line="150" w:lineRule="exact"/>
        <w:rPr>
          <w:rFonts w:ascii="Times New Roman" w:cs="Times New Roman" w:eastAsia="Times New Roman" w:hAnsi="Times New Roman"/>
          <w:sz w:val="12"/>
          <w:szCs w:val="12"/>
          <w:color w:val="auto"/>
        </w:rPr>
      </w:pPr>
    </w:p>
    <w:p>
      <w:pPr>
        <w:ind w:left="425" w:hanging="416"/>
        <w:spacing w:after="0"/>
        <w:tabs>
          <w:tab w:leader="none" w:pos="425" w:val="left"/>
        </w:tabs>
        <w:numPr>
          <w:ilvl w:val="0"/>
          <w:numId w:val="4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documented costs and expenses reasonably incurred by the Owners (including, without limitation, legal expenses).</w:t>
      </w:r>
    </w:p>
    <w:p>
      <w:pPr>
        <w:spacing w:after="0" w:line="14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Test Date</w:t>
      </w:r>
      <w:r>
        <w:rPr>
          <w:rFonts w:ascii="Times New Roman" w:cs="Times New Roman" w:eastAsia="Times New Roman" w:hAnsi="Times New Roman"/>
          <w:sz w:val="12"/>
          <w:szCs w:val="12"/>
          <w:color w:val="auto"/>
        </w:rPr>
        <w:t>" means each of the following dates on which the Valuation Reports shall be provided to the Owners in accordance with Clause 4832..1(aa)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ind w:left="425" w:hanging="425"/>
        <w:spacing w:after="0"/>
        <w:tabs>
          <w:tab w:leader="none" w:pos="425"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30 June and 31 December in each year during the Charter Period (each such Valuation Report to be at the Charterers' cost); and</w:t>
      </w:r>
    </w:p>
    <w:p>
      <w:pPr>
        <w:spacing w:after="0" w:line="150" w:lineRule="exact"/>
        <w:rPr>
          <w:rFonts w:ascii="Times New Roman" w:cs="Times New Roman" w:eastAsia="Times New Roman" w:hAnsi="Times New Roman"/>
          <w:sz w:val="12"/>
          <w:szCs w:val="12"/>
          <w:color w:val="auto"/>
        </w:rPr>
      </w:pPr>
    </w:p>
    <w:p>
      <w:pPr>
        <w:ind w:left="425" w:hanging="425"/>
        <w:spacing w:after="0" w:line="279" w:lineRule="auto"/>
        <w:tabs>
          <w:tab w:leader="none" w:pos="425" w:val="left"/>
        </w:tabs>
        <w:numPr>
          <w:ilvl w:val="0"/>
          <w:numId w:val="4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whilst the same is continuing, each other date as the Owners may require in their absolute discretion (with not less than 30 days prior notice to the Charterers) (each such additional Valuation Report shall be at the cost of the Charterers).</w:t>
      </w:r>
    </w:p>
    <w:p>
      <w:pPr>
        <w:spacing w:after="0" w:line="10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means the Contracts (Rights of Third Parties) Act 1999.</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Threshold Amount</w:t>
      </w:r>
      <w:r>
        <w:rPr>
          <w:rFonts w:ascii="Times New Roman" w:cs="Times New Roman" w:eastAsia="Times New Roman" w:hAnsi="Times New Roman"/>
          <w:sz w:val="12"/>
          <w:szCs w:val="12"/>
          <w:color w:val="auto"/>
        </w:rPr>
        <w:t xml:space="preserve">" means </w:t>
      </w:r>
      <w:r>
        <w:rPr>
          <w:rFonts w:ascii="Times New Roman" w:cs="Times New Roman" w:eastAsia="Times New Roman" w:hAnsi="Times New Roman"/>
          <w:sz w:val="12"/>
          <w:szCs w:val="12"/>
          <w:b w:val="1"/>
          <w:bCs w:val="1"/>
          <w:color w:val="auto"/>
        </w:rPr>
        <w:t>US$1,500,000 (Dollars One Million Five Hundred Thousand only)</w:t>
      </w:r>
      <w:r>
        <w:rPr>
          <w:rFonts w:ascii="Times New Roman" w:cs="Times New Roman" w:eastAsia="Times New Roman" w:hAnsi="Times New Roman"/>
          <w:sz w:val="12"/>
          <w:szCs w:val="12"/>
          <w:color w:val="auto"/>
        </w:rPr>
        <w:t xml:space="preserve"> or the equivalent in any other currency.</w:t>
      </w:r>
    </w:p>
    <w:p>
      <w:pPr>
        <w:spacing w:after="0" w:line="150" w:lineRule="exact"/>
        <w:rPr>
          <w:sz w:val="20"/>
          <w:szCs w:val="20"/>
          <w:color w:val="auto"/>
        </w:rPr>
      </w:pPr>
    </w:p>
    <w:p>
      <w:pPr>
        <w:ind w:left="5"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Title Transfer PDA</w:t>
      </w:r>
      <w:r>
        <w:rPr>
          <w:rFonts w:ascii="Times New Roman" w:cs="Times New Roman" w:eastAsia="Times New Roman" w:hAnsi="Times New Roman"/>
          <w:sz w:val="12"/>
          <w:szCs w:val="12"/>
          <w:color w:val="auto"/>
        </w:rPr>
        <w:t xml:space="preserve">" means the protocol of delivery and acceptance in relation to the Vessel to be executed between the Owners and the Charterers, substantially in the form of </w:t>
      </w:r>
      <w:r>
        <w:rPr>
          <w:rFonts w:ascii="Times New Roman" w:cs="Times New Roman" w:eastAsia="Times New Roman" w:hAnsi="Times New Roman"/>
          <w:sz w:val="12"/>
          <w:szCs w:val="12"/>
          <w:u w:val="single" w:color="auto"/>
          <w:color w:val="auto"/>
        </w:rPr>
        <w:t>Schedule 2</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Form of Title Transfer Protocol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Delivery and Acceptance</w:t>
      </w:r>
      <w:r>
        <w:rPr>
          <w:rFonts w:ascii="Times New Roman" w:cs="Times New Roman" w:eastAsia="Times New Roman" w:hAnsi="Times New Roman"/>
          <w:sz w:val="12"/>
          <w:szCs w:val="12"/>
          <w:color w:val="auto"/>
        </w:rPr>
        <w:t>) hereto.</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during the Charter Period:</w:t>
      </w:r>
    </w:p>
    <w:p>
      <w:pPr>
        <w:spacing w:after="0" w:line="154" w:lineRule="exact"/>
        <w:rPr>
          <w:sz w:val="20"/>
          <w:szCs w:val="20"/>
          <w:color w:val="auto"/>
        </w:rPr>
      </w:pPr>
    </w:p>
    <w:p>
      <w:pPr>
        <w:jc w:val="both"/>
        <w:ind w:left="425" w:hanging="416"/>
        <w:spacing w:after="0" w:line="265" w:lineRule="auto"/>
        <w:tabs>
          <w:tab w:leader="none" w:pos="42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or constructive or compromised or agreed or arranged total loss of the Vessel and for clarity, the Vessel shall not be deemed to be lost unless she has either become an actual total loss or agreement has been reached with her underwriters in respect of her constructive, compromised or arranged total loss or if such agreement with her underwriters is not reached it is adjudged by a competent tribunal that a constructive loss of the Vessel has occurred; or</w:t>
      </w:r>
    </w:p>
    <w:p>
      <w:pPr>
        <w:spacing w:after="0" w:line="118" w:lineRule="exact"/>
        <w:rPr>
          <w:rFonts w:ascii="Times New Roman" w:cs="Times New Roman" w:eastAsia="Times New Roman" w:hAnsi="Times New Roman"/>
          <w:sz w:val="12"/>
          <w:szCs w:val="12"/>
          <w:color w:val="auto"/>
        </w:rPr>
      </w:pPr>
    </w:p>
    <w:p>
      <w:pPr>
        <w:ind w:left="425" w:right="20" w:hanging="416"/>
        <w:spacing w:after="0" w:line="279" w:lineRule="auto"/>
        <w:tabs>
          <w:tab w:leader="none" w:pos="42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requisition for title or compulsory acquisition of the Vessel by any government or other competent authority (other than by way of requisition for hire) unless the Vessel is released and returned to the possession of the Owners or the Charterers within sixty (60) days after the requisition for title or compulsory acquisition in question; or</w:t>
      </w:r>
    </w:p>
    <w:p>
      <w:pPr>
        <w:spacing w:after="0" w:line="111" w:lineRule="exact"/>
        <w:rPr>
          <w:rFonts w:ascii="Times New Roman" w:cs="Times New Roman" w:eastAsia="Times New Roman" w:hAnsi="Times New Roman"/>
          <w:sz w:val="12"/>
          <w:szCs w:val="12"/>
          <w:color w:val="auto"/>
        </w:rPr>
      </w:pPr>
    </w:p>
    <w:p>
      <w:pPr>
        <w:jc w:val="both"/>
        <w:ind w:left="425" w:hanging="416"/>
        <w:spacing w:after="0" w:line="255" w:lineRule="auto"/>
        <w:tabs>
          <w:tab w:leader="none" w:pos="425" w:val="left"/>
        </w:tabs>
        <w:numPr>
          <w:ilvl w:val="0"/>
          <w:numId w:val="4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capture, seizure, hijacking, theft, condemnation as prize, confiscation or forfeiture of the Vessel (not falling within paragraph (b) of this definition), unless the Vessel is released and returned to the possession of the Owners or the Charterers within ninety (90) days after the capture, seizure, arrest, detention, hijacking, theft, condemnation as prize, confiscation or forfeiture in question (for the avoidance of confusion, always excluding any arrest or detention or similar incident through judicial procedures or legal proceedings or, by reason of or in connection with maritime lien or any claim against an Obligor or arising out of or in relation to the use, operation, maintenance or management of the Vessel or, otherwise caused by or attributable to an Obligor), and for the purpose of this Charter, (i) an actual Total Loss of the Vessel shall be deemed to have occurred at the date and time when the Vessel was lost but if the date of the loss is unknown the actual Total Loss shall be deemed to have occurred on the date on which the Vessel was last reported, (ii) a constructive Total Loss shall be deemed to have occurred at the date and time at which a notice of abandonment of the Vessel is given to the insurers of the Vessel and (iii) a compromised, agreed or arranged Total Loss shall be deemed to have occurred on the date of the relevant compromise, agreement or arrangement.</w:t>
      </w:r>
    </w:p>
    <w:p>
      <w:pPr>
        <w:spacing w:after="0" w:line="126"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325" w:name="page326"/>
    <w:bookmarkEnd w:id="32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5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Proceeds</w:t>
      </w:r>
      <w:r>
        <w:rPr>
          <w:rFonts w:ascii="Times New Roman" w:cs="Times New Roman" w:eastAsia="Times New Roman" w:hAnsi="Times New Roman"/>
          <w:sz w:val="12"/>
          <w:szCs w:val="12"/>
          <w:color w:val="auto"/>
        </w:rPr>
        <w:t>" means the proceeds of the Insurances or any other compensation of any description in respect of a Total Loss unconditionally received and retained by or on behalf of the Owners in respect of a Total Loss.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Termination</w:t>
      </w:r>
      <w:r>
        <w:rPr>
          <w:rFonts w:ascii="Times New Roman" w:cs="Times New Roman" w:eastAsia="Times New Roman" w:hAnsi="Times New Roman"/>
          <w:sz w:val="12"/>
          <w:szCs w:val="12"/>
          <w:color w:val="auto"/>
        </w:rPr>
        <w:t>" means a termination of the Charter Period pursuant to the provisions of paragraph (a) of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Documents</w:t>
      </w:r>
      <w:r>
        <w:rPr>
          <w:rFonts w:ascii="Times New Roman" w:cs="Times New Roman" w:eastAsia="Times New Roman" w:hAnsi="Times New Roman"/>
          <w:sz w:val="12"/>
          <w:szCs w:val="12"/>
          <w:color w:val="auto"/>
        </w:rPr>
        <w:t>" means, together:</w:t>
      </w:r>
    </w:p>
    <w:p>
      <w:pPr>
        <w:spacing w:after="0" w:line="154" w:lineRule="exact"/>
        <w:rPr>
          <w:sz w:val="20"/>
          <w:szCs w:val="20"/>
          <w:color w:val="auto"/>
        </w:rPr>
      </w:pPr>
    </w:p>
    <w:p>
      <w:pPr>
        <w:ind w:left="420" w:hanging="416"/>
        <w:spacing w:after="0"/>
        <w:tabs>
          <w:tab w:leader="none" w:pos="42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such other documents as may in good faith be designated as such by the Owners from time to time.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any Obligor under the Transaction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USD</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each means available and freely transferable and convertible funds in lawful currency of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Valuation Report</w:t>
      </w:r>
      <w:r>
        <w:rPr>
          <w:rFonts w:ascii="Times New Roman" w:cs="Times New Roman" w:eastAsia="Times New Roman" w:hAnsi="Times New Roman"/>
          <w:sz w:val="12"/>
          <w:szCs w:val="12"/>
          <w:color w:val="auto"/>
        </w:rPr>
        <w:t>" means, in relation to the Vessel, a valuation report addressed to the Owners and prepared:</w:t>
      </w:r>
    </w:p>
    <w:p>
      <w:pPr>
        <w:spacing w:after="0" w:line="154" w:lineRule="exact"/>
        <w:rPr>
          <w:sz w:val="20"/>
          <w:szCs w:val="20"/>
          <w:color w:val="auto"/>
        </w:rPr>
      </w:pPr>
    </w:p>
    <w:p>
      <w:pPr>
        <w:ind w:left="440" w:hanging="436"/>
        <w:spacing w:after="0"/>
        <w:tabs>
          <w:tab w:leader="none" w:pos="440"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an Approved Valuer selected by the Owners; and</w:t>
      </w:r>
    </w:p>
    <w:p>
      <w:pPr>
        <w:spacing w:after="0" w:line="150" w:lineRule="exact"/>
        <w:rPr>
          <w:rFonts w:ascii="Times New Roman" w:cs="Times New Roman" w:eastAsia="Times New Roman" w:hAnsi="Times New Roman"/>
          <w:sz w:val="12"/>
          <w:szCs w:val="12"/>
          <w:color w:val="auto"/>
        </w:rPr>
      </w:pPr>
    </w:p>
    <w:p>
      <w:pPr>
        <w:ind w:right="1000" w:firstLine="4"/>
        <w:spacing w:after="0" w:line="500" w:lineRule="auto"/>
        <w:tabs>
          <w:tab w:leader="none" w:pos="432" w:val="left"/>
        </w:tabs>
        <w:numPr>
          <w:ilvl w:val="0"/>
          <w:numId w:val="4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assessed in Dollars by a desktop valuation on the basis of a charter-free sale for prompt delivery for cash at arm's length on normal commercial terms as between a willing seller and a willing buyer. "</w:t>
      </w:r>
      <w:r>
        <w:rPr>
          <w:rFonts w:ascii="Times New Roman" w:cs="Times New Roman" w:eastAsia="Times New Roman" w:hAnsi="Times New Roman"/>
          <w:sz w:val="12"/>
          <w:szCs w:val="12"/>
          <w:b w:val="1"/>
          <w:bCs w:val="1"/>
          <w:color w:val="auto"/>
        </w:rPr>
        <w:t>Value Maintenance Ratio</w:t>
      </w:r>
      <w:r>
        <w:rPr>
          <w:rFonts w:ascii="Times New Roman" w:cs="Times New Roman" w:eastAsia="Times New Roman" w:hAnsi="Times New Roman"/>
          <w:sz w:val="12"/>
          <w:szCs w:val="12"/>
          <w:color w:val="auto"/>
        </w:rPr>
        <w:t>" means the ratio (expressed as a percentage) of:</w:t>
      </w:r>
    </w:p>
    <w:p>
      <w:pPr>
        <w:spacing w:after="0" w:line="1" w:lineRule="exact"/>
        <w:rPr>
          <w:sz w:val="20"/>
          <w:szCs w:val="20"/>
          <w:color w:val="auto"/>
        </w:rPr>
      </w:pPr>
    </w:p>
    <w:p>
      <w:pPr>
        <w:ind w:left="420" w:hanging="416"/>
        <w:spacing w:after="0"/>
        <w:tabs>
          <w:tab w:leader="none" w:pos="420"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the Market Value of the Vessel and any Cash Collateral already provided to restore the Value Maintenance Ratio; to</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then Outstanding Principal.</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Value Maintenance Threshold</w:t>
      </w:r>
      <w:r>
        <w:rPr>
          <w:rFonts w:ascii="Times New Roman" w:cs="Times New Roman" w:eastAsia="Times New Roman" w:hAnsi="Times New Roman"/>
          <w:sz w:val="12"/>
          <w:szCs w:val="12"/>
          <w:color w:val="auto"/>
        </w:rPr>
        <w:t>" means the ratio (expressed as a percentage) of one hundred and thirty per cent. (130%).</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"Variable Hire" </w:t>
      </w:r>
      <w:r>
        <w:rPr>
          <w:rFonts w:ascii="Times New Roman" w:cs="Times New Roman" w:eastAsia="Times New Roman" w:hAnsi="Times New Roman"/>
          <w:sz w:val="12"/>
          <w:szCs w:val="12"/>
          <w:color w:val="auto"/>
        </w:rPr>
        <w:t>means in respect of each Hire Period, the interest accrued on the Outstanding Principal for each day during the relevant Hire Period and calculated on the basis of a year of three hundred sixty (360) days at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applicable Interest Rate by using the following formula:</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26" w:name="page327"/>
    <w:bookmarkEnd w:id="326"/>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u w:val="single" w:color="auto"/>
          <w:color w:val="auto"/>
        </w:rPr>
        <w:t>VH</w:t>
      </w:r>
      <w:r>
        <w:rPr>
          <w:rFonts w:ascii="Times New Roman" w:cs="Times New Roman" w:eastAsia="Times New Roman" w:hAnsi="Times New Roman"/>
          <w:sz w:val="12"/>
          <w:szCs w:val="12"/>
          <w:color w:val="auto"/>
        </w:rPr>
        <w:t xml:space="preserve"> = (A × B / 360) × C</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i w:val="1"/>
          <w:iCs w:val="1"/>
          <w:color w:val="auto"/>
        </w:rPr>
        <w:t>whereby</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VH = the amount of Variable Hire for that Hire Period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A = (in relation to the first Hire Payment Date) the Original Principal; or</w:t>
      </w:r>
    </w:p>
    <w:p>
      <w:pPr>
        <w:spacing w:after="0" w:line="1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2"/>
          <w:szCs w:val="12"/>
          <w:color w:val="auto"/>
        </w:rPr>
        <w:t>(in relation to any other subsequent Hire Payment Date) the Outstanding Principal on the immediately preceding Hire Payment Date</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B = the Interest Rate applicable to that Hire Period</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C = the actual number of days during that Hire Period.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means the container ship named "</w:t>
      </w:r>
      <w:r>
        <w:rPr>
          <w:rFonts w:ascii="Times New Roman" w:cs="Times New Roman" w:eastAsia="Times New Roman" w:hAnsi="Times New Roman"/>
          <w:sz w:val="12"/>
          <w:szCs w:val="12"/>
          <w:b w:val="1"/>
          <w:bCs w:val="1"/>
          <w:color w:val="auto"/>
        </w:rPr>
        <w:t>SYDNEY EXPRESS</w:t>
      </w:r>
      <w:r>
        <w:rPr>
          <w:rFonts w:ascii="Times New Roman" w:cs="Times New Roman" w:eastAsia="Times New Roman" w:hAnsi="Times New Roman"/>
          <w:sz w:val="12"/>
          <w:szCs w:val="12"/>
          <w:color w:val="auto"/>
        </w:rPr>
        <w:t>" as more particularly described in Boxes 5 (</w:t>
      </w:r>
      <w:r>
        <w:rPr>
          <w:rFonts w:ascii="Times New Roman" w:cs="Times New Roman" w:eastAsia="Times New Roman" w:hAnsi="Times New Roman"/>
          <w:sz w:val="12"/>
          <w:szCs w:val="12"/>
          <w:i w:val="1"/>
          <w:iCs w:val="1"/>
          <w:color w:val="auto"/>
        </w:rPr>
        <w:t>Vessel's name, call sign and flag</w:t>
      </w:r>
      <w:r>
        <w:rPr>
          <w:rFonts w:ascii="Times New Roman" w:cs="Times New Roman" w:eastAsia="Times New Roman" w:hAnsi="Times New Roman"/>
          <w:sz w:val="12"/>
          <w:szCs w:val="12"/>
          <w:color w:val="auto"/>
        </w:rPr>
        <w:t>) to 10 (</w:t>
      </w:r>
      <w:r>
        <w:rPr>
          <w:rFonts w:ascii="Times New Roman" w:cs="Times New Roman" w:eastAsia="Times New Roman" w:hAnsi="Times New Roman"/>
          <w:sz w:val="12"/>
          <w:szCs w:val="12"/>
          <w:i w:val="1"/>
          <w:iCs w:val="1"/>
          <w:color w:val="auto"/>
        </w:rPr>
        <w:t>Classification Society</w:t>
      </w:r>
      <w:r>
        <w:rPr>
          <w:rFonts w:ascii="Times New Roman" w:cs="Times New Roman" w:eastAsia="Times New Roman" w:hAnsi="Times New Roman"/>
          <w:sz w:val="12"/>
          <w:szCs w:val="12"/>
          <w:color w:val="auto"/>
        </w:rPr>
        <w:t>) of this Charter.</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Quiet Enjoyment Letter</w:t>
      </w:r>
      <w:r>
        <w:rPr>
          <w:rFonts w:ascii="Times New Roman" w:cs="Times New Roman" w:eastAsia="Times New Roman" w:hAnsi="Times New Roman"/>
          <w:sz w:val="12"/>
          <w:szCs w:val="12"/>
          <w:color w:val="auto"/>
        </w:rPr>
        <w:t>" means, in relation to the Vessel, a letter which the Finance Parties (or, if any, their authorised agent on their behalf) shall issue in favour of the Charterers, such letter to be in a form acceptable to the Charterers, the Owners and the Finance Parties (each party acting reasonably) under which the Finance Parties (in the absence of any Termination Event) allow (i) the Charterers' unfettered use and quiet enjoyment without interruption of the Vessel in accordance with the terms and conditions of this Charter and (ii) the release of any mortgage over the Vessel following full payment of the relevant amount owed under this Charter at the relevant time.</w:t>
      </w:r>
    </w:p>
    <w:p>
      <w:pPr>
        <w:spacing w:after="0" w:line="117" w:lineRule="exact"/>
        <w:rPr>
          <w:sz w:val="20"/>
          <w:szCs w:val="20"/>
          <w:color w:val="auto"/>
        </w:rPr>
      </w:pPr>
    </w:p>
    <w:p>
      <w:pPr>
        <w:ind w:left="480" w:hanging="431"/>
        <w:spacing w:after="0"/>
        <w:tabs>
          <w:tab w:leader="none" w:pos="480" w:val="left"/>
        </w:tabs>
        <w:numPr>
          <w:ilvl w:val="1"/>
          <w:numId w:val="43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Interpretations</w:t>
      </w:r>
    </w:p>
    <w:p>
      <w:pPr>
        <w:spacing w:after="0" w:line="154" w:lineRule="exact"/>
        <w:rPr>
          <w:rFonts w:ascii="Times New Roman" w:cs="Times New Roman" w:eastAsia="Times New Roman" w:hAnsi="Times New Roman"/>
          <w:sz w:val="12"/>
          <w:szCs w:val="12"/>
          <w:b w:val="1"/>
          <w:bCs w:val="1"/>
          <w:color w:val="auto"/>
        </w:rPr>
      </w:pPr>
    </w:p>
    <w:p>
      <w:pPr>
        <w:ind w:left="420" w:hanging="416"/>
        <w:spacing w:after="0"/>
        <w:tabs>
          <w:tab w:leader="none" w:pos="420" w:val="left"/>
        </w:tabs>
        <w:numPr>
          <w:ilvl w:val="0"/>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Charter, unless the context otherwise requires, any reference to:</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this Charter include the Schedules hereto and references to Clauses and Schedules are, unless otherwise specified, references to Clauses of and Schedules to this Charter and, in the case of a Schedule, to such Schedule as incorporated in this Charter as substituted from time to time;</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statutory or other legislative provision shall be construed as including any statutory or legislative modification or re-enactment thereof, or any substitution therefor;</w:t>
      </w:r>
    </w:p>
    <w:p>
      <w:pPr>
        <w:spacing w:after="0" w:line="14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includes any part of the Vessel, including, without limitation, any scrubbers installed on the Vessel;</w:t>
      </w:r>
    </w:p>
    <w:p>
      <w:pPr>
        <w:spacing w:after="0" w:line="150" w:lineRule="exact"/>
        <w:rPr>
          <w:rFonts w:ascii="Times New Roman" w:cs="Times New Roman" w:eastAsia="Times New Roman" w:hAnsi="Times New Roman"/>
          <w:sz w:val="12"/>
          <w:szCs w:val="12"/>
          <w:color w:val="auto"/>
        </w:rPr>
      </w:pPr>
    </w:p>
    <w:p>
      <w:pPr>
        <w:ind w:left="860" w:right="20" w:hanging="424"/>
        <w:spacing w:after="0" w:line="286" w:lineRule="auto"/>
        <w:tabs>
          <w:tab w:leader="none" w:pos="860" w:val="left"/>
        </w:tabs>
        <w:numPr>
          <w:ilvl w:val="2"/>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Charter Guarantor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Sub-charterer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Owners</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Related Charterers</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Trustee</w:t>
      </w:r>
      <w:r>
        <w:rPr>
          <w:rFonts w:ascii="Times New Roman" w:cs="Times New Roman" w:eastAsia="Times New Roman" w:hAnsi="Times New Roman"/>
          <w:sz w:val="12"/>
          <w:szCs w:val="12"/>
          <w:color w:val="auto"/>
        </w:rPr>
        <w:t>", or any other person include any of their respective successors, permitted assignees and permitted transferees;</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instrument or document include such agreement, instrument or document as the same may from time to time by amended, modified, supplemented, novated or substituted;</w:t>
      </w:r>
    </w:p>
    <w:p>
      <w:pPr>
        <w:spacing w:after="0" w:line="146" w:lineRule="exact"/>
        <w:rPr>
          <w:rFonts w:ascii="Times New Roman" w:cs="Times New Roman" w:eastAsia="Times New Roman" w:hAnsi="Times New Roman"/>
          <w:sz w:val="12"/>
          <w:szCs w:val="12"/>
          <w:color w:val="auto"/>
        </w:rPr>
      </w:pPr>
    </w:p>
    <w:p>
      <w:pPr>
        <w:jc w:val="both"/>
        <w:ind w:left="860" w:hanging="424"/>
        <w:spacing w:after="0" w:line="268" w:lineRule="auto"/>
        <w:tabs>
          <w:tab w:leader="none" w:pos="860" w:val="left"/>
        </w:tabs>
        <w:numPr>
          <w:ilvl w:val="2"/>
          <w:numId w:val="4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equivalent</w:t>
      </w:r>
      <w:r>
        <w:rPr>
          <w:rFonts w:ascii="Times New Roman" w:cs="Times New Roman" w:eastAsia="Times New Roman" w:hAnsi="Times New Roman"/>
          <w:sz w:val="12"/>
          <w:szCs w:val="12"/>
          <w:color w:val="auto"/>
        </w:rPr>
        <w:t>" in one currency (the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as at any date of an amount in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shall be construed as a reference to the amount of the first currency which could be purchased with such amount of the second currency at the spot rate of exchange quoted by the Owners at or about 11:00 a.m. two (2) Business Days (being a day other than a Saturday or Sunday on which banks and foreign exchange markets are generally open for business in Shanghai) prior to such date for the purchase of the first currency with the second currency for delivery and value on such date;</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27" w:name="page328"/>
    <w:bookmarkEnd w:id="32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860" w:hanging="424"/>
        <w:spacing w:after="0"/>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hereof</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herein</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hereunder</w:t>
      </w:r>
      <w:r>
        <w:rPr>
          <w:rFonts w:ascii="Times New Roman" w:cs="Times New Roman" w:eastAsia="Times New Roman" w:hAnsi="Times New Roman"/>
          <w:sz w:val="12"/>
          <w:szCs w:val="12"/>
          <w:color w:val="auto"/>
        </w:rPr>
        <w:t>" and other words of similar import means this Charter as a whole (including the Schedules) and not any particular part hereof;</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8" w:lineRule="auto"/>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common or customary law and any constitution, decree, judgment, legislation, order, ordinance, regulation, rule, statute, treaty or other legislative measure in any jurisdiction or any present or future directive, regulation, request or requirement, or official or judicial interpretation of any of the foregoing, in each case having the force of law and, if not having the force of law, in respect of which compliance is generally customary;</w:t>
      </w:r>
    </w:p>
    <w:p>
      <w:pPr>
        <w:spacing w:after="0" w:line="113" w:lineRule="exact"/>
        <w:rPr>
          <w:rFonts w:ascii="Times New Roman" w:cs="Times New Roman" w:eastAsia="Times New Roman" w:hAnsi="Times New Roman"/>
          <w:sz w:val="12"/>
          <w:szCs w:val="12"/>
          <w:color w:val="auto"/>
        </w:rPr>
      </w:pPr>
    </w:p>
    <w:p>
      <w:pPr>
        <w:ind w:left="860" w:right="20" w:hanging="424"/>
        <w:spacing w:after="0" w:line="286" w:lineRule="auto"/>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word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persons</w:t>
      </w:r>
      <w:r>
        <w:rPr>
          <w:rFonts w:ascii="Times New Roman" w:cs="Times New Roman" w:eastAsia="Times New Roman" w:hAnsi="Times New Roman"/>
          <w:sz w:val="12"/>
          <w:szCs w:val="12"/>
          <w:color w:val="auto"/>
        </w:rPr>
        <w:t>" or to words importing persons include, without limitation, any state, divisions of a state, government, individuals, partnerships, corporations, ventures, government agencies, committees, departments, authorities and other bodies, corporate or unincorporated, whether having distinct legal personality or not;</w:t>
      </w:r>
    </w:p>
    <w:p>
      <w:pPr>
        <w:spacing w:after="0" w:line="10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(having the force of law) of any governmental, intergovernmental or supranational body, agency, department or of any regulatory authority;</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8" w:lineRule="auto"/>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winding-up</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dissolution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administration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liquidation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insolvency</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reorganisation</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readjustment of debt</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suspension of payments</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moratorium</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bankruptcy</w:t>
      </w:r>
      <w:r>
        <w:rPr>
          <w:rFonts w:ascii="Times New Roman" w:cs="Times New Roman" w:eastAsia="Times New Roman" w:hAnsi="Times New Roman"/>
          <w:sz w:val="12"/>
          <w:szCs w:val="12"/>
          <w:color w:val="auto"/>
        </w:rPr>
        <w:t>" (and their derivatives and cognate expressions) of any person shall each be construed so as to include the others and any equivalent or analogous proceedings or event under the laws of any jurisdiction in which such person is incorporated or any jurisdiction in which such person carries on business;</w:t>
      </w:r>
    </w:p>
    <w:p>
      <w:pPr>
        <w:spacing w:after="0" w:line="113" w:lineRule="exact"/>
        <w:rPr>
          <w:rFonts w:ascii="Times New Roman" w:cs="Times New Roman" w:eastAsia="Times New Roman" w:hAnsi="Times New Roman"/>
          <w:sz w:val="12"/>
          <w:szCs w:val="12"/>
          <w:color w:val="auto"/>
        </w:rPr>
      </w:pPr>
    </w:p>
    <w:p>
      <w:pPr>
        <w:jc w:val="both"/>
        <w:ind w:left="860" w:hanging="424"/>
        <w:spacing w:after="0" w:line="262" w:lineRule="auto"/>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which is a member of the International Group of P&amp;I Club,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or 1/11/03), clause 8 of the Institute Time Clauses (Hull)(1/10/83) or clause 8 of the Institute Time Clauses (Hulls)(1/11/1995) or the Institute Amended Running Down Clause (1/10/71) or any equivalent provision;</w:t>
      </w:r>
    </w:p>
    <w:p>
      <w:pPr>
        <w:spacing w:after="0" w:line="11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 Termination Event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plural number include the singular and vice versa.</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Headings are for the purpose of reference only, have no legal or other significance, and shall be ignored in the interpretation of this Charter.</w:t>
      </w:r>
    </w:p>
    <w:p>
      <w:pPr>
        <w:spacing w:after="0" w:line="150"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4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(unless otherwise specified) is a reference to Beijing time.</w:t>
      </w:r>
    </w:p>
    <w:p>
      <w:pPr>
        <w:spacing w:after="0" w:line="146" w:lineRule="exact"/>
        <w:rPr>
          <w:rFonts w:ascii="Times New Roman" w:cs="Times New Roman" w:eastAsia="Times New Roman" w:hAnsi="Times New Roman"/>
          <w:sz w:val="12"/>
          <w:szCs w:val="12"/>
          <w:color w:val="auto"/>
        </w:rPr>
      </w:pPr>
    </w:p>
    <w:p>
      <w:pPr>
        <w:ind w:left="580" w:hanging="432"/>
        <w:spacing w:after="0"/>
        <w:tabs>
          <w:tab w:leader="none" w:pos="580" w:val="left"/>
        </w:tabs>
        <w:numPr>
          <w:ilvl w:val="1"/>
          <w:numId w:val="4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Background</w:t>
      </w:r>
    </w:p>
    <w:p>
      <w:pPr>
        <w:spacing w:after="0" w:line="150" w:lineRule="exact"/>
        <w:rPr>
          <w:sz w:val="20"/>
          <w:szCs w:val="20"/>
          <w:color w:val="auto"/>
        </w:rPr>
      </w:pPr>
    </w:p>
    <w:p>
      <w:pPr>
        <w:ind w:left="440" w:right="20" w:hanging="436"/>
        <w:spacing w:after="0" w:line="286" w:lineRule="auto"/>
        <w:tabs>
          <w:tab w:leader="none" w:pos="440" w:val="left"/>
        </w:tabs>
        <w:numPr>
          <w:ilvl w:val="0"/>
          <w:numId w:val="4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request of the Charterers, the Owners (as buyers) entered into a memorandum of agreement of even date herewith (the "</w:t>
      </w:r>
      <w:r>
        <w:rPr>
          <w:rFonts w:ascii="Times New Roman" w:cs="Times New Roman" w:eastAsia="Times New Roman" w:hAnsi="Times New Roman"/>
          <w:sz w:val="12"/>
          <w:szCs w:val="12"/>
          <w:b w:val="1"/>
          <w:bCs w:val="1"/>
          <w:color w:val="auto"/>
        </w:rPr>
        <w:t>MOA</w:t>
      </w:r>
      <w:r>
        <w:rPr>
          <w:rFonts w:ascii="Times New Roman" w:cs="Times New Roman" w:eastAsia="Times New Roman" w:hAnsi="Times New Roman"/>
          <w:sz w:val="12"/>
          <w:szCs w:val="12"/>
          <w:color w:val="auto"/>
        </w:rPr>
        <w:t>") with the Charterers (as sellers) pursuant to which the Owners have agreed to purchase, and the Charterers have agreed to sell the Vessel subject to the terms and conditions therein contained.</w:t>
      </w:r>
    </w:p>
    <w:p>
      <w:pPr>
        <w:spacing w:after="0" w:line="26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28" w:name="page329"/>
    <w:bookmarkEnd w:id="328"/>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0" w:hanging="436"/>
        <w:spacing w:after="0" w:line="258" w:lineRule="auto"/>
        <w:tabs>
          <w:tab w:leader="none" w:pos="440"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ultimately intended for use by the Charterers and the Owners will finance the Charterers' acquisition of the Vessel with the arrangement that the Charterers will repay the Owners pursuant to the terms and conditions herein.</w:t>
      </w:r>
    </w:p>
    <w:p>
      <w:pPr>
        <w:spacing w:after="0" w:line="12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Accordingly, the parties hereby agree that this Charter is subject to the effective transfer of ownership of the Vessel to the Owners pursuant to the MOA.</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4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prior to the Actual Delivery Date, in the absence of any Termination Event, it becomes unlawful for the Owners (as buyers) to perform or comply with any or all of their obligations under the MOA or any of the obligations of the Owners under the MOA is not or ceases to be legal, valid, binding and enforceable, neither party shall be liable to the other for any claim arising out of this Charter and this Charter shall immediately terminate and be cancelled (with the exception of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and Clause 58 (</w:t>
      </w:r>
      <w:r>
        <w:rPr>
          <w:rFonts w:ascii="Times New Roman" w:cs="Times New Roman" w:eastAsia="Times New Roman" w:hAnsi="Times New Roman"/>
          <w:sz w:val="12"/>
          <w:szCs w:val="12"/>
          <w:i w:val="1"/>
          <w:iCs w:val="1"/>
          <w:color w:val="auto"/>
        </w:rPr>
        <w:t>Further indemnities</w:t>
      </w:r>
      <w:r>
        <w:rPr>
          <w:rFonts w:ascii="Times New Roman" w:cs="Times New Roman" w:eastAsia="Times New Roman" w:hAnsi="Times New Roman"/>
          <w:sz w:val="12"/>
          <w:szCs w:val="12"/>
          <w:color w:val="auto"/>
        </w:rPr>
        <w:t>)) provided (for the avoidance of any doubt) the Owners shall be entitled to retain the Arrangement Fee and, if the Arrangement Fee has not been paid, the Charterers shall immediately pay such amount in full together with interest thereon pursuant to Clause 40(g)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20" w:hanging="429"/>
        <w:spacing w:after="0"/>
        <w:tabs>
          <w:tab w:leader="none" w:pos="820" w:val="left"/>
        </w:tabs>
        <w:numPr>
          <w:ilvl w:val="1"/>
          <w:numId w:val="44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Delivery</w:t>
      </w:r>
    </w:p>
    <w:p>
      <w:pPr>
        <w:spacing w:after="0" w:line="154" w:lineRule="exact"/>
        <w:rPr>
          <w:sz w:val="20"/>
          <w:szCs w:val="20"/>
          <w:color w:val="auto"/>
        </w:rPr>
      </w:pPr>
    </w:p>
    <w:p>
      <w:pPr>
        <w:jc w:val="both"/>
        <w:ind w:left="440" w:hanging="436"/>
        <w:spacing w:after="0" w:line="265" w:lineRule="auto"/>
        <w:tabs>
          <w:tab w:leader="none" w:pos="440"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expressly acknowledge and confirm that the Owners entered into the MOA to purchase the Vessel solely for the purpose of leasing the Vessel to the Charterers under this Charter and that the Owners shall have no obligation or duty whatsoever to survey, investigate or verify the condition or performance of the Vessel. The Charterers shall be responsible to, at the Charterers' costs and expenses, make arrangement to take physical delivery of the Vessel and all plans, drawings, manuals, technical documents, and certificates pertaining to the Vessels.</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will deliver and the Charterers will take delivery of the Vessel under this Charter immediately, which to the extent possible shall be deemed to take place simultaneously, after the Sellers deliver the Vessel to the Owners under and subject to the terms of the MOA upon the Actual Delivery Date, subject to which, the Charterers will accept the Vessel on an "</w:t>
      </w:r>
      <w:r>
        <w:rPr>
          <w:rFonts w:ascii="Times New Roman" w:cs="Times New Roman" w:eastAsia="Times New Roman" w:hAnsi="Times New Roman"/>
          <w:sz w:val="12"/>
          <w:szCs w:val="12"/>
          <w:b w:val="1"/>
          <w:bCs w:val="1"/>
          <w:color w:val="auto"/>
        </w:rPr>
        <w:t>as is where is</w:t>
      </w:r>
      <w:r>
        <w:rPr>
          <w:rFonts w:ascii="Times New Roman" w:cs="Times New Roman" w:eastAsia="Times New Roman" w:hAnsi="Times New Roman"/>
          <w:sz w:val="12"/>
          <w:szCs w:val="12"/>
          <w:color w:val="auto"/>
        </w:rPr>
        <w:t>" basis on delivery under this Charter.</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and the MOA, the obligation of the Owners to purchase the Vessel from the Sellers and charter the Vessel to the Charterers pursuant to this Charter shall be subject to the following conditions:</w:t>
      </w:r>
    </w:p>
    <w:p>
      <w:pPr>
        <w:spacing w:after="0" w:line="111"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on or prior to the date of this Charter or the Actual Delivery Date;</w:t>
      </w:r>
    </w:p>
    <w:p>
      <w:pPr>
        <w:spacing w:after="0" w:line="148"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representations and warranties referred to in Clause 47 (</w:t>
      </w:r>
      <w:r>
        <w:rPr>
          <w:rFonts w:ascii="Times New Roman" w:cs="Times New Roman" w:eastAsia="Times New Roman" w:hAnsi="Times New Roman"/>
          <w:sz w:val="12"/>
          <w:szCs w:val="12"/>
          <w:i w:val="1"/>
          <w:iCs w:val="1"/>
          <w:color w:val="auto"/>
        </w:rPr>
        <w:t>Charterers' representations and warranties</w:t>
      </w:r>
      <w:r>
        <w:rPr>
          <w:rFonts w:ascii="Times New Roman" w:cs="Times New Roman" w:eastAsia="Times New Roman" w:hAnsi="Times New Roman"/>
          <w:sz w:val="12"/>
          <w:szCs w:val="12"/>
          <w:color w:val="auto"/>
        </w:rPr>
        <w:t>) being true and correct on the date of this Charter and the Actual Delivery Date;</w:t>
      </w:r>
    </w:p>
    <w:p>
      <w:pPr>
        <w:spacing w:after="0" w:line="152"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Actual Delivery Date falls on or before the Cancellation Date (or such later date as may be agreed between the Owners (as buyers under the MOA) and Sellers; and</w:t>
      </w:r>
    </w:p>
    <w:p>
      <w:pPr>
        <w:spacing w:after="0" w:line="148" w:lineRule="exact"/>
        <w:rPr>
          <w:rFonts w:ascii="Times New Roman" w:cs="Times New Roman" w:eastAsia="Times New Roman" w:hAnsi="Times New Roman"/>
          <w:sz w:val="12"/>
          <w:szCs w:val="12"/>
          <w:color w:val="auto"/>
        </w:rPr>
      </w:pPr>
    </w:p>
    <w:p>
      <w:pPr>
        <w:ind w:left="840" w:hanging="404"/>
        <w:spacing w:after="0" w:line="283" w:lineRule="auto"/>
        <w:tabs>
          <w:tab w:leader="none" w:pos="840" w:val="left"/>
        </w:tabs>
        <w:numPr>
          <w:ilvl w:val="1"/>
          <w:numId w:val="4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received, or are satisfied that they will receive, the documents and evidence referred to in Clause 36 (</w:t>
      </w:r>
      <w:r>
        <w:rPr>
          <w:rFonts w:ascii="Times New Roman" w:cs="Times New Roman" w:eastAsia="Times New Roman" w:hAnsi="Times New Roman"/>
          <w:sz w:val="12"/>
          <w:szCs w:val="12"/>
          <w:i w:val="1"/>
          <w:iCs w:val="1"/>
          <w:color w:val="auto"/>
        </w:rPr>
        <w:t>Conditions precedent and conditions subsequent)</w:t>
      </w:r>
      <w:r>
        <w:rPr>
          <w:rFonts w:ascii="Times New Roman" w:cs="Times New Roman" w:eastAsia="Times New Roman" w:hAnsi="Times New Roman"/>
          <w:sz w:val="12"/>
          <w:szCs w:val="12"/>
          <w:color w:val="auto"/>
        </w:rPr>
        <w:t>, in each case in all respects in form and substance satisfactory to them on or before the Actual Delivery Date</w:t>
      </w:r>
      <w:r>
        <w:rPr>
          <w:rFonts w:ascii="Times New Roman" w:cs="Times New Roman" w:eastAsia="Times New Roman" w:hAnsi="Times New Roman"/>
          <w:sz w:val="12"/>
          <w:szCs w:val="12"/>
          <w:i w:val="1"/>
          <w:iCs w:val="1"/>
          <w:color w:val="auto"/>
        </w:rPr>
        <w:t>.</w:t>
      </w:r>
    </w:p>
    <w:p>
      <w:pPr>
        <w:spacing w:after="0" w:line="10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29" w:name="page330"/>
    <w:bookmarkEnd w:id="329"/>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440" w:hanging="436"/>
        <w:spacing w:after="0" w:line="279" w:lineRule="auto"/>
        <w:tabs>
          <w:tab w:leader="none" w:pos="440"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conditions referred to in paragraph (c) above have been fulfilled or waived to the satisfaction of the Owners (which shall be evidenced in writing by the Owners), the Owners and the Charterers agree that:</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their own expense, upon the Actual Delivery Date arrange for the Vessel to be registered in the name of the Owners under the Liberian flag and duly create and register a Financing Charter over the Vessel in favour of the Owners under the Liberian law as security for the obligations of the Obligors in connection with the Transaction Documents;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by the Owners of the Vessel under the MOA shall constitute delivery of the Vessel to the Charterers under this Charter and the Charterers shall have no right to refuse acceptance of delivery of the Vessel under this Charter and such acceptance shall constitute,</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acceptance of the Vessel by the Charterers for all purposes of this Charter;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for the purposes of the obligations and liabilities of the Owners hereunder or in connection herewith, the Vessel is at the time of delivery to the Charterers seaworthy, in accordance with the provisions of this Charter, in good working order and repair and without defect or inherent vice whether or not discoverable by the Charterers and free and clear of all Security Interest and debts of whatsoever nature; and</w:t>
      </w:r>
    </w:p>
    <w:p>
      <w:pPr>
        <w:spacing w:after="0" w:line="11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irrevocable, final and conclusive evidence that the Vessel is satisfactory in all respects and complies with the requirements of this Charter;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acceptance of delivery of the Vessel by the Charterers from the Owners pursuant to this Charter shall take place simultaneously with the acceptance of delivery of the Vessel by the Owners from the Sellers pursuant to the MOA;</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accept (without reservation) the Vessel:</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 "as is where is" basis in exactly the same form and state as the Vessel is delivered to the Owners pursuant to the MOA;</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form and state with any faults, deficiencies and errors of any description; and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no underwater inspection shall be performed at the time of commencement of this Charter on the basis that any repairs required at the next scheduled dry-docking are the responsibility of the Charterers;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and without prejudice to the foregoing, the Owners and the Charterers nonetheless agree to enter into and execute the PDA on Delivery.</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4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and agree that the Owners are not the manufacturer or original supplier of the Vessel which has been purchased by the Owners pursuant to the MOA, and have therefore made no representations or warranties in respect of the Vessel or any part thereof, and hereby waive all their rights in respect of any warranty or condition implied (whether statutory or otherwise) on the part of the Owners and all claims against the Owners howsoever the same might arise at any time in respect of the Vessel, and/or arising out of the construction, operation or performance of the Vessel and the chartering thereof under this Charter (including, without limitation, in respect of the seaworthiness or otherwise of the Vessel).</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30" w:name="page331"/>
    <w:bookmarkEnd w:id="330"/>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jc w:val="both"/>
        <w:ind w:left="720" w:hanging="436"/>
        <w:spacing w:after="0" w:line="265" w:lineRule="auto"/>
        <w:tabs>
          <w:tab w:leader="none" w:pos="720" w:val="left"/>
        </w:tabs>
        <w:numPr>
          <w:ilvl w:val="1"/>
          <w:numId w:val="4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particular, and without prejudice to the generality of paragraph (e) above, the Owners shall be under no liability whatsoever, howsoever arising, in respect of the injury, death, loss, damage or delay of or to or in connection with the Vessel or any person or property whatsoever, whether onboard the Vessel or elsewhere, and irrespective of whether such injury, death, loss, damage or delay shall arise from the unseaworthiness of the Vessel. For the purpose of this paragraph (f), "delay" shall include delay to the Vessel (whether in respect of delivery under this Charter or thereafter and any other delay whatsoever).</w:t>
      </w:r>
    </w:p>
    <w:p>
      <w:pPr>
        <w:spacing w:after="0" w:line="114" w:lineRule="exact"/>
        <w:rPr>
          <w:rFonts w:ascii="Times New Roman" w:cs="Times New Roman" w:eastAsia="Times New Roman" w:hAnsi="Times New Roman"/>
          <w:sz w:val="12"/>
          <w:szCs w:val="12"/>
          <w:color w:val="auto"/>
        </w:rPr>
      </w:pPr>
    </w:p>
    <w:p>
      <w:pPr>
        <w:ind w:left="440" w:hanging="435"/>
        <w:spacing w:after="0"/>
        <w:tabs>
          <w:tab w:leader="none" w:pos="440" w:val="left"/>
        </w:tabs>
        <w:numPr>
          <w:ilvl w:val="0"/>
          <w:numId w:val="4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precedent and conditions subsequent</w:t>
      </w:r>
    </w:p>
    <w:p>
      <w:pPr>
        <w:spacing w:after="0" w:line="154" w:lineRule="exact"/>
        <w:rPr>
          <w:rFonts w:ascii="Times New Roman" w:cs="Times New Roman" w:eastAsia="Times New Roman" w:hAnsi="Times New Roman"/>
          <w:sz w:val="12"/>
          <w:szCs w:val="12"/>
          <w:b w:val="1"/>
          <w:bCs w:val="1"/>
          <w:color w:val="auto"/>
        </w:rPr>
      </w:pPr>
    </w:p>
    <w:p>
      <w:pPr>
        <w:ind w:left="720" w:hanging="436"/>
        <w:spacing w:after="0"/>
        <w:tabs>
          <w:tab w:leader="none" w:pos="720" w:val="left"/>
        </w:tabs>
        <w:numPr>
          <w:ilvl w:val="1"/>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Initial Conditions</w:t>
      </w:r>
    </w:p>
    <w:p>
      <w:pPr>
        <w:spacing w:after="0" w:line="150" w:lineRule="exact"/>
        <w:rPr>
          <w:rFonts w:ascii="Times New Roman" w:cs="Times New Roman" w:eastAsia="Times New Roman" w:hAnsi="Times New Roman"/>
          <w:sz w:val="12"/>
          <w:szCs w:val="12"/>
          <w:color w:val="auto"/>
        </w:rPr>
      </w:pPr>
    </w:p>
    <w:p>
      <w:pPr>
        <w:jc w:val="both"/>
        <w:ind w:left="720"/>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or the MOA, the performance by the Owners of any of the obligations of under this Charter and the MOA (including, without limitation to, preposition or payment of the MOA Purchase Price (or a part hereof) under the MOA) are subject to and conditional upon the Owners' receipt of following documents and evidence (in each case in form and substance acceptable to the Owners) prior to or contemporaneously with the execution of this Charter (or such other date as the Owners and the Charterers may agree):</w:t>
      </w:r>
    </w:p>
    <w:p>
      <w:pPr>
        <w:spacing w:after="0" w:line="118" w:lineRule="exact"/>
        <w:rPr>
          <w:rFonts w:ascii="Times New Roman" w:cs="Times New Roman" w:eastAsia="Times New Roman" w:hAnsi="Times New Roman"/>
          <w:sz w:val="12"/>
          <w:szCs w:val="12"/>
          <w:color w:val="auto"/>
        </w:rPr>
      </w:pPr>
    </w:p>
    <w:p>
      <w:pPr>
        <w:ind w:left="1040" w:hanging="342"/>
        <w:spacing w:after="0"/>
        <w:tabs>
          <w:tab w:leader="none" w:pos="1040" w:val="left"/>
        </w:tabs>
        <w:numPr>
          <w:ilvl w:val="2"/>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duly executed by the parties thereto:</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MOA;</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Guarantee;</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Trust Deed; and</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3"/>
          <w:numId w:val="4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Share Security,</w:t>
      </w:r>
    </w:p>
    <w:p>
      <w:pPr>
        <w:spacing w:after="0" w:line="150" w:lineRule="exact"/>
        <w:rPr>
          <w:sz w:val="20"/>
          <w:szCs w:val="20"/>
          <w:color w:val="auto"/>
        </w:rPr>
      </w:pPr>
    </w:p>
    <w:p>
      <w:pPr>
        <w:jc w:val="both"/>
        <w:ind w:left="1040"/>
        <w:spacing w:after="0" w:line="265" w:lineRule="auto"/>
        <w:rPr>
          <w:sz w:val="20"/>
          <w:szCs w:val="20"/>
          <w:color w:val="auto"/>
        </w:rPr>
      </w:pPr>
      <w:r>
        <w:rPr>
          <w:rFonts w:ascii="Times New Roman" w:cs="Times New Roman" w:eastAsia="Times New Roman" w:hAnsi="Times New Roman"/>
          <w:sz w:val="12"/>
          <w:szCs w:val="12"/>
          <w:color w:val="auto"/>
        </w:rPr>
        <w:t>each together with all documents required by any of them, including without limitation to the original Certificate of Limited Liability Company Interest and other ancillary documents required under the Share Security (or, in case the Actual Delivery Date would occur within ten (10) Business Days of the date of this Charter, undertaking that the original certificate and documents shall be delivered to the Owners within ten (10) Business Days of the date hereof);</w:t>
      </w:r>
    </w:p>
    <w:p>
      <w:pPr>
        <w:spacing w:after="0" w:line="119" w:lineRule="exact"/>
        <w:rPr>
          <w:sz w:val="20"/>
          <w:szCs w:val="20"/>
          <w:color w:val="auto"/>
        </w:rPr>
      </w:pPr>
    </w:p>
    <w:p>
      <w:pPr>
        <w:ind w:left="1040" w:hanging="342"/>
        <w:spacing w:after="0"/>
        <w:tabs>
          <w:tab w:leader="none" w:pos="1040" w:val="left"/>
        </w:tabs>
        <w:numPr>
          <w:ilvl w:val="0"/>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each Obligor which is a party to the documents listed in above paragraph (i):</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1"/>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its constitutional documents including Certificate of Incorporation, Business Registration Certificate, Memorandum and Articles of Association (or equivalent in its place of incorporation);</w:t>
      </w:r>
    </w:p>
    <w:p>
      <w:pPr>
        <w:spacing w:after="0" w:line="150" w:lineRule="exact"/>
        <w:rPr>
          <w:rFonts w:ascii="Times New Roman" w:cs="Times New Roman" w:eastAsia="Times New Roman" w:hAnsi="Times New Roman"/>
          <w:sz w:val="12"/>
          <w:szCs w:val="12"/>
          <w:color w:val="auto"/>
        </w:rPr>
      </w:pPr>
    </w:p>
    <w:p>
      <w:pPr>
        <w:ind w:left="1540" w:hanging="500"/>
        <w:spacing w:after="0"/>
        <w:tabs>
          <w:tab w:leader="none" w:pos="1540" w:val="left"/>
        </w:tabs>
        <w:numPr>
          <w:ilvl w:val="1"/>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date of this Charter;</w:t>
      </w:r>
    </w:p>
    <w:p>
      <w:pPr>
        <w:spacing w:after="0" w:line="150" w:lineRule="exact"/>
        <w:rPr>
          <w:rFonts w:ascii="Times New Roman" w:cs="Times New Roman" w:eastAsia="Times New Roman" w:hAnsi="Times New Roman"/>
          <w:sz w:val="12"/>
          <w:szCs w:val="12"/>
          <w:color w:val="auto"/>
        </w:rPr>
      </w:pPr>
    </w:p>
    <w:p>
      <w:pPr>
        <w:ind w:left="1540" w:hanging="500"/>
        <w:spacing w:after="0" w:line="279" w:lineRule="auto"/>
        <w:tabs>
          <w:tab w:leader="none" w:pos="1540" w:val="left"/>
        </w:tabs>
        <w:numPr>
          <w:ilvl w:val="1"/>
          <w:numId w:val="4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Incumbency issued by relevant authority or company secretary or registered agent (as the case may be) dated on or around the date of this Charter showing its members/shareholders, directors and officers;</w:t>
      </w:r>
    </w:p>
    <w:p>
      <w:pPr>
        <w:spacing w:after="0" w:line="11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-93345</wp:posOffset>
            </wp:positionH>
            <wp:positionV relativeFrom="paragraph">
              <wp:posOffset>10795</wp:posOffset>
            </wp:positionV>
            <wp:extent cx="7178040" cy="57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60"/>
          </w:cols>
          <w:pgMar w:left="440" w:top="205" w:right="299" w:bottom="1440" w:gutter="0" w:footer="0" w:header="0"/>
        </w:sectPr>
      </w:pPr>
    </w:p>
    <w:bookmarkStart w:id="331" w:name="page332"/>
    <w:bookmarkEnd w:id="331"/>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1260" w:hanging="500"/>
        <w:spacing w:after="0" w:line="258" w:lineRule="auto"/>
        <w:tabs>
          <w:tab w:leader="none" w:pos="126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Resolutions of the board of directors and/or resolutions of shareholders/members (whichever is applicable), approving the execution of this Charter and any other Transaction Document to which it is a party and authorizing a person or persons to execute the same under seal (where appropriate), and any other notices and documents required in connection therewith;</w:t>
      </w:r>
    </w:p>
    <w:p>
      <w:pPr>
        <w:spacing w:after="0" w:line="123"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Power of attorney of each person authorised to execute on its behalf this Charter and any other Transaction Document to which it is a party; and</w:t>
      </w:r>
    </w:p>
    <w:p>
      <w:pPr>
        <w:spacing w:after="0" w:line="150" w:lineRule="exact"/>
        <w:rPr>
          <w:rFonts w:ascii="Times New Roman" w:cs="Times New Roman" w:eastAsia="Times New Roman" w:hAnsi="Times New Roman"/>
          <w:sz w:val="12"/>
          <w:szCs w:val="12"/>
          <w:color w:val="auto"/>
        </w:rPr>
      </w:pPr>
    </w:p>
    <w:p>
      <w:pPr>
        <w:jc w:val="both"/>
        <w:ind w:left="1260" w:hanging="500"/>
        <w:spacing w:after="0" w:line="265" w:lineRule="auto"/>
        <w:tabs>
          <w:tab w:leader="none" w:pos="1260" w:val="left"/>
        </w:tabs>
        <w:numPr>
          <w:ilvl w:val="1"/>
          <w:numId w:val="4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date of this Charter certifying that each copy document relating to it specified in this paragraph (ii) is correct, complete and in full force and effect and setting out the names of its directors, officers and shareholders and the proportion of shares held by each shareholder and the specimen signature(s) of each of the directors, officers and (if power of attorney is granted) the persons authorised under the power of attorney.</w:t>
      </w:r>
    </w:p>
    <w:p>
      <w:pPr>
        <w:spacing w:after="0" w:line="118" w:lineRule="exact"/>
        <w:rPr>
          <w:rFonts w:ascii="Times New Roman" w:cs="Times New Roman" w:eastAsia="Times New Roman" w:hAnsi="Times New Roman"/>
          <w:sz w:val="12"/>
          <w:szCs w:val="12"/>
          <w:color w:val="auto"/>
        </w:rPr>
      </w:pPr>
    </w:p>
    <w:p>
      <w:pPr>
        <w:ind w:left="760" w:hanging="342"/>
        <w:spacing w:after="0"/>
        <w:tabs>
          <w:tab w:leader="none" w:pos="760" w:val="left"/>
        </w:tabs>
        <w:numPr>
          <w:ilvl w:val="0"/>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satisfactory to the Owners that:</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 and the Arrangement Fee have been paid in full;</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or immediately after the Actual Delivery Date,</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will be registered in the name of the Owners; and</w:t>
      </w:r>
    </w:p>
    <w:p>
      <w:pPr>
        <w:spacing w:after="0" w:line="150" w:lineRule="exact"/>
        <w:rPr>
          <w:rFonts w:ascii="Times New Roman" w:cs="Times New Roman" w:eastAsia="Times New Roman" w:hAnsi="Times New Roman"/>
          <w:sz w:val="12"/>
          <w:szCs w:val="12"/>
          <w:color w:val="auto"/>
        </w:rPr>
      </w:pPr>
    </w:p>
    <w:p>
      <w:pPr>
        <w:ind w:left="1700" w:hanging="436"/>
        <w:spacing w:after="0"/>
        <w:tabs>
          <w:tab w:leader="none" w:pos="1700" w:val="left"/>
        </w:tabs>
        <w:numPr>
          <w:ilvl w:val="2"/>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Financing Charter over the Vessel granted by the Charterers in favour of the Owners will be duly registered with the Liberian ship registry;</w:t>
      </w:r>
    </w:p>
    <w:p>
      <w:pPr>
        <w:spacing w:after="0" w:line="150" w:lineRule="exact"/>
        <w:rPr>
          <w:rFonts w:ascii="Times New Roman" w:cs="Times New Roman" w:eastAsia="Times New Roman" w:hAnsi="Times New Roman"/>
          <w:sz w:val="12"/>
          <w:szCs w:val="12"/>
          <w:color w:val="auto"/>
        </w:rPr>
      </w:pPr>
    </w:p>
    <w:p>
      <w:pPr>
        <w:ind w:left="1260" w:hanging="500"/>
        <w:spacing w:after="0"/>
        <w:tabs>
          <w:tab w:leader="none" w:pos="1260" w:val="left"/>
        </w:tabs>
        <w:numPr>
          <w:ilvl w:val="1"/>
          <w:numId w:val="4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or will on the Actual Delivery Date insured in the manner required by the Transaction Documents.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The conditions precedent set out in paragraph (a) are for the sole benefit of the Owners and may be waived by the Owners in whole or in part, with or without conditions, without prejudicing the right of the Owners to require fulfilment of such conditions in whole or in part at any time thereafter.</w:t>
      </w:r>
    </w:p>
    <w:p>
      <w:pPr>
        <w:spacing w:after="0" w:line="111" w:lineRule="exact"/>
        <w:rPr>
          <w:sz w:val="20"/>
          <w:szCs w:val="20"/>
          <w:color w:val="auto"/>
        </w:rPr>
      </w:pPr>
    </w:p>
    <w:p>
      <w:pPr>
        <w:ind w:left="440" w:hanging="436"/>
        <w:spacing w:after="0"/>
        <w:tabs>
          <w:tab w:leader="none" w:pos="440" w:val="left"/>
        </w:tabs>
        <w:numPr>
          <w:ilvl w:val="0"/>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Precedent</w:t>
      </w:r>
    </w:p>
    <w:p>
      <w:pPr>
        <w:spacing w:after="0" w:line="150" w:lineRule="exact"/>
        <w:rPr>
          <w:rFonts w:ascii="Times New Roman" w:cs="Times New Roman" w:eastAsia="Times New Roman" w:hAnsi="Times New Roman"/>
          <w:sz w:val="12"/>
          <w:szCs w:val="12"/>
          <w:color w:val="auto"/>
        </w:rPr>
      </w:pPr>
    </w:p>
    <w:p>
      <w:pPr>
        <w:ind w:left="440" w:right="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the obligations of the Owners to charter the Vessel to the Charterers under this Charter are subject to and conditional upon the Owners' receipt of following documents and evidence (in each case in form and substance acceptable to the Owners) on or before the Actual Delivery Date:</w:t>
      </w:r>
    </w:p>
    <w:p>
      <w:pPr>
        <w:spacing w:after="0" w:line="111"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duly executed:</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Charterers' Assignment;</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Manager's Undertakings,</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Co-Assured Undertaking (if applicable); and</w:t>
      </w:r>
    </w:p>
    <w:p>
      <w:pPr>
        <w:spacing w:after="0" w:line="150" w:lineRule="exact"/>
        <w:rPr>
          <w:rFonts w:ascii="Times New Roman" w:cs="Times New Roman" w:eastAsia="Times New Roman" w:hAnsi="Times New Roman"/>
          <w:sz w:val="12"/>
          <w:szCs w:val="12"/>
          <w:color w:val="auto"/>
        </w:rPr>
      </w:pPr>
    </w:p>
    <w:p>
      <w:pPr>
        <w:ind w:left="1700" w:hanging="427"/>
        <w:spacing w:after="0"/>
        <w:tabs>
          <w:tab w:leader="none" w:pos="1700" w:val="left"/>
        </w:tabs>
        <w:numPr>
          <w:ilvl w:val="3"/>
          <w:numId w:val="4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Security Documents (if any),</w:t>
      </w:r>
    </w:p>
    <w:p>
      <w:pPr>
        <w:spacing w:after="0" w:line="150" w:lineRule="exact"/>
        <w:rPr>
          <w:sz w:val="20"/>
          <w:szCs w:val="20"/>
          <w:color w:val="auto"/>
        </w:rPr>
      </w:pPr>
    </w:p>
    <w:p>
      <w:pPr>
        <w:ind w:left="1280"/>
        <w:spacing w:after="0" w:line="279" w:lineRule="auto"/>
        <w:rPr>
          <w:sz w:val="20"/>
          <w:szCs w:val="20"/>
          <w:color w:val="auto"/>
        </w:rPr>
      </w:pPr>
      <w:r>
        <w:rPr>
          <w:rFonts w:ascii="Times New Roman" w:cs="Times New Roman" w:eastAsia="Times New Roman" w:hAnsi="Times New Roman"/>
          <w:sz w:val="12"/>
          <w:szCs w:val="12"/>
          <w:color w:val="auto"/>
        </w:rPr>
        <w:t>each together with all documents required by any of them (other than the documents set out in paragraph (d) of this Clause 36) including, without limitation, all notices of assignment and/or charge; and</w:t>
      </w:r>
    </w:p>
    <w:p>
      <w:pPr>
        <w:spacing w:after="0" w:line="27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32" w:name="page333"/>
    <w:bookmarkEnd w:id="332"/>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58" w:lineRule="exact"/>
        <w:rPr>
          <w:sz w:val="20"/>
          <w:szCs w:val="20"/>
          <w:color w:val="auto"/>
        </w:rPr>
      </w:pPr>
    </w:p>
    <w:p>
      <w:pPr>
        <w:ind w:left="880" w:right="20" w:hanging="412"/>
        <w:spacing w:after="0" w:line="279" w:lineRule="auto"/>
        <w:tabs>
          <w:tab w:leader="none" w:pos="880" w:val="left"/>
        </w:tabs>
        <w:numPr>
          <w:ilvl w:val="1"/>
          <w:numId w:val="4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the duly executed Finance Document to which the Obligors are parties, together with all notices, consents, letters and other documents required to be received (in each case in form and substance acceptable to the Owners and the Finance Parties) other than the documents set out in paragraph (d) of this Clause 36;</w:t>
      </w:r>
    </w:p>
    <w:p>
      <w:pPr>
        <w:spacing w:after="0" w:line="111" w:lineRule="exact"/>
        <w:rPr>
          <w:rFonts w:ascii="Times New Roman" w:cs="Times New Roman" w:eastAsia="Times New Roman" w:hAnsi="Times New Roman"/>
          <w:sz w:val="12"/>
          <w:szCs w:val="12"/>
          <w:color w:val="auto"/>
        </w:rPr>
      </w:pPr>
    </w:p>
    <w:p>
      <w:pPr>
        <w:ind w:left="440" w:hanging="431"/>
        <w:spacing w:after="0"/>
        <w:tabs>
          <w:tab w:leader="none" w:pos="44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documents in relation to the Charterers:</w:t>
      </w:r>
    </w:p>
    <w:p>
      <w:pPr>
        <w:spacing w:after="0" w:line="150" w:lineRule="exact"/>
        <w:rPr>
          <w:rFonts w:ascii="Times New Roman" w:cs="Times New Roman" w:eastAsia="Times New Roman" w:hAnsi="Times New Roman"/>
          <w:sz w:val="12"/>
          <w:szCs w:val="12"/>
          <w:color w:val="auto"/>
        </w:rPr>
      </w:pPr>
    </w:p>
    <w:p>
      <w:pPr>
        <w:ind w:left="880" w:hanging="412"/>
        <w:spacing w:after="0"/>
        <w:tabs>
          <w:tab w:leader="none" w:pos="880" w:val="left"/>
        </w:tabs>
        <w:numPr>
          <w:ilvl w:val="1"/>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Goodstanding or other certification or documents of similar nature dated on or around the Actual Delivery Date; and</w:t>
      </w:r>
    </w:p>
    <w:p>
      <w:pPr>
        <w:spacing w:after="0" w:line="148" w:lineRule="exact"/>
        <w:rPr>
          <w:rFonts w:ascii="Times New Roman" w:cs="Times New Roman" w:eastAsia="Times New Roman" w:hAnsi="Times New Roman"/>
          <w:sz w:val="12"/>
          <w:szCs w:val="12"/>
          <w:color w:val="auto"/>
        </w:rPr>
      </w:pPr>
    </w:p>
    <w:p>
      <w:pPr>
        <w:ind w:left="880" w:hanging="412"/>
        <w:spacing w:after="0" w:line="283" w:lineRule="auto"/>
        <w:tabs>
          <w:tab w:leader="none" w:pos="880" w:val="left"/>
        </w:tabs>
        <w:numPr>
          <w:ilvl w:val="1"/>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Certificate of Director or Company Secretary dated the Actual Delivery Date certifying that none of the documents and evidence delivered to the Owners pursuant to Clause 36(a)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has been amended, modified or revoked in any way since its delivery to the Owners; and</w:t>
      </w:r>
    </w:p>
    <w:p>
      <w:pPr>
        <w:spacing w:after="0" w:line="108" w:lineRule="exact"/>
        <w:rPr>
          <w:rFonts w:ascii="Times New Roman" w:cs="Times New Roman" w:eastAsia="Times New Roman" w:hAnsi="Times New Roman"/>
          <w:sz w:val="12"/>
          <w:szCs w:val="12"/>
          <w:color w:val="auto"/>
        </w:rPr>
      </w:pPr>
    </w:p>
    <w:p>
      <w:pPr>
        <w:ind w:left="440" w:hanging="431"/>
        <w:spacing w:after="0" w:line="279" w:lineRule="auto"/>
        <w:tabs>
          <w:tab w:leader="none" w:pos="44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applicable, copies of all governmental and other consents, licences, approvals and authorisations as may be necessary to authorise the performance by each of the Obligors of its obligations under the Transaction Documents to which it or he is, or (as the case may be) will be a party, and the execution, validity and enforceability of such Transaction Documents;</w:t>
      </w:r>
    </w:p>
    <w:p>
      <w:pPr>
        <w:spacing w:after="0" w:line="111" w:lineRule="exact"/>
        <w:rPr>
          <w:rFonts w:ascii="Times New Roman" w:cs="Times New Roman" w:eastAsia="Times New Roman" w:hAnsi="Times New Roman"/>
          <w:sz w:val="12"/>
          <w:szCs w:val="12"/>
          <w:color w:val="auto"/>
        </w:rPr>
      </w:pPr>
    </w:p>
    <w:p>
      <w:pPr>
        <w:ind w:left="440" w:hanging="431"/>
        <w:spacing w:after="0"/>
        <w:tabs>
          <w:tab w:leader="none" w:pos="440" w:val="left"/>
        </w:tabs>
        <w:numPr>
          <w:ilvl w:val="0"/>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copy of the following:</w:t>
      </w:r>
    </w:p>
    <w:p>
      <w:pPr>
        <w:spacing w:after="0" w:line="150" w:lineRule="exact"/>
        <w:rPr>
          <w:rFonts w:ascii="Times New Roman" w:cs="Times New Roman" w:eastAsia="Times New Roman" w:hAnsi="Times New Roman"/>
          <w:sz w:val="12"/>
          <w:szCs w:val="12"/>
          <w:color w:val="auto"/>
        </w:rPr>
      </w:pPr>
    </w:p>
    <w:p>
      <w:pPr>
        <w:ind w:left="880" w:hanging="412"/>
        <w:spacing w:after="0"/>
        <w:tabs>
          <w:tab w:leader="none" w:pos="880" w:val="left"/>
        </w:tabs>
        <w:numPr>
          <w:ilvl w:val="1"/>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current Document of Compliance (DOC) under the ISM Code of the Approved Manager with respect to technical management of the Vessel; and</w:t>
      </w:r>
    </w:p>
    <w:p>
      <w:pPr>
        <w:spacing w:after="0" w:line="150" w:lineRule="exact"/>
        <w:rPr>
          <w:rFonts w:ascii="Times New Roman" w:cs="Times New Roman" w:eastAsia="Times New Roman" w:hAnsi="Times New Roman"/>
          <w:sz w:val="12"/>
          <w:szCs w:val="12"/>
          <w:color w:val="auto"/>
        </w:rPr>
      </w:pPr>
    </w:p>
    <w:p>
      <w:pPr>
        <w:ind w:left="880" w:hanging="412"/>
        <w:spacing w:after="0"/>
        <w:tabs>
          <w:tab w:leader="none" w:pos="880" w:val="left"/>
        </w:tabs>
        <w:numPr>
          <w:ilvl w:val="1"/>
          <w:numId w:val="4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Ship Management Agreement;</w:t>
      </w:r>
    </w:p>
    <w:p>
      <w:pPr>
        <w:spacing w:after="0" w:line="15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2"/>
          <w:szCs w:val="12"/>
          <w:color w:val="auto"/>
        </w:rPr>
        <w:t>in each case together with all addenda, amendments or supplements;</w:t>
      </w:r>
    </w:p>
    <w:p>
      <w:pPr>
        <w:spacing w:after="0" w:line="150" w:lineRule="exact"/>
        <w:rPr>
          <w:sz w:val="20"/>
          <w:szCs w:val="20"/>
          <w:color w:val="auto"/>
        </w:rPr>
      </w:pPr>
    </w:p>
    <w:p>
      <w:pPr>
        <w:ind w:left="440" w:hanging="431"/>
        <w:spacing w:after="0"/>
        <w:tabs>
          <w:tab w:leader="none" w:pos="440"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later than two (2) Business Days prior to the Actual Delivery Date, evidence that:</w:t>
      </w:r>
    </w:p>
    <w:p>
      <w:pPr>
        <w:spacing w:after="0" w:line="150" w:lineRule="exact"/>
        <w:rPr>
          <w:rFonts w:ascii="Times New Roman" w:cs="Times New Roman" w:eastAsia="Times New Roman" w:hAnsi="Times New Roman"/>
          <w:sz w:val="12"/>
          <w:szCs w:val="12"/>
          <w:color w:val="auto"/>
        </w:rPr>
      </w:pPr>
    </w:p>
    <w:p>
      <w:pPr>
        <w:ind w:left="880" w:hanging="430"/>
        <w:spacing w:after="0"/>
        <w:tabs>
          <w:tab w:leader="none" w:pos="880" w:val="left"/>
        </w:tabs>
        <w:numPr>
          <w:ilvl w:val="1"/>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 Novation Agreement has been duly executed by all parties thereto;</w:t>
      </w:r>
    </w:p>
    <w:p>
      <w:pPr>
        <w:spacing w:after="0" w:line="148" w:lineRule="exact"/>
        <w:rPr>
          <w:rFonts w:ascii="Times New Roman" w:cs="Times New Roman" w:eastAsia="Times New Roman" w:hAnsi="Times New Roman"/>
          <w:sz w:val="12"/>
          <w:szCs w:val="12"/>
          <w:color w:val="auto"/>
        </w:rPr>
      </w:pPr>
    </w:p>
    <w:p>
      <w:pPr>
        <w:ind w:left="880" w:hanging="430"/>
        <w:spacing w:after="0"/>
        <w:tabs>
          <w:tab w:leader="none" w:pos="880" w:val="left"/>
        </w:tabs>
        <w:numPr>
          <w:ilvl w:val="1"/>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fees, costs and expenses due from the Charterers under the MOA and/or Clause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have been paid or will be paid by the Actual Delivery Date;</w:t>
      </w:r>
    </w:p>
    <w:p>
      <w:pPr>
        <w:spacing w:after="0" w:line="152" w:lineRule="exact"/>
        <w:rPr>
          <w:rFonts w:ascii="Times New Roman" w:cs="Times New Roman" w:eastAsia="Times New Roman" w:hAnsi="Times New Roman"/>
          <w:sz w:val="12"/>
          <w:szCs w:val="12"/>
          <w:color w:val="auto"/>
        </w:rPr>
      </w:pPr>
    </w:p>
    <w:p>
      <w:pPr>
        <w:ind w:left="880" w:hanging="412"/>
        <w:spacing w:after="0" w:line="279" w:lineRule="auto"/>
        <w:tabs>
          <w:tab w:leader="none" w:pos="880" w:val="left"/>
        </w:tabs>
        <w:numPr>
          <w:ilvl w:val="2"/>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letters of undertaking (together with attachments) from relevant insurers in respect of Insurances as required by the Charterers’ Assignment will, on or immediately after the Actual Delivery Date, be duly executed in the agreed forms and delivered to the Security Trustee; and</w:t>
      </w:r>
    </w:p>
    <w:p>
      <w:pPr>
        <w:spacing w:after="0" w:line="111" w:lineRule="exact"/>
        <w:rPr>
          <w:rFonts w:ascii="Times New Roman" w:cs="Times New Roman" w:eastAsia="Times New Roman" w:hAnsi="Times New Roman"/>
          <w:sz w:val="12"/>
          <w:szCs w:val="12"/>
          <w:color w:val="auto"/>
        </w:rPr>
      </w:pPr>
    </w:p>
    <w:p>
      <w:pPr>
        <w:ind w:left="880" w:hanging="412"/>
        <w:spacing w:after="0" w:line="279" w:lineRule="auto"/>
        <w:tabs>
          <w:tab w:leader="none" w:pos="880" w:val="left"/>
        </w:tabs>
        <w:numPr>
          <w:ilvl w:val="2"/>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consents, acknowledgements and other documents required to be received, given or exchanged pursuant to the Transaction Documents having been duly executed and delivered pursuant to the terms thereof.</w:t>
      </w:r>
    </w:p>
    <w:p>
      <w:pPr>
        <w:spacing w:after="0" w:line="111" w:lineRule="exact"/>
        <w:rPr>
          <w:rFonts w:ascii="Times New Roman" w:cs="Times New Roman" w:eastAsia="Times New Roman" w:hAnsi="Times New Roman"/>
          <w:sz w:val="12"/>
          <w:szCs w:val="12"/>
          <w:color w:val="auto"/>
        </w:rPr>
      </w:pPr>
    </w:p>
    <w:p>
      <w:pPr>
        <w:ind w:left="440" w:hanging="431"/>
        <w:spacing w:after="0" w:line="279" w:lineRule="auto"/>
        <w:tabs>
          <w:tab w:leader="none" w:pos="440" w:val="left"/>
        </w:tabs>
        <w:numPr>
          <w:ilvl w:val="0"/>
          <w:numId w:val="4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legal opinion of the legal advisers to the Owners in each relevant jurisdiction (being England, the Marshall Islands and the Republic of Liberia as at the date of this Charter), or confirmation satisfactory to the Owners that such an opinion will be given in such form and substance satisfactory to the Owners;</w:t>
      </w:r>
    </w:p>
    <w:p>
      <w:pPr>
        <w:spacing w:after="0" w:line="11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wp:posOffset>
            </wp:positionH>
            <wp:positionV relativeFrom="paragraph">
              <wp:posOffset>10795</wp:posOffset>
            </wp:positionV>
            <wp:extent cx="7178040" cy="57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80"/>
          </w:cols>
          <w:pgMar w:left="1120" w:top="205" w:right="299" w:bottom="1440" w:gutter="0" w:footer="0" w:header="0"/>
        </w:sectPr>
      </w:pPr>
    </w:p>
    <w:bookmarkStart w:id="333" w:name="page334"/>
    <w:bookmarkEnd w:id="333"/>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40" w:right="20" w:hanging="431"/>
        <w:spacing w:after="0" w:line="279" w:lineRule="auto"/>
        <w:tabs>
          <w:tab w:leader="none" w:pos="840"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documentation and other evidence as is reasonably requested by the Owners in order for them to comply with all necessary "know your customer" or similar identification procedures in relation the transactions contemplated in the Transaction Documents; and</w:t>
      </w:r>
    </w:p>
    <w:p>
      <w:pPr>
        <w:spacing w:after="0" w:line="111" w:lineRule="exact"/>
        <w:rPr>
          <w:rFonts w:ascii="Times New Roman" w:cs="Times New Roman" w:eastAsia="Times New Roman" w:hAnsi="Times New Roman"/>
          <w:sz w:val="12"/>
          <w:szCs w:val="12"/>
          <w:color w:val="auto"/>
        </w:rPr>
      </w:pPr>
    </w:p>
    <w:p>
      <w:pPr>
        <w:ind w:left="840" w:hanging="431"/>
        <w:spacing w:after="0" w:line="279" w:lineRule="auto"/>
        <w:tabs>
          <w:tab w:leader="none" w:pos="840" w:val="left"/>
        </w:tabs>
        <w:numPr>
          <w:ilvl w:val="0"/>
          <w:numId w:val="4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consent, licence, approval, authorisation or other document, opinion or assurance which the Owners consider to be necessary or desirable in connection with their entry into and performance of the transactions contemplated by any of the Transaction Documents or for the validity and enforceability thereof (including, without limitation in relation to or for the purposes of any financing by the Owners),</w:t>
      </w:r>
    </w:p>
    <w:p>
      <w:pPr>
        <w:spacing w:after="0" w:line="109" w:lineRule="exact"/>
        <w:rPr>
          <w:sz w:val="20"/>
          <w:szCs w:val="20"/>
          <w:color w:val="auto"/>
        </w:rPr>
      </w:pPr>
    </w:p>
    <w:p>
      <w:pPr>
        <w:ind w:left="440" w:right="20"/>
        <w:spacing w:after="0" w:line="283" w:lineRule="auto"/>
        <w:rPr>
          <w:sz w:val="20"/>
          <w:szCs w:val="20"/>
          <w:color w:val="auto"/>
        </w:rPr>
      </w:pPr>
      <w:r>
        <w:rPr>
          <w:rFonts w:ascii="Times New Roman" w:cs="Times New Roman" w:eastAsia="Times New Roman" w:hAnsi="Times New Roman"/>
          <w:sz w:val="12"/>
          <w:szCs w:val="12"/>
          <w:color w:val="auto"/>
        </w:rPr>
        <w:t xml:space="preserve">provided that if the Owners (as buyers) have already received documents corresponding to the above provided by the Sellers (as sellers) pursuant to the MOA, this shall </w:t>
      </w:r>
      <w:r>
        <w:rPr>
          <w:rFonts w:ascii="Times New Roman" w:cs="Times New Roman" w:eastAsia="Times New Roman" w:hAnsi="Times New Roman"/>
          <w:sz w:val="12"/>
          <w:szCs w:val="12"/>
          <w:i w:val="1"/>
          <w:iCs w:val="1"/>
          <w:color w:val="auto"/>
        </w:rPr>
        <w:t>pro tanto</w:t>
      </w:r>
      <w:r>
        <w:rPr>
          <w:rFonts w:ascii="Times New Roman" w:cs="Times New Roman" w:eastAsia="Times New Roman" w:hAnsi="Times New Roman"/>
          <w:sz w:val="12"/>
          <w:szCs w:val="12"/>
          <w:color w:val="auto"/>
        </w:rPr>
        <w:t xml:space="preserve"> satisfy the Charterers' obligation to provide the same documents under this Clause 36(b).</w:t>
      </w:r>
    </w:p>
    <w:p>
      <w:pPr>
        <w:spacing w:after="0" w:line="109" w:lineRule="exact"/>
        <w:rPr>
          <w:sz w:val="20"/>
          <w:szCs w:val="20"/>
          <w:color w:val="auto"/>
        </w:rPr>
      </w:pPr>
    </w:p>
    <w:p>
      <w:pPr>
        <w:ind w:left="440" w:hanging="436"/>
        <w:spacing w:after="0"/>
        <w:tabs>
          <w:tab w:leader="none" w:pos="440"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Owners Right to Waive</w:t>
      </w:r>
    </w:p>
    <w:p>
      <w:pPr>
        <w:spacing w:after="0" w:line="148" w:lineRule="exact"/>
        <w:rPr>
          <w:rFonts w:ascii="Times New Roman" w:cs="Times New Roman" w:eastAsia="Times New Roman" w:hAnsi="Times New Roman"/>
          <w:sz w:val="12"/>
          <w:szCs w:val="12"/>
          <w:color w:val="auto"/>
        </w:rPr>
      </w:pPr>
    </w:p>
    <w:p>
      <w:pPr>
        <w:jc w:val="both"/>
        <w:ind w:left="440"/>
        <w:spacing w:after="0" w:line="25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in their sole discretion agree to deliver the Vessel under this Charter to the Charterers before all of the documents and evidence required under paragraph (a) (</w:t>
      </w:r>
      <w:r>
        <w:rPr>
          <w:rFonts w:ascii="Times New Roman" w:cs="Times New Roman" w:eastAsia="Times New Roman" w:hAnsi="Times New Roman"/>
          <w:sz w:val="12"/>
          <w:szCs w:val="12"/>
          <w:i w:val="1"/>
          <w:iCs w:val="1"/>
          <w:color w:val="auto"/>
        </w:rPr>
        <w:t>Initial Conditions</w:t>
      </w:r>
      <w:r>
        <w:rPr>
          <w:rFonts w:ascii="Times New Roman" w:cs="Times New Roman" w:eastAsia="Times New Roman" w:hAnsi="Times New Roman"/>
          <w:sz w:val="12"/>
          <w:szCs w:val="12"/>
          <w:color w:val="auto"/>
        </w:rPr>
        <w:t>) or (b) (</w:t>
      </w:r>
      <w:r>
        <w:rPr>
          <w:rFonts w:ascii="Times New Roman" w:cs="Times New Roman" w:eastAsia="Times New Roman" w:hAnsi="Times New Roman"/>
          <w:sz w:val="12"/>
          <w:szCs w:val="12"/>
          <w:i w:val="1"/>
          <w:iCs w:val="1"/>
          <w:color w:val="auto"/>
        </w:rPr>
        <w:t>Conditions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Precedent</w:t>
      </w:r>
      <w:r>
        <w:rPr>
          <w:rFonts w:ascii="Times New Roman" w:cs="Times New Roman" w:eastAsia="Times New Roman" w:hAnsi="Times New Roman"/>
          <w:sz w:val="12"/>
          <w:szCs w:val="12"/>
          <w:color w:val="auto"/>
        </w:rPr>
        <w:t>) of this Clause 36 have been delivered to or to the order of the Owners, the Charterers undertake to deliver all outstanding documents and evidence to or to the order of the Owners no later than ten (10)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Business Days after the Actual Delivery Date or such other later date as specified by the Owners, acting in their sole discretion. The delivery of the Vessel by the Owners to the Charterers under this Charter shall not, unless otherwise notified by the Owners (acting in their sole discretion) to the Charterers in writing, be taken as a waiver of the Owners' right to require production of all the documents and evidenced required by this Clause 36.</w:t>
      </w:r>
    </w:p>
    <w:p>
      <w:pPr>
        <w:spacing w:after="0" w:line="124"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Conditions Subsequent</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foregoing, the Charterers undertake to deliver or cause to be delivered to the Owners, the following documents and evidence (in each case in form and substance acceptable to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w:t>
      </w:r>
    </w:p>
    <w:p>
      <w:pPr>
        <w:spacing w:after="0" w:line="150" w:lineRule="exact"/>
        <w:rPr>
          <w:rFonts w:ascii="Times New Roman" w:cs="Times New Roman" w:eastAsia="Times New Roman" w:hAnsi="Times New Roman"/>
          <w:sz w:val="12"/>
          <w:szCs w:val="12"/>
          <w:color w:val="auto"/>
        </w:rPr>
      </w:pPr>
    </w:p>
    <w:p>
      <w:pPr>
        <w:jc w:val="both"/>
        <w:ind w:left="1300" w:right="20" w:hanging="432"/>
        <w:spacing w:after="0" w:line="265" w:lineRule="auto"/>
        <w:tabs>
          <w:tab w:leader="none" w:pos="1300" w:val="left"/>
        </w:tabs>
        <w:numPr>
          <w:ilvl w:val="2"/>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letters of undertaking (together with attachments) from relevant insurers (or by the brokers through whom the Insurances are placed, or, in the case of entries in protection and indemnity or war risks associations, by their managers) in respect of Insurance as required under this Charter, the Charterers’ Assignment and the Manager’s Undertaking, in each case, in such form and substances in compliance with the requirements of the relevant Transaction Documents; and</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assignment in respect of the Initial Sub-Charter required under the Charterers' Assignment has been served to the Initial Sub-Charterers and, the written acknowledgement thereof by the Initial Sub-Charterers, in each case, in such form and substances in compliance with the requirements of the Charterers' Assignment;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three (3) Business Days from the Actual Delivery Date, the following certification with respect to the Vessel (showing the Owners as the owner of the Vessel):</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34" w:name="page335"/>
    <w:bookmarkEnd w:id="334"/>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1521" w:hanging="432"/>
        <w:spacing w:after="0"/>
        <w:tabs>
          <w:tab w:leader="none" w:pos="1521" w:val="left"/>
        </w:tabs>
        <w:numPr>
          <w:ilvl w:val="1"/>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Safety Management Certificate (as such term is defined pursuant to the ISM Code);</w:t>
      </w:r>
    </w:p>
    <w:p>
      <w:pPr>
        <w:spacing w:after="0" w:line="138"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1"/>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ISSC; and</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1"/>
          <w:numId w:val="4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Vessel's IAPPC;</w:t>
      </w:r>
    </w:p>
    <w:p>
      <w:pPr>
        <w:spacing w:after="0" w:line="150" w:lineRule="exact"/>
        <w:rPr>
          <w:rFonts w:ascii="Times New Roman" w:cs="Times New Roman" w:eastAsia="Times New Roman" w:hAnsi="Times New Roman"/>
          <w:sz w:val="12"/>
          <w:szCs w:val="12"/>
          <w:color w:val="auto"/>
        </w:rPr>
      </w:pPr>
    </w:p>
    <w:p>
      <w:pPr>
        <w:ind w:left="1081" w:right="20" w:hanging="424"/>
        <w:spacing w:after="0" w:line="279" w:lineRule="auto"/>
        <w:tabs>
          <w:tab w:leader="none" w:pos="1081"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ten (10) Business Days from the Actual Delivery Date, the originals of the Transaction Documents and other documents set out in Clauses 36(a) and 36(b) and the originals of the sellers' delivery documents set out in schedule 1 (</w:t>
      </w:r>
      <w:r>
        <w:rPr>
          <w:rFonts w:ascii="Times New Roman" w:cs="Times New Roman" w:eastAsia="Times New Roman" w:hAnsi="Times New Roman"/>
          <w:sz w:val="12"/>
          <w:szCs w:val="12"/>
          <w:i w:val="1"/>
          <w:iCs w:val="1"/>
          <w:color w:val="auto"/>
        </w:rPr>
        <w:t>Seller's Delivery Documents</w:t>
      </w:r>
      <w:r>
        <w:rPr>
          <w:rFonts w:ascii="Times New Roman" w:cs="Times New Roman" w:eastAsia="Times New Roman" w:hAnsi="Times New Roman"/>
          <w:sz w:val="12"/>
          <w:szCs w:val="12"/>
          <w:color w:val="auto"/>
        </w:rPr>
        <w:t>) of the MOA; and</w:t>
      </w:r>
    </w:p>
    <w:p>
      <w:pPr>
        <w:spacing w:after="0" w:line="111"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0"/>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two (2) months of the Actual Delivery Date,</w:t>
      </w:r>
    </w:p>
    <w:p>
      <w:pPr>
        <w:spacing w:after="0" w:line="150" w:lineRule="exact"/>
        <w:rPr>
          <w:rFonts w:ascii="Times New Roman" w:cs="Times New Roman" w:eastAsia="Times New Roman" w:hAnsi="Times New Roman"/>
          <w:sz w:val="12"/>
          <w:szCs w:val="12"/>
          <w:color w:val="auto"/>
        </w:rPr>
      </w:pPr>
    </w:p>
    <w:p>
      <w:pPr>
        <w:ind w:left="1501" w:hanging="412"/>
        <w:spacing w:after="0"/>
        <w:tabs>
          <w:tab w:leader="none" w:pos="1501" w:val="left"/>
        </w:tabs>
        <w:numPr>
          <w:ilvl w:val="1"/>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duly executed Account Security;</w:t>
      </w:r>
    </w:p>
    <w:p>
      <w:pPr>
        <w:spacing w:after="0" w:line="150" w:lineRule="exact"/>
        <w:rPr>
          <w:rFonts w:ascii="Times New Roman" w:cs="Times New Roman" w:eastAsia="Times New Roman" w:hAnsi="Times New Roman"/>
          <w:sz w:val="12"/>
          <w:szCs w:val="12"/>
          <w:color w:val="auto"/>
        </w:rPr>
      </w:pPr>
    </w:p>
    <w:p>
      <w:pPr>
        <w:ind w:left="1501" w:hanging="412"/>
        <w:spacing w:after="0" w:line="279" w:lineRule="auto"/>
        <w:tabs>
          <w:tab w:leader="none" w:pos="1501" w:val="left"/>
        </w:tabs>
        <w:numPr>
          <w:ilvl w:val="1"/>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evidence that notice of charge required under the Account Security has been served to the Account Bank and, the written acknowledgement thereof by the Account Bank in such form and substance satisfactory to the Owners; and</w:t>
      </w:r>
    </w:p>
    <w:p>
      <w:pPr>
        <w:spacing w:after="0" w:line="111" w:lineRule="exact"/>
        <w:rPr>
          <w:rFonts w:ascii="Times New Roman" w:cs="Times New Roman" w:eastAsia="Times New Roman" w:hAnsi="Times New Roman"/>
          <w:sz w:val="12"/>
          <w:szCs w:val="12"/>
          <w:color w:val="auto"/>
        </w:rPr>
      </w:pPr>
    </w:p>
    <w:p>
      <w:pPr>
        <w:ind w:left="1501" w:hanging="412"/>
        <w:spacing w:after="0"/>
        <w:tabs>
          <w:tab w:leader="none" w:pos="1501" w:val="left"/>
        </w:tabs>
        <w:numPr>
          <w:ilvl w:val="1"/>
          <w:numId w:val="4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Dutch law legal opinion of the legal advisers to the Owners in respect of the Account Security.</w:t>
      </w:r>
    </w:p>
    <w:p>
      <w:pPr>
        <w:spacing w:after="0" w:line="150" w:lineRule="exact"/>
        <w:rPr>
          <w:sz w:val="20"/>
          <w:szCs w:val="20"/>
          <w:color w:val="auto"/>
        </w:rPr>
      </w:pPr>
    </w:p>
    <w:p>
      <w:pPr>
        <w:ind w:left="661"/>
        <w:spacing w:after="0" w:line="279" w:lineRule="auto"/>
        <w:rPr>
          <w:sz w:val="20"/>
          <w:szCs w:val="20"/>
          <w:color w:val="auto"/>
        </w:rPr>
      </w:pPr>
      <w:r>
        <w:rPr>
          <w:rFonts w:ascii="Times New Roman" w:cs="Times New Roman" w:eastAsia="Times New Roman" w:hAnsi="Times New Roman"/>
          <w:sz w:val="12"/>
          <w:szCs w:val="12"/>
          <w:color w:val="auto"/>
        </w:rPr>
        <w:t>Notwithstanding anything to the contrary in this Charter, the obligations of the Owners to charter, or continue to charter, the Vessel to the Charterers under this Charter shall be subject to the condition that any and all undertakings stipulated in the preceding paragraph are, and will be, fully complied with.</w:t>
      </w:r>
    </w:p>
    <w:p>
      <w:pPr>
        <w:spacing w:after="0" w:line="107" w:lineRule="exact"/>
        <w:rPr>
          <w:sz w:val="20"/>
          <w:szCs w:val="20"/>
          <w:color w:val="auto"/>
        </w:rPr>
      </w:pPr>
    </w:p>
    <w:p>
      <w:pPr>
        <w:ind w:left="581" w:hanging="428"/>
        <w:spacing w:after="0"/>
        <w:tabs>
          <w:tab w:leader="none" w:pos="581" w:val="left"/>
        </w:tabs>
        <w:numPr>
          <w:ilvl w:val="1"/>
          <w:numId w:val="4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Bunkers and luboils</w:t>
      </w:r>
    </w:p>
    <w:p>
      <w:pPr>
        <w:spacing w:after="0" w:line="154" w:lineRule="exact"/>
        <w:rPr>
          <w:rFonts w:ascii="Times New Roman" w:cs="Times New Roman" w:eastAsia="Times New Roman" w:hAnsi="Times New Roman"/>
          <w:sz w:val="12"/>
          <w:szCs w:val="12"/>
          <w:b w:val="1"/>
          <w:bCs w:val="1"/>
          <w:color w:val="auto"/>
        </w:rPr>
      </w:pPr>
    </w:p>
    <w:p>
      <w:pPr>
        <w:ind w:left="661" w:hanging="436"/>
        <w:spacing w:after="0"/>
        <w:tabs>
          <w:tab w:leader="none" w:pos="661" w:val="left"/>
        </w:tabs>
        <w:numPr>
          <w:ilvl w:val="2"/>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delivery the Charterers shall take over and pay for all lubricating oil, hydraulic oil, greases, water and unbroached stores and provisions in the Vessel in accordance with the MOA.</w:t>
      </w:r>
    </w:p>
    <w:p>
      <w:pPr>
        <w:spacing w:after="0" w:line="150" w:lineRule="exact"/>
        <w:rPr>
          <w:rFonts w:ascii="Times New Roman" w:cs="Times New Roman" w:eastAsia="Times New Roman" w:hAnsi="Times New Roman"/>
          <w:sz w:val="12"/>
          <w:szCs w:val="12"/>
          <w:color w:val="auto"/>
        </w:rPr>
      </w:pPr>
    </w:p>
    <w:p>
      <w:pPr>
        <w:jc w:val="both"/>
        <w:ind w:left="661" w:hanging="436"/>
        <w:spacing w:after="0" w:line="265" w:lineRule="auto"/>
        <w:tabs>
          <w:tab w:leader="none" w:pos="661" w:val="left"/>
        </w:tabs>
        <w:numPr>
          <w:ilvl w:val="2"/>
          <w:numId w:val="4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the Vessel shall be redelivered to the Owners, at delivery the Charterers shall be responsible to arrange, pay for and deliver to the Owners all bunkers (to the extent belonging to the Charterers), lubricating oil, hydraulic oil, greases, water and unbroached stores and provisions in the Vessel and, the Owners shall take over at no costs all such bunkers (to the extent belonging to the Charterers), lubricating oil, hydraulic oil, greases, water and provisions onboard the Vessel.</w:t>
      </w:r>
    </w:p>
    <w:p>
      <w:pPr>
        <w:spacing w:after="0" w:line="114" w:lineRule="exact"/>
        <w:rPr>
          <w:rFonts w:ascii="Times New Roman" w:cs="Times New Roman" w:eastAsia="Times New Roman" w:hAnsi="Times New Roman"/>
          <w:sz w:val="12"/>
          <w:szCs w:val="12"/>
          <w:color w:val="auto"/>
        </w:rPr>
      </w:pPr>
    </w:p>
    <w:p>
      <w:pPr>
        <w:ind w:left="441" w:hanging="441"/>
        <w:spacing w:after="0"/>
        <w:tabs>
          <w:tab w:leader="none" w:pos="441" w:val="left"/>
        </w:tabs>
        <w:numPr>
          <w:ilvl w:val="0"/>
          <w:numId w:val="4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maintenance and operation</w:t>
      </w:r>
    </w:p>
    <w:p>
      <w:pPr>
        <w:spacing w:after="0" w:line="152" w:lineRule="exact"/>
        <w:rPr>
          <w:rFonts w:ascii="Times New Roman" w:cs="Times New Roman" w:eastAsia="Times New Roman" w:hAnsi="Times New Roman"/>
          <w:sz w:val="12"/>
          <w:szCs w:val="12"/>
          <w:b w:val="1"/>
          <w:bCs w:val="1"/>
          <w:color w:val="auto"/>
        </w:rPr>
      </w:pPr>
    </w:p>
    <w:p>
      <w:pPr>
        <w:ind w:left="661" w:hanging="436"/>
        <w:spacing w:after="0"/>
        <w:tabs>
          <w:tab w:leader="none" w:pos="661" w:val="left"/>
        </w:tabs>
        <w:numPr>
          <w:ilvl w:val="2"/>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good commercial maintenance practice under Clause 10 (</w:t>
      </w:r>
      <w:r>
        <w:rPr>
          <w:rFonts w:ascii="Times New Roman" w:cs="Times New Roman" w:eastAsia="Times New Roman" w:hAnsi="Times New Roman"/>
          <w:sz w:val="12"/>
          <w:szCs w:val="12"/>
          <w:i w:val="1"/>
          <w:iCs w:val="1"/>
          <w:color w:val="auto"/>
        </w:rPr>
        <w:t>Maintenance and Operation</w:t>
      </w:r>
      <w:r>
        <w:rPr>
          <w:rFonts w:ascii="Times New Roman" w:cs="Times New Roman" w:eastAsia="Times New Roman" w:hAnsi="Times New Roman"/>
          <w:sz w:val="12"/>
          <w:szCs w:val="12"/>
          <w:color w:val="auto"/>
        </w:rPr>
        <w:t>) (Part II) of this Charter shall be deemed to include:</w:t>
      </w:r>
    </w:p>
    <w:p>
      <w:pPr>
        <w:spacing w:after="0" w:line="152"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3"/>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in accordance with:</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4"/>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Classification Society and free of all overdue recommendations and requirements from the Classification Society;</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4"/>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relevant regulations, requirements and recommendations of the country and flag of the Vessel's registry;</w:t>
      </w:r>
    </w:p>
    <w:p>
      <w:pPr>
        <w:spacing w:after="0" w:line="150" w:lineRule="exact"/>
        <w:rPr>
          <w:rFonts w:ascii="Times New Roman" w:cs="Times New Roman" w:eastAsia="Times New Roman" w:hAnsi="Times New Roman"/>
          <w:sz w:val="12"/>
          <w:szCs w:val="12"/>
          <w:color w:val="auto"/>
        </w:rPr>
      </w:pPr>
    </w:p>
    <w:p>
      <w:pPr>
        <w:ind w:left="1521" w:hanging="432"/>
        <w:spacing w:after="0"/>
        <w:tabs>
          <w:tab w:leader="none" w:pos="1521" w:val="left"/>
        </w:tabs>
        <w:numPr>
          <w:ilvl w:val="4"/>
          <w:numId w:val="4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IMO regulations (including but not limited to the ISM Code, the ISPS Code and MARPOL);</w:t>
      </w:r>
    </w:p>
    <w:p>
      <w:pPr>
        <w:spacing w:after="0" w:line="1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10795</wp:posOffset>
            </wp:positionV>
            <wp:extent cx="7178040"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1"/>
          </w:cols>
          <w:pgMar w:left="499" w:top="205" w:right="299" w:bottom="1440" w:gutter="0" w:footer="0" w:header="0"/>
        </w:sectPr>
      </w:pPr>
    </w:p>
    <w:bookmarkStart w:id="335" w:name="page336"/>
    <w:bookmarkEnd w:id="335"/>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1520" w:hanging="432"/>
        <w:spacing w:after="0"/>
        <w:tabs>
          <w:tab w:leader="none" w:pos="1520" w:val="left"/>
        </w:tabs>
        <w:numPr>
          <w:ilvl w:val="3"/>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applicable regulations, requirements and recommendations; and</w:t>
      </w:r>
    </w:p>
    <w:p>
      <w:pPr>
        <w:spacing w:after="0" w:line="138"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4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and the Charter's Guarantor's operations and maintenance standards;</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maintenance and operation of the Vessel by the Charterers taking into account:</w:t>
      </w:r>
    </w:p>
    <w:p>
      <w:pPr>
        <w:spacing w:after="0" w:line="150"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engine manufacturers' recommended maintenance and service schedules;</w:t>
      </w:r>
    </w:p>
    <w:p>
      <w:pPr>
        <w:spacing w:after="0" w:line="150" w:lineRule="exact"/>
        <w:rPr>
          <w:rFonts w:ascii="Times New Roman" w:cs="Times New Roman" w:eastAsia="Times New Roman" w:hAnsi="Times New Roman"/>
          <w:sz w:val="12"/>
          <w:szCs w:val="12"/>
          <w:color w:val="auto"/>
        </w:rPr>
      </w:pPr>
    </w:p>
    <w:p>
      <w:pPr>
        <w:ind w:left="1520" w:hanging="432"/>
        <w:spacing w:after="0"/>
        <w:tabs>
          <w:tab w:leader="none" w:pos="1520" w:val="left"/>
        </w:tabs>
        <w:numPr>
          <w:ilvl w:val="3"/>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builder's operations and maintenance manuals; and</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4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recommended maintenance and service schedules of all installed equipment and pipework.</w:t>
      </w:r>
    </w:p>
    <w:p>
      <w:pPr>
        <w:spacing w:after="0" w:line="150" w:lineRule="exact"/>
        <w:rPr>
          <w:rFonts w:ascii="Times New Roman" w:cs="Times New Roman" w:eastAsia="Times New Roman" w:hAnsi="Times New Roman"/>
          <w:sz w:val="12"/>
          <w:szCs w:val="12"/>
          <w:color w:val="auto"/>
        </w:rPr>
      </w:pPr>
    </w:p>
    <w:p>
      <w:pPr>
        <w:ind w:left="660" w:right="20" w:hanging="436"/>
        <w:spacing w:after="0" w:line="279" w:lineRule="auto"/>
        <w:tabs>
          <w:tab w:leader="none" w:pos="660" w:val="left"/>
        </w:tabs>
        <w:numPr>
          <w:ilvl w:val="1"/>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above, the Charterers covenant with the Owners to provide, upon request, copies of the Vessel's class records, plans and drawing and all technical documents to the Owners as available to the Charterers.</w:t>
      </w:r>
    </w:p>
    <w:p>
      <w:pPr>
        <w:spacing w:after="0" w:line="111" w:lineRule="exact"/>
        <w:rPr>
          <w:rFonts w:ascii="Times New Roman" w:cs="Times New Roman" w:eastAsia="Times New Roman" w:hAnsi="Times New Roman"/>
          <w:sz w:val="12"/>
          <w:szCs w:val="12"/>
          <w:color w:val="auto"/>
        </w:rPr>
      </w:pPr>
    </w:p>
    <w:p>
      <w:pPr>
        <w:ind w:left="660" w:hanging="436"/>
        <w:spacing w:after="0"/>
        <w:tabs>
          <w:tab w:leader="none" w:pos="660" w:val="left"/>
        </w:tabs>
        <w:numPr>
          <w:ilvl w:val="1"/>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to any equipment (or part thereof):</w:t>
      </w:r>
    </w:p>
    <w:p>
      <w:pPr>
        <w:spacing w:after="0" w:line="150" w:lineRule="exact"/>
        <w:rPr>
          <w:rFonts w:ascii="Times New Roman" w:cs="Times New Roman" w:eastAsia="Times New Roman" w:hAnsi="Times New Roman"/>
          <w:sz w:val="12"/>
          <w:szCs w:val="12"/>
          <w:color w:val="auto"/>
        </w:rPr>
      </w:pPr>
    </w:p>
    <w:p>
      <w:pPr>
        <w:jc w:val="both"/>
        <w:ind w:left="1080" w:hanging="424"/>
        <w:spacing w:after="0" w:line="265" w:lineRule="auto"/>
        <w:tabs>
          <w:tab w:leader="none" w:pos="1080" w:val="left"/>
        </w:tabs>
        <w:numPr>
          <w:ilvl w:val="2"/>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placed on board as a result of operational requirements of the Charterers (whether due to the Charterers' requirement or by reason of new class requirements or compulsory legislation applicable to the Vessel) shall automatically be deemed to belong to the Owners immediately upon such placement, and such equipment may only be removed: (i) with the Owners' prior written consent (such consent not to be unreasonably withheld), (ii) at the Charterers' own expense, and (iii) without damage to the Vessel; and</w:t>
      </w:r>
    </w:p>
    <w:p>
      <w:pPr>
        <w:spacing w:after="0" w:line="118"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replaced, renewed or substituted shall remain with the Owners until the part or equipment which replaced it or the new or substitute part or equipment becomes property of the Owners.</w:t>
      </w:r>
    </w:p>
    <w:p>
      <w:pPr>
        <w:spacing w:after="0" w:line="150" w:lineRule="exact"/>
        <w:rPr>
          <w:rFonts w:ascii="Times New Roman" w:cs="Times New Roman" w:eastAsia="Times New Roman" w:hAnsi="Times New Roman"/>
          <w:sz w:val="12"/>
          <w:szCs w:val="12"/>
          <w:color w:val="auto"/>
        </w:rPr>
      </w:pPr>
    </w:p>
    <w:p>
      <w:pPr>
        <w:ind w:left="660" w:hanging="436"/>
        <w:spacing w:after="0"/>
        <w:tabs>
          <w:tab w:leader="none" w:pos="660" w:val="left"/>
        </w:tabs>
        <w:numPr>
          <w:ilvl w:val="1"/>
          <w:numId w:val="4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provisions under this Charter, the Charterers shall maintain, use and operate the Vessel with commercially reasonable care as if the Charterers were the owner of the same.</w:t>
      </w:r>
    </w:p>
    <w:p>
      <w:pPr>
        <w:spacing w:after="0" w:line="146" w:lineRule="exact"/>
        <w:rPr>
          <w:rFonts w:ascii="Times New Roman" w:cs="Times New Roman" w:eastAsia="Times New Roman" w:hAnsi="Times New Roman"/>
          <w:sz w:val="12"/>
          <w:szCs w:val="12"/>
          <w:color w:val="auto"/>
        </w:rPr>
      </w:pPr>
    </w:p>
    <w:p>
      <w:pPr>
        <w:ind w:left="440" w:hanging="432"/>
        <w:spacing w:after="0"/>
        <w:tabs>
          <w:tab w:leader="none" w:pos="440" w:val="left"/>
        </w:tabs>
        <w:numPr>
          <w:ilvl w:val="0"/>
          <w:numId w:val="4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Structural changes and alterations</w:t>
      </w:r>
    </w:p>
    <w:p>
      <w:pPr>
        <w:spacing w:after="0" w:line="154" w:lineRule="exact"/>
        <w:rPr>
          <w:rFonts w:ascii="Times New Roman" w:cs="Times New Roman" w:eastAsia="Times New Roman" w:hAnsi="Times New Roman"/>
          <w:sz w:val="12"/>
          <w:szCs w:val="12"/>
          <w:b w:val="1"/>
          <w:bCs w:val="1"/>
          <w:color w:val="auto"/>
        </w:rPr>
      </w:pPr>
    </w:p>
    <w:p>
      <w:pPr>
        <w:ind w:left="660" w:hanging="436"/>
        <w:spacing w:after="0" w:line="279" w:lineRule="auto"/>
        <w:tabs>
          <w:tab w:leader="none" w:pos="660" w:val="left"/>
        </w:tabs>
        <w:numPr>
          <w:ilvl w:val="1"/>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make no structural changes in the Vessel or changes in the machinery, engines, appurtenances or spare parts thereof without in each instance first securing the Owners' written consent thereto (such consent not to be unreasonably withheld). Under any and all circumstances, the Charterers shall procure that:</w:t>
      </w:r>
    </w:p>
    <w:p>
      <w:pPr>
        <w:spacing w:after="0" w:line="111"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do not have a material adverse effect on the Vessel's certification or the Vessel's fitness for purpose; and</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time, costs and expenses in relation to any such changes; and</w:t>
      </w:r>
    </w:p>
    <w:p>
      <w:pPr>
        <w:spacing w:after="0" w:line="150" w:lineRule="exact"/>
        <w:rPr>
          <w:rFonts w:ascii="Times New Roman" w:cs="Times New Roman" w:eastAsia="Times New Roman" w:hAnsi="Times New Roman"/>
          <w:sz w:val="12"/>
          <w:szCs w:val="12"/>
          <w:color w:val="auto"/>
        </w:rPr>
      </w:pPr>
    </w:p>
    <w:p>
      <w:pPr>
        <w:ind w:left="1080" w:hanging="424"/>
        <w:spacing w:after="0"/>
        <w:tabs>
          <w:tab w:leader="none" w:pos="1080" w:val="left"/>
        </w:tabs>
        <w:numPr>
          <w:ilvl w:val="2"/>
          <w:numId w:val="4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changes will diminish the value of the Vessel and/or have a material adverse effect on the safety, performance, value or marketability of the Vessel.</w:t>
      </w:r>
    </w:p>
    <w:p>
      <w:pPr>
        <w:spacing w:after="0" w:line="148"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12"/>
          <w:szCs w:val="12"/>
          <w:color w:val="auto"/>
        </w:rPr>
        <w:t>If a Termination Event occurs and is continuing and the Owners exercise their right to retake possession of the Vessel pursuant to Clause 49(f) (</w:t>
      </w:r>
      <w:r>
        <w:rPr>
          <w:rFonts w:ascii="Times New Roman" w:cs="Times New Roman" w:eastAsia="Times New Roman" w:hAnsi="Times New Roman"/>
          <w:sz w:val="12"/>
          <w:szCs w:val="12"/>
          <w:i w:val="1"/>
          <w:iCs w:val="1"/>
          <w:color w:val="auto"/>
        </w:rPr>
        <w:t>Owners' rights reserved</w:t>
      </w:r>
      <w:r>
        <w:rPr>
          <w:rFonts w:ascii="Times New Roman" w:cs="Times New Roman" w:eastAsia="Times New Roman" w:hAnsi="Times New Roman"/>
          <w:sz w:val="12"/>
          <w:szCs w:val="12"/>
          <w:color w:val="auto"/>
        </w:rPr>
        <w:t>), the Charterers shall, without prejudice to their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at their expense restore the Vessel to its former condition if so requested by the Owners (fair wear and tear excepted) unless the changes made are carried out:</w:t>
      </w:r>
    </w:p>
    <w:p>
      <w:pPr>
        <w:spacing w:after="0" w:line="10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10795</wp:posOffset>
            </wp:positionV>
            <wp:extent cx="7178040"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0"/>
          </w:cols>
          <w:pgMar w:left="500" w:top="205" w:right="299" w:bottom="1440" w:gutter="0" w:footer="0" w:header="0"/>
        </w:sectPr>
      </w:pPr>
    </w:p>
    <w:bookmarkStart w:id="336" w:name="page337"/>
    <w:bookmarkEnd w:id="336"/>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40" w:hanging="431"/>
        <w:spacing w:after="0"/>
        <w:tabs>
          <w:tab w:leader="none" w:pos="840"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prior written consent of the Owners (such consent not to be unreasonably withheld); or</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improve the performance, operation or marketability of the Vessel; or</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4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mandatory law or a regulatory compliance.</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anything to the contrary in this Charter, no prior approval shall be required for any structural changes or other changes described in paragraph (a) of this Clause 39 which are carried out (i) as a result of mandatory law or regulatory compliance, or (ii) to improve the performance, operation or marketability of the Vessel in each case, at the Charterers’ time and cost and for which written notice shall be provided to the Owners upon such structural change.</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4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improvement, structural changes or new equipment becoming necessary for the continued operation of the Vessel by reason of new class requirements or by compulsory legislation shall be undertaken by the Charterers and be for the Charterers' account and the Charterers shall not have any right to recover from the Owners any part of the cost for such improvements, changes or new equipment either during the Charter Period or at redelivery of the Vessel. The Charterers shall give written notice to the Owners of any such improvement, structural changes or new equipment.</w:t>
      </w:r>
    </w:p>
    <w:p>
      <w:pPr>
        <w:spacing w:after="0" w:line="114" w:lineRule="exact"/>
        <w:rPr>
          <w:rFonts w:ascii="Times New Roman" w:cs="Times New Roman" w:eastAsia="Times New Roman" w:hAnsi="Times New Roman"/>
          <w:sz w:val="12"/>
          <w:szCs w:val="12"/>
          <w:color w:val="auto"/>
        </w:rPr>
      </w:pPr>
    </w:p>
    <w:p>
      <w:pPr>
        <w:ind w:left="1460" w:hanging="439"/>
        <w:spacing w:after="0"/>
        <w:tabs>
          <w:tab w:leader="none" w:pos="1460" w:val="left"/>
        </w:tabs>
        <w:numPr>
          <w:ilvl w:val="2"/>
          <w:numId w:val="4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Hire</w:t>
      </w:r>
    </w:p>
    <w:p>
      <w:pPr>
        <w:spacing w:after="0" w:line="150" w:lineRule="exact"/>
        <w:rPr>
          <w:sz w:val="20"/>
          <w:szCs w:val="20"/>
          <w:color w:val="auto"/>
        </w:rPr>
      </w:pPr>
    </w:p>
    <w:p>
      <w:pPr>
        <w:ind w:left="440" w:hanging="436"/>
        <w:spacing w:after="0"/>
        <w:tabs>
          <w:tab w:leader="none" w:pos="44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w:t>
      </w:r>
      <w:r>
        <w:rPr>
          <w:rFonts w:ascii="Times New Roman" w:cs="Times New Roman" w:eastAsia="Times New Roman" w:hAnsi="Times New Roman"/>
          <w:sz w:val="12"/>
          <w:szCs w:val="12"/>
          <w:color w:val="auto"/>
        </w:rPr>
        <w:t>In consideration of the Owners' agreement to charter the Vessel to the Charterers pursuant to the terms hereof, the Charterers shall pay to the Owners:</w:t>
      </w:r>
    </w:p>
    <w:p>
      <w:pPr>
        <w:spacing w:after="0" w:line="154"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and every Hire Payment Date, the Hire applicable to each such Hire Payment Date; and</w:t>
      </w:r>
    </w:p>
    <w:p>
      <w:pPr>
        <w:spacing w:after="0" w:line="150" w:lineRule="exact"/>
        <w:rPr>
          <w:rFonts w:ascii="Times New Roman" w:cs="Times New Roman" w:eastAsia="Times New Roman" w:hAnsi="Times New Roman"/>
          <w:sz w:val="12"/>
          <w:szCs w:val="12"/>
          <w:color w:val="auto"/>
        </w:rPr>
      </w:pPr>
    </w:p>
    <w:p>
      <w:pPr>
        <w:ind w:left="840" w:hanging="404"/>
        <w:spacing w:after="0"/>
        <w:tabs>
          <w:tab w:leader="none" w:pos="840" w:val="left"/>
        </w:tabs>
        <w:numPr>
          <w:ilvl w:val="1"/>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the Charter Period, the Purchase Obligation Price.</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Time of payment </w:t>
      </w:r>
      <w:r>
        <w:rPr>
          <w:rFonts w:ascii="Times New Roman" w:cs="Times New Roman" w:eastAsia="Times New Roman" w:hAnsi="Times New Roman"/>
          <w:sz w:val="12"/>
          <w:szCs w:val="12"/>
          <w:color w:val="auto"/>
        </w:rPr>
        <w:t>The Hire shall be paid by the Charterers and received by the Owners on each Hire Payment Date (Beijing time).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Non-Business Days </w:t>
      </w:r>
      <w:r>
        <w:rPr>
          <w:rFonts w:ascii="Times New Roman" w:cs="Times New Roman" w:eastAsia="Times New Roman" w:hAnsi="Times New Roman"/>
          <w:sz w:val="12"/>
          <w:szCs w:val="12"/>
          <w:color w:val="auto"/>
        </w:rPr>
        <w:t>Any payment provided herein due on any day which is not a Business Day shall be payable on the immediately preceding Business Day.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account information </w:t>
      </w:r>
      <w:r>
        <w:rPr>
          <w:rFonts w:ascii="Times New Roman" w:cs="Times New Roman" w:eastAsia="Times New Roman" w:hAnsi="Times New Roman"/>
          <w:sz w:val="12"/>
          <w:szCs w:val="12"/>
          <w:color w:val="auto"/>
        </w:rPr>
        <w:t>All payments under this Charter shall be made to the Owners' Account or such other account as the Owners may notify the Charterers from time to time.</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Hire payment obligation absolute: </w:t>
      </w:r>
      <w:r>
        <w:rPr>
          <w:rFonts w:ascii="Times New Roman" w:cs="Times New Roman" w:eastAsia="Times New Roman" w:hAnsi="Times New Roman"/>
          <w:sz w:val="12"/>
          <w:szCs w:val="12"/>
          <w:color w:val="auto"/>
        </w:rPr>
        <w:t>Following delivery of the Vessel to, and acceptance by, the Charterers under this Charter, the Charterers' obligation to pay Hire in accordance with this Clause 40 and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pay the Purchase Obligation Price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shall be absolute irrespective of any contingency whatsoever including but not limited to:</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set-off, counterclaim, recoupment, defence or other right which either party to this Charter may have against the other;</w:t>
      </w:r>
    </w:p>
    <w:p>
      <w:pPr>
        <w:spacing w:after="0" w:line="150" w:lineRule="exact"/>
        <w:rPr>
          <w:sz w:val="20"/>
          <w:szCs w:val="20"/>
          <w:color w:val="auto"/>
        </w:rPr>
      </w:pPr>
    </w:p>
    <w:p>
      <w:pPr>
        <w:jc w:val="both"/>
        <w:ind w:left="860" w:hanging="424"/>
        <w:spacing w:after="0" w:line="260" w:lineRule="auto"/>
        <w:tabs>
          <w:tab w:leader="none" w:pos="860" w:val="left"/>
        </w:tabs>
        <w:numPr>
          <w:ilvl w:val="0"/>
          <w:numId w:val="4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unavailability of the Vessel, for any reason, including but not limited to the Total Loss, any action or inaction by the Sub-Charterer, seaworthiness, condition, design, operation, merchantability or fitness for use or purpose of the Vessel or any apparent or latent defects in the Vessel or its machinery and equipment or the ineligibility of the Vessel for any particular use or trade or for registration of documentation under the laws of any relevant jurisdiction or lack of registration or the absence or withdrawal of any consent required under the applicable law of any relevant jurisdiction for the ownership, chartering, use or operation of the Vessel or any damage to the Vessel;</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37" w:name="page338"/>
    <w:bookmarkEnd w:id="33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0" w:hanging="424"/>
        <w:spacing w:after="0"/>
        <w:tabs>
          <w:tab w:leader="none" w:pos="860"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or delay on the part of either party to this Charter, whether with or without fault on its part, in performing or complying with any of the terms, conditions or other provisions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 to or loss (including a Total Loss), destruction, capture, seizure, judicial attachment or arrest, forfeiture or marshal's or other sale of the Vessel;</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bankruptcy, reorganisation, arrangement, readjustment of debt, dissolution, administration, liquidation or similar proceedings by or against the Owners, the Charterers or any Sub-Charterer, or any change in the constitution of the Owners, the Charterers or the Sub-Charterer;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invalidity or unenforceability or lack of due authorisation of or any defect in this Charter or any Sub-Charter;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4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cause which would but for this provision have the effect of terminating or in any way affecting the obligations of the Charterers hereunder,</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it being the intention of the parties that the provisions of this Clause 40, and the obligation of the Charterers to pay Hire and all other amounts under this Charter, shall (save as expressly provided in this Clause 40) survive any frustration and that, save as expressly provided in this Charter, no moneys paid under this Charter by the Charterers to the Owners shall in any event or circumstance be repayable to the Charterers.</w:t>
      </w:r>
    </w:p>
    <w:p>
      <w:pPr>
        <w:spacing w:after="0" w:line="107" w:lineRule="exact"/>
        <w:rPr>
          <w:sz w:val="20"/>
          <w:szCs w:val="20"/>
          <w:color w:val="auto"/>
        </w:rPr>
      </w:pPr>
    </w:p>
    <w:p>
      <w:pPr>
        <w:ind w:left="440" w:hanging="436"/>
        <w:spacing w:after="0"/>
        <w:tabs>
          <w:tab w:leader="none" w:pos="440" w:val="left"/>
        </w:tabs>
        <w:numPr>
          <w:ilvl w:val="0"/>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All payments free from deductions</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payments of Hire and all other Unpaid Sums to the Owners pursuant to this Charter and the other relevant Transaction Documents shall be made in immediately available funds in US dollars, free and clear of, and without deduction for or on account of, any bank charges or Taxes, unless the Charterers are required by law or regulation to make any such payment of Hire subject to such Taxes.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are required by any law or regulation to make any deduction or withholding on account of any Taxes which arise as a consequence of any payment due under this Charter, then:</w:t>
      </w:r>
    </w:p>
    <w:p>
      <w:pPr>
        <w:spacing w:after="0" w:line="150" w:lineRule="exact"/>
        <w:rPr>
          <w:rFonts w:ascii="Times New Roman" w:cs="Times New Roman" w:eastAsia="Times New Roman" w:hAnsi="Times New Roman"/>
          <w:sz w:val="12"/>
          <w:szCs w:val="12"/>
          <w:color w:val="auto"/>
        </w:rPr>
      </w:pPr>
    </w:p>
    <w:p>
      <w:pPr>
        <w:ind w:left="1280" w:hanging="412"/>
        <w:spacing w:after="0"/>
        <w:tabs>
          <w:tab w:leader="none" w:pos="1280"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notify the Owners promptly after they become aware of such requirement;</w:t>
      </w:r>
    </w:p>
    <w:p>
      <w:pPr>
        <w:spacing w:after="0" w:line="150" w:lineRule="exact"/>
        <w:rPr>
          <w:rFonts w:ascii="Times New Roman" w:cs="Times New Roman" w:eastAsia="Times New Roman" w:hAnsi="Times New Roman"/>
          <w:sz w:val="12"/>
          <w:szCs w:val="12"/>
          <w:color w:val="auto"/>
        </w:rPr>
      </w:pPr>
    </w:p>
    <w:p>
      <w:pPr>
        <w:ind w:left="1280" w:right="20" w:hanging="412"/>
        <w:spacing w:after="0" w:line="279" w:lineRule="auto"/>
        <w:tabs>
          <w:tab w:leader="none" w:pos="1280"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remit the amount of such Taxes to the appropriate taxation authority within five (5) Business Days or any other shorter time period as required under any applicable law or regulation and in any event prior to the date on which penalties attach thereto; and</w:t>
      </w:r>
    </w:p>
    <w:p>
      <w:pPr>
        <w:spacing w:after="0" w:line="111" w:lineRule="exact"/>
        <w:rPr>
          <w:rFonts w:ascii="Times New Roman" w:cs="Times New Roman" w:eastAsia="Times New Roman" w:hAnsi="Times New Roman"/>
          <w:sz w:val="12"/>
          <w:szCs w:val="12"/>
          <w:color w:val="auto"/>
        </w:rPr>
      </w:pPr>
    </w:p>
    <w:p>
      <w:pPr>
        <w:ind w:left="1280" w:hanging="412"/>
        <w:spacing w:after="0" w:line="279" w:lineRule="auto"/>
        <w:tabs>
          <w:tab w:leader="none" w:pos="1280" w:val="left"/>
        </w:tabs>
        <w:numPr>
          <w:ilvl w:val="2"/>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shall be increased by such amount as may be necessary to ensure that the Owners receive a net amount which, after deducting or withholding such Taxes, is equal to the full amount which the Owners would have received had such payment not been subject to such Taxes.</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forward to the Owners evidence reasonably satisfactory to the Owners that any such Taxes have been remitted to the appropriate taxation authority within thirty (30) days of the expiry of any time limit within which such Taxes must be so remitted or, if earlier, the date on which such Taxes are so remitted.</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38" w:name="page339"/>
    <w:bookmarkEnd w:id="33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jc w:val="both"/>
        <w:ind w:left="440" w:hanging="436"/>
        <w:spacing w:after="0" w:line="262" w:lineRule="auto"/>
        <w:tabs>
          <w:tab w:leader="none" w:pos="440"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Default interest </w:t>
      </w:r>
      <w:r>
        <w:rPr>
          <w:rFonts w:ascii="Times New Roman" w:cs="Times New Roman" w:eastAsia="Times New Roman" w:hAnsi="Times New Roman"/>
          <w:sz w:val="12"/>
          <w:szCs w:val="12"/>
          <w:color w:val="auto"/>
        </w:rPr>
        <w:t>If the Charterers fail to pay any amount payable by it under a Transaction Document on its due date, interest shall accrue on the Unpaid Sum from the due date up to the date of actual payment (both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after judgment) at a rate of the Default Interest Rate over the amount of such Unpaid Sum for the period of such non-payment. Any interest accruing under this paragraph (g) shall be immediately payable by the Charterers on demand by the Owners. Default interest (if unpaid) arising on an Unpaid Sum will be compounded with the Unpaid Sum at the end of each period selected by the Owners but will remain immediately due and payable.</w:t>
      </w:r>
    </w:p>
    <w:p>
      <w:pPr>
        <w:spacing w:after="0" w:line="11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Hire payment obligation to survive termination </w:t>
      </w:r>
      <w:r>
        <w:rPr>
          <w:rFonts w:ascii="Times New Roman" w:cs="Times New Roman" w:eastAsia="Times New Roman" w:hAnsi="Times New Roman"/>
          <w:sz w:val="12"/>
          <w:szCs w:val="12"/>
          <w:color w:val="auto"/>
        </w:rPr>
        <w:t>In the event that this Charter is terminated for whatever reason, the Charterers' obligation to pay Hire and such other Unpaid Sum which (in each case) has accrued due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before, and which remains unpaid, at the date of such termination shall continue notwithstanding such termination.</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59" w:lineRule="auto"/>
        <w:tabs>
          <w:tab w:leader="none" w:pos="440"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Illegality </w:t>
      </w:r>
      <w:r>
        <w:rPr>
          <w:rFonts w:ascii="Times New Roman" w:cs="Times New Roman" w:eastAsia="Times New Roman" w:hAnsi="Times New Roman"/>
          <w:sz w:val="12"/>
          <w:szCs w:val="12"/>
          <w:color w:val="auto"/>
        </w:rPr>
        <w:t>In the event that it becomes unlawful or it is prohibited for either the Owners or the Charterers to charter the Vessel pursuant to this Charter, then the Owners and Charterers shall notify the other party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relevant event and negotiate in good faith for a period of thirty (30) days from the date of the receipt of the relevant notice by the other party (or such shorter period as required by the relevant laws) to agree an alternative arrangement. If such agreement is not reached within such thirty (30)-day period or such shorter period as applicable, the Charterers agree that, in such circumstances, the Owners shall have the right to terminate this Charter by delivering to the Charterers a Termination Notice, whereupon the Charterers shall be obliged to pay to the Owners the Termination Sum in accordance with paragraph (c) (</w:t>
      </w:r>
      <w:r>
        <w:rPr>
          <w:rFonts w:ascii="Times New Roman" w:cs="Times New Roman" w:eastAsia="Times New Roman" w:hAnsi="Times New Roman"/>
          <w:sz w:val="12"/>
          <w:szCs w:val="12"/>
          <w:i w:val="1"/>
          <w:iCs w:val="1"/>
          <w:color w:val="auto"/>
        </w:rPr>
        <w:t>Payment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Termination Sum</w:t>
      </w:r>
      <w:r>
        <w:rPr>
          <w:rFonts w:ascii="Times New Roman" w:cs="Times New Roman" w:eastAsia="Times New Roman" w:hAnsi="Times New Roman"/>
          <w:sz w:val="12"/>
          <w:szCs w:val="12"/>
          <w:color w:val="auto"/>
        </w:rPr>
        <w:t>)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Increased Costs</w:t>
      </w:r>
    </w:p>
    <w:p>
      <w:pPr>
        <w:spacing w:after="0" w:line="154" w:lineRule="exact"/>
        <w:rPr>
          <w:rFonts w:ascii="Times New Roman" w:cs="Times New Roman" w:eastAsia="Times New Roman" w:hAnsi="Times New Roman"/>
          <w:sz w:val="12"/>
          <w:szCs w:val="12"/>
          <w:color w:val="auto"/>
        </w:rPr>
      </w:pPr>
    </w:p>
    <w:p>
      <w:pPr>
        <w:jc w:val="both"/>
        <w:ind w:left="840" w:hanging="422"/>
        <w:spacing w:after="0" w:line="265" w:lineRule="auto"/>
        <w:tabs>
          <w:tab w:leader="none" w:pos="840" w:val="left"/>
        </w:tabs>
        <w:numPr>
          <w:ilvl w:val="1"/>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sub-paragraphs (iii) and (iv) below, the Charterers shall, within three (3) Business Days of a demand by the Owners, pay to the Owners the amount of any Increased Costs incurred by the Owners as a result of (i) the introduction of or any change in (or in the interpretation, administration or application of) any law or regulation made after the date of this Charter, or (ii) compliance with any law or regulation made after the date of this Charter.</w:t>
      </w:r>
    </w:p>
    <w:p>
      <w:pPr>
        <w:spacing w:after="0" w:line="118" w:lineRule="exact"/>
        <w:rPr>
          <w:rFonts w:ascii="Times New Roman" w:cs="Times New Roman" w:eastAsia="Times New Roman" w:hAnsi="Times New Roman"/>
          <w:sz w:val="12"/>
          <w:szCs w:val="12"/>
          <w:color w:val="auto"/>
        </w:rPr>
      </w:pPr>
    </w:p>
    <w:p>
      <w:pPr>
        <w:ind w:left="8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w:t>
      </w:r>
    </w:p>
    <w:p>
      <w:pPr>
        <w:spacing w:after="0" w:line="146" w:lineRule="exact"/>
        <w:rPr>
          <w:rFonts w:ascii="Times New Roman" w:cs="Times New Roman" w:eastAsia="Times New Roman" w:hAnsi="Times New Roman"/>
          <w:sz w:val="12"/>
          <w:szCs w:val="12"/>
          <w:color w:val="auto"/>
        </w:rPr>
      </w:pPr>
    </w:p>
    <w:p>
      <w:pPr>
        <w:ind w:left="8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80" w:hanging="430"/>
        <w:spacing w:after="0"/>
        <w:tabs>
          <w:tab w:leader="none" w:pos="1280" w:val="left"/>
        </w:tabs>
        <w:numPr>
          <w:ilvl w:val="2"/>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Hire or on the Owners' overall capital;</w:t>
      </w:r>
    </w:p>
    <w:p>
      <w:pPr>
        <w:spacing w:after="0" w:line="150" w:lineRule="exact"/>
        <w:rPr>
          <w:rFonts w:ascii="Times New Roman" w:cs="Times New Roman" w:eastAsia="Times New Roman" w:hAnsi="Times New Roman"/>
          <w:sz w:val="12"/>
          <w:szCs w:val="12"/>
          <w:color w:val="auto"/>
        </w:rPr>
      </w:pPr>
    </w:p>
    <w:p>
      <w:pPr>
        <w:ind w:left="1280" w:hanging="430"/>
        <w:spacing w:after="0"/>
        <w:tabs>
          <w:tab w:leader="none" w:pos="1280" w:val="left"/>
        </w:tabs>
        <w:numPr>
          <w:ilvl w:val="2"/>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80" w:hanging="430"/>
        <w:spacing w:after="0"/>
        <w:tabs>
          <w:tab w:leader="none" w:pos="1280" w:val="left"/>
        </w:tabs>
        <w:numPr>
          <w:ilvl w:val="2"/>
          <w:numId w:val="4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Transaction Document,</w:t>
      </w:r>
    </w:p>
    <w:p>
      <w:pPr>
        <w:spacing w:after="0" w:line="150" w:lineRule="exact"/>
        <w:rPr>
          <w:sz w:val="20"/>
          <w:szCs w:val="20"/>
          <w:color w:val="auto"/>
        </w:rPr>
      </w:pPr>
    </w:p>
    <w:p>
      <w:pPr>
        <w:ind w:left="840" w:right="20"/>
        <w:spacing w:after="0" w:line="279" w:lineRule="auto"/>
        <w:rPr>
          <w:sz w:val="20"/>
          <w:szCs w:val="20"/>
          <w:color w:val="auto"/>
        </w:rPr>
      </w:pPr>
      <w:r>
        <w:rPr>
          <w:rFonts w:ascii="Times New Roman" w:cs="Times New Roman" w:eastAsia="Times New Roman" w:hAnsi="Times New Roman"/>
          <w:sz w:val="12"/>
          <w:szCs w:val="12"/>
          <w:color w:val="auto"/>
        </w:rPr>
        <w:t>which is incurred or suffered by the Owners to the extent that it is attributable to the Owners having entered into any Transaction Document or funding or performing its obligations under any Transaction Document.</w:t>
      </w:r>
    </w:p>
    <w:p>
      <w:pPr>
        <w:spacing w:after="0" w:line="111" w:lineRule="exact"/>
        <w:rPr>
          <w:sz w:val="20"/>
          <w:szCs w:val="20"/>
          <w:color w:val="auto"/>
        </w:rPr>
      </w:pPr>
    </w:p>
    <w:p>
      <w:pPr>
        <w:ind w:left="840" w:right="20" w:hanging="404"/>
        <w:spacing w:after="0" w:line="279" w:lineRule="auto"/>
        <w:tabs>
          <w:tab w:leader="none" w:pos="840" w:val="left"/>
        </w:tabs>
        <w:numPr>
          <w:ilvl w:val="0"/>
          <w:numId w:val="4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notify the Charterers of any claim arising from sub-paragraph (i) above (and of the event giving rise to such claim). The Owners shall, as soon as practicable after having made a demand in respect of such claim, provide a certificate confirming the amount of its Increased Costs.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39" w:name="page340"/>
    <w:bookmarkEnd w:id="339"/>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40" w:hanging="404"/>
        <w:spacing w:after="0"/>
        <w:tabs>
          <w:tab w:leader="none" w:pos="840" w:val="left"/>
        </w:tabs>
        <w:numPr>
          <w:ilvl w:val="1"/>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Sub-paragraph (i) above does not apply to the extent any Increased Costs is: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 payment made under sub-paragraph (i)(C) above; or</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change in the rate of tax on the overall net income of the Owners (or a parent company of them) or an item covered by the additional payment in Clause 40(e) or a FATCA Deduction; 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Owners of any law or regulation.</w:t>
      </w:r>
    </w:p>
    <w:p>
      <w:pPr>
        <w:spacing w:after="0" w:line="150" w:lineRule="exact"/>
        <w:rPr>
          <w:rFonts w:ascii="Times New Roman" w:cs="Times New Roman" w:eastAsia="Times New Roman" w:hAnsi="Times New Roman"/>
          <w:sz w:val="12"/>
          <w:szCs w:val="12"/>
          <w:color w:val="auto"/>
        </w:rPr>
      </w:pPr>
    </w:p>
    <w:p>
      <w:pPr>
        <w:jc w:val="both"/>
        <w:ind w:left="840" w:hanging="404"/>
        <w:spacing w:after="0" w:line="256" w:lineRule="auto"/>
        <w:tabs>
          <w:tab w:leader="none" w:pos="840" w:val="left"/>
        </w:tabs>
        <w:numPr>
          <w:ilvl w:val="1"/>
          <w:numId w:val="4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Owners are entitled to an Increased Cost pursuant to the preceding provisions, the Parties shall negotiate in good faith for a period of thirty (30) days from the date of the receipt of the Owners' demand for the Increased Cost to agree an alternative arrangement. If such agreement is not reached within such thirty (30)-day period, the Charterers may notify the Owners in writing of their intention to terminate this Charter. Upon the Owners' receipt of the aforesaid Charterers' written notice of their intention to terminate, without prejudice to the Owners' entitlement to any Increased Cost prior to the Termination Payment Date, the Owners shall within (30) days of its receipt of such notice by the Charterers, terminate this Charter by delivering to the Charterers a Termination Notice, whereupon the Charterers shall be obliged to pay to the Owners the Termination Sum in accordance with paragraph of Clause 49(c) (</w:t>
      </w:r>
      <w:r>
        <w:rPr>
          <w:rFonts w:ascii="Times New Roman" w:cs="Times New Roman" w:eastAsia="Times New Roman" w:hAnsi="Times New Roman"/>
          <w:sz w:val="12"/>
          <w:szCs w:val="12"/>
          <w:i w:val="1"/>
          <w:iCs w:val="1"/>
          <w:color w:val="auto"/>
        </w:rPr>
        <w:t>Payment of Termination Sum</w:t>
      </w:r>
      <w:r>
        <w:rPr>
          <w:rFonts w:ascii="Times New Roman" w:cs="Times New Roman" w:eastAsia="Times New Roman" w:hAnsi="Times New Roman"/>
          <w:sz w:val="12"/>
          <w:szCs w:val="12"/>
          <w:color w:val="auto"/>
        </w:rPr>
        <w:t>). Upon payment of the Termination Sum in full, the Owners shall transfer the title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2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Break Costs </w:t>
      </w:r>
      <w:r>
        <w:rPr>
          <w:rFonts w:ascii="Times New Roman" w:cs="Times New Roman" w:eastAsia="Times New Roman" w:hAnsi="Times New Roman"/>
          <w:sz w:val="12"/>
          <w:szCs w:val="12"/>
          <w:color w:val="auto"/>
        </w:rPr>
        <w:t>The Charterers shall, within five (5) Business Days of demand by the Owners, pay to the Owners their Break Costs.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Unavailability of Term SOFR</w:t>
      </w:r>
    </w:p>
    <w:p>
      <w:pPr>
        <w:spacing w:after="0" w:line="15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Interpolated Term SOFR: </w:t>
      </w:r>
      <w:r>
        <w:rPr>
          <w:rFonts w:ascii="Times New Roman" w:cs="Times New Roman" w:eastAsia="Times New Roman" w:hAnsi="Times New Roman"/>
          <w:sz w:val="12"/>
          <w:szCs w:val="12"/>
          <w:color w:val="auto"/>
        </w:rPr>
        <w:t>If no Term SOFR is available for any Hire Period, the applicable Reference Rate shall be the Interpolated Term SOFR for three (3) months.</w:t>
      </w:r>
    </w:p>
    <w:p>
      <w:pPr>
        <w:spacing w:after="0" w:line="150" w:lineRule="exact"/>
        <w:rPr>
          <w:rFonts w:ascii="Times New Roman" w:cs="Times New Roman" w:eastAsia="Times New Roman" w:hAnsi="Times New Roman"/>
          <w:sz w:val="12"/>
          <w:szCs w:val="12"/>
          <w:color w:val="auto"/>
        </w:rPr>
      </w:pPr>
    </w:p>
    <w:p>
      <w:pPr>
        <w:ind w:left="860" w:right="20" w:hanging="424"/>
        <w:spacing w:after="0" w:line="283" w:lineRule="auto"/>
        <w:tabs>
          <w:tab w:leader="none" w:pos="860" w:val="left"/>
        </w:tabs>
        <w:numPr>
          <w:ilvl w:val="1"/>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Cost of funds: </w:t>
      </w:r>
      <w:r>
        <w:rPr>
          <w:rFonts w:ascii="Times New Roman" w:cs="Times New Roman" w:eastAsia="Times New Roman" w:hAnsi="Times New Roman"/>
          <w:sz w:val="12"/>
          <w:szCs w:val="12"/>
          <w:color w:val="auto"/>
        </w:rPr>
        <w:t>If sub-paragraph (i) above applies but it is not possible to calculate the Interpolated Term SOFR for that Hire Period, the Interest Rate applicable for that Hire Period shall be the percentage rate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per annum which is the sum of:</w:t>
      </w:r>
    </w:p>
    <w:p>
      <w:pPr>
        <w:spacing w:after="0" w:line="10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notified to the Charterers by the Owners which expresses as a percentage rate per annum as the Owners' cost of funds relating to the Outstanding Principal from whatever source it may reasonably select.</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conclusive </w:t>
      </w:r>
      <w:r>
        <w:rPr>
          <w:rFonts w:ascii="Times New Roman" w:cs="Times New Roman" w:eastAsia="Times New Roman" w:hAnsi="Times New Roman"/>
          <w:sz w:val="12"/>
          <w:szCs w:val="12"/>
          <w:color w:val="auto"/>
        </w:rPr>
        <w:t>Any certificate or statement signed by an authorised signatory of the Owners purporting to show the amount of the Debt (or any part of the Debt) or any other amount referred to in any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shall, save for manifest error or on any question of law, be conclusive evidence as against the Charterers of that amount.</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0" w:name="page341"/>
    <w:bookmarkEnd w:id="340"/>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700" w:hanging="435"/>
        <w:spacing w:after="0"/>
        <w:tabs>
          <w:tab w:leader="none" w:pos="700" w:val="left"/>
        </w:tabs>
        <w:numPr>
          <w:ilvl w:val="1"/>
          <w:numId w:val="4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w:t>
      </w:r>
    </w:p>
    <w:p>
      <w:pPr>
        <w:spacing w:after="0" w:line="134" w:lineRule="exact"/>
        <w:rPr>
          <w:rFonts w:ascii="Times New Roman" w:cs="Times New Roman" w:eastAsia="Times New Roman" w:hAnsi="Times New Roman"/>
          <w:sz w:val="12"/>
          <w:szCs w:val="12"/>
          <w:b w:val="1"/>
          <w:bCs w:val="1"/>
          <w:color w:val="auto"/>
        </w:rPr>
      </w:pPr>
    </w:p>
    <w:p>
      <w:pPr>
        <w:jc w:val="both"/>
        <w:ind w:left="440" w:hanging="436"/>
        <w:spacing w:after="0" w:line="262" w:lineRule="auto"/>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Charterers' obligation to place insurance </w:t>
      </w:r>
      <w:r>
        <w:rPr>
          <w:rFonts w:ascii="Times New Roman" w:cs="Times New Roman" w:eastAsia="Times New Roman" w:hAnsi="Times New Roman"/>
          <w:sz w:val="12"/>
          <w:szCs w:val="12"/>
          <w:color w:val="auto"/>
        </w:rPr>
        <w:t>During the Agreement Term, the Charterers shall at their expense keep the Vessel insured against fire and usual marine risks (including hull and machinery, excess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increased value risks), oil pollution liability risks, war risks (including blocking and trapping and additional premium for war risks), protection and indemnity risks and any other risks against which is compulsory to insure for the operation for the Vessel or in the Owners' reasonable opinion it is common market practice to insure for the operation, trading, management and/or for safety purposes for the Vessel in such market (but excluding loss of hire insurance)and all Insurances shall be:</w:t>
      </w:r>
    </w:p>
    <w:p>
      <w:pPr>
        <w:spacing w:after="0" w:line="12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US Dollars;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such market and on such terms as are customary for owners of similar tonnage.</w:t>
      </w:r>
    </w:p>
    <w:p>
      <w:pPr>
        <w:spacing w:after="0" w:line="146" w:lineRule="exact"/>
        <w:rPr>
          <w:rFonts w:ascii="Times New Roman" w:cs="Times New Roman" w:eastAsia="Times New Roman" w:hAnsi="Times New Roman"/>
          <w:sz w:val="12"/>
          <w:szCs w:val="12"/>
          <w:color w:val="auto"/>
        </w:rPr>
      </w:pPr>
    </w:p>
    <w:p>
      <w:pPr>
        <w:jc w:val="both"/>
        <w:ind w:left="440" w:right="20" w:hanging="436"/>
        <w:spacing w:after="0" w:line="268" w:lineRule="auto"/>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Beneficiaries of Insurances </w:t>
      </w:r>
      <w:r>
        <w:rPr>
          <w:rFonts w:ascii="Times New Roman" w:cs="Times New Roman" w:eastAsia="Times New Roman" w:hAnsi="Times New Roman"/>
          <w:sz w:val="12"/>
          <w:szCs w:val="12"/>
          <w:color w:val="auto"/>
        </w:rPr>
        <w:t>Such insurances shall be arranged by the Charterers to protect the interests of the Owners, the Charterers and (if any) the mortgagee of the Vessel or such other relevant Finance Party,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Charterers shall be at liberty to protect under such insurances the interests of (i) any Approved Managers provided the Approved Manager shall first execute and deliver to the Owners the Manager’s Undertaking and/or (ii) any crewing agent provided the crew agent shall first execute and deliver to the Owners a Co-Assured Undertaking substantially in the Agreed Form.</w:t>
      </w:r>
    </w:p>
    <w:p>
      <w:pPr>
        <w:spacing w:after="0" w:line="113" w:lineRule="exact"/>
        <w:rPr>
          <w:rFonts w:ascii="Times New Roman" w:cs="Times New Roman" w:eastAsia="Times New Roman" w:hAnsi="Times New Roman"/>
          <w:sz w:val="12"/>
          <w:szCs w:val="12"/>
          <w:color w:val="auto"/>
        </w:rPr>
      </w:pPr>
    </w:p>
    <w:p>
      <w:pPr>
        <w:jc w:val="both"/>
        <w:ind w:left="440" w:right="20" w:hanging="436"/>
        <w:spacing w:after="0" w:line="268" w:lineRule="auto"/>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Scope of insurance </w:t>
      </w:r>
      <w:r>
        <w:rPr>
          <w:rFonts w:ascii="Times New Roman" w:cs="Times New Roman" w:eastAsia="Times New Roman" w:hAnsi="Times New Roman"/>
          <w:sz w:val="12"/>
          <w:szCs w:val="12"/>
          <w:color w:val="auto"/>
        </w:rPr>
        <w:t>Insurance policies shall cover the Owners, the Charterers and (if any) the Finance Parties according to their respective interests. The Charterers shall effect all insured repairs and shall undertake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settlement and reimbursement from the Approved Insurer of all costs in connection with such repairs as well as insured charges, expenses and liabilities to the extent of coverage under the insurances herein provided for.</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Repairs etc. not covered by Insurances </w:t>
      </w:r>
      <w:r>
        <w:rPr>
          <w:rFonts w:ascii="Times New Roman" w:cs="Times New Roman" w:eastAsia="Times New Roman" w:hAnsi="Times New Roman"/>
          <w:sz w:val="12"/>
          <w:szCs w:val="12"/>
          <w:color w:val="auto"/>
        </w:rPr>
        <w:t>The Charterers shall also remain responsible for and to effect repairs and settlement of costs and expenses incurred thereby in respect of all other repairs not covered by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insurances and/or not exceeding any possible franchise(s) or deductibles provided for in the insurances</w:t>
      </w:r>
    </w:p>
    <w:p>
      <w:pPr>
        <w:spacing w:after="0" w:line="10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H&amp;M and war risks coverage </w:t>
      </w:r>
      <w:r>
        <w:rPr>
          <w:rFonts w:ascii="Times New Roman" w:cs="Times New Roman" w:eastAsia="Times New Roman" w:hAnsi="Times New Roman"/>
          <w:sz w:val="12"/>
          <w:szCs w:val="12"/>
          <w:color w:val="auto"/>
        </w:rPr>
        <w:t>The Charterers shall arrange that, the hull and machinery and war risks (including blocking and trapping and additional premium for war risks) insurance shall be at any time in an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amount not less than one hundred ten per cent. (110%) of the higher of (x) the Outstanding Principal applicable as at the relevant time and (y) the latest Market Value of the Vessel (the "</w:t>
      </w:r>
      <w:r>
        <w:rPr>
          <w:rFonts w:ascii="Times New Roman" w:cs="Times New Roman" w:eastAsia="Times New Roman" w:hAnsi="Times New Roman"/>
          <w:sz w:val="12"/>
          <w:szCs w:val="12"/>
          <w:b w:val="1"/>
          <w:bCs w:val="1"/>
          <w:color w:val="auto"/>
        </w:rPr>
        <w:t>Minimum Insured Value</w:t>
      </w:r>
      <w:r>
        <w:rPr>
          <w:rFonts w:ascii="Times New Roman" w:cs="Times New Roman" w:eastAsia="Times New Roman" w:hAnsi="Times New Roman"/>
          <w:sz w:val="12"/>
          <w:szCs w:val="12"/>
          <w:color w:val="auto"/>
        </w:rPr>
        <w:t>").</w:t>
      </w:r>
    </w:p>
    <w:p>
      <w:pPr>
        <w:spacing w:after="0" w:line="107"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terms of the hull and machinery insurance and the identity of the Approved Insurer shall be acceptable to the Owners and (if any) the Finance Parties (such acceptance not to be unreasonably withheld or delayed).</w:t>
      </w:r>
    </w:p>
    <w:p>
      <w:pPr>
        <w:spacing w:after="0" w:line="146"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Protection and indemnity coverage </w:t>
      </w:r>
      <w:r>
        <w:rPr>
          <w:rFonts w:ascii="Times New Roman" w:cs="Times New Roman" w:eastAsia="Times New Roman" w:hAnsi="Times New Roman"/>
          <w:sz w:val="12"/>
          <w:szCs w:val="12"/>
          <w:color w:val="auto"/>
        </w:rPr>
        <w:t>The Vessel shall be entered with China P&amp;I Club or in a P&amp;I Club which is a member of the International Group Association on customary terms, shall include freight, demurrage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defence cover and shall be covered against liability for pollution claims in an amount not less than the highest level of cover from time to time available under basic protection and indemnity club entry (currently US$1,000,000,000).</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Named assureds, no alteration to terms of Insurances and insurance report </w:t>
      </w:r>
      <w:r>
        <w:rPr>
          <w:rFonts w:ascii="Times New Roman" w:cs="Times New Roman" w:eastAsia="Times New Roman" w:hAnsi="Times New Roman"/>
          <w:sz w:val="12"/>
          <w:szCs w:val="12"/>
          <w:color w:val="auto"/>
        </w:rPr>
        <w:t>The Charterers:</w:t>
      </w:r>
    </w:p>
    <w:p>
      <w:pPr>
        <w:spacing w:after="0" w:line="154"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2"/>
          <w:numId w:val="4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 to place the Insurances in such markets, in such currency, on such terms and conditions, and with such brokers, underwriters and associations as are customary for owners of similar tonnage and are satisfactory to the Owners;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1" w:name="page342"/>
    <w:bookmarkEnd w:id="341"/>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0" w:hanging="424"/>
        <w:spacing w:after="0" w:line="279" w:lineRule="auto"/>
        <w:tabs>
          <w:tab w:leader="none" w:pos="860" w:val="left"/>
        </w:tabs>
        <w:numPr>
          <w:ilvl w:val="1"/>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name the Owners, the Charterers, the Approved Managers (provided the same is assigned in favour of the Security Trustee) and its crewing agent (provided the Co-Assured Undertaking shall have been delivered to the Owners) and if requested in writing by the Owners, any of the Finance Parties as the only named assureds;</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not alter the terms of any of the Insurances nor allow any person to be co-assured under any of the Insurances without the prior written consent of the Owners (such consent not to be unreasonably withheld or delayed) and, if applicable, the Finance Parties, and will supply the Owners and, if applicable, the Finance Parties or procure that the Owners and, if applicable, the Finance Parties are supplied from time to time on request with such information as the Owners and, if applicable, any Finance Party may in their discretion require with regard to the Insurances and the brokers, underwriters or associations through or with which the Insurances are placed; and</w:t>
      </w:r>
    </w:p>
    <w:p>
      <w:pPr>
        <w:spacing w:after="0" w:line="122"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4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reimburse within ten (10) Business Days of demand, not more than once per calendar year during the Agreement Term, the Owners and/or (if applicable) any finance Party for all documented costs and expenses reasonably incurred by the Owners and/or such Finance Party in obtaining a report on the adequacy of the Insurances from an insurance adviser instructed by the Owners and/or such Finance Party.</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55" w:lineRule="auto"/>
        <w:tabs>
          <w:tab w:leader="none" w:pos="440" w:val="left"/>
        </w:tabs>
        <w:numPr>
          <w:ilvl w:val="0"/>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Premiums etc</w:t>
      </w:r>
      <w:r>
        <w:rPr>
          <w:rFonts w:ascii="Times New Roman" w:cs="Times New Roman" w:eastAsia="Times New Roman" w:hAnsi="Times New Roman"/>
          <w:sz w:val="12"/>
          <w:szCs w:val="12"/>
          <w:color w:val="auto"/>
        </w:rPr>
        <w:t>. The Charterers undertake duly and punctually to pay all premiums, calls and contributions, and all other sums at any time payable in connection with the Insurances, and, at their own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expense, to arrange and provide any guarantees from time to time required by any protection and indemnity or war risks association. From time to time upon the Owners' request, the Charterers shall provide the Owners with (i) copies of all invoices issued by the brokers, underwriters or associations in respect of such premiums calls, contributions and other sums, and (ii) evidence satisfactory to the Owners and/or such Finance Party that such premiums, calls, contributions and other sums have been duly and punctually paid; that any such guarantees have been duly given; and that all declarations and notices required by the terms of any of the Insurances to be made or given by or on behalf of the Charterers to brokers, underwriters or associations have been duly and punctually made or given. Without prejudice to the generality of the foregoing, if the insurers of the war risks insurance require payment of premiums and/or calls because the Vessel is within, or is due to enter and remain within, any area or areas which are specified by such insurers as being subject to additional premiums because of War Risks, then the Charterers shall be obligated to procure the Insurances shall cover war risks areas subject to additional premium or call and such premiums and/or calls shall be paid and borne by the Charterers.</w:t>
      </w:r>
    </w:p>
    <w:p>
      <w:pPr>
        <w:spacing w:after="0" w:line="123" w:lineRule="exact"/>
        <w:rPr>
          <w:rFonts w:ascii="Times New Roman" w:cs="Times New Roman" w:eastAsia="Times New Roman" w:hAnsi="Times New Roman"/>
          <w:sz w:val="12"/>
          <w:szCs w:val="12"/>
          <w:color w:val="auto"/>
        </w:rPr>
      </w:pPr>
    </w:p>
    <w:p>
      <w:pPr>
        <w:jc w:val="both"/>
        <w:ind w:left="440" w:hanging="436"/>
        <w:spacing w:after="0" w:line="257" w:lineRule="auto"/>
        <w:tabs>
          <w:tab w:leader="none" w:pos="440" w:val="left"/>
        </w:tabs>
        <w:numPr>
          <w:ilvl w:val="0"/>
          <w:numId w:val="4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Insurances </w:t>
      </w:r>
      <w:r>
        <w:rPr>
          <w:rFonts w:ascii="Times New Roman" w:cs="Times New Roman" w:eastAsia="Times New Roman" w:hAnsi="Times New Roman"/>
          <w:sz w:val="12"/>
          <w:szCs w:val="12"/>
          <w:color w:val="auto"/>
        </w:rPr>
        <w:t>The Charterers will comply in all respects with all terms and conditions of the Insurances and will make all such declarations to brokers, underwriters and associations as may be required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 enable the Vessel to operate in accordance with the terms and conditions of the Insurances. The Charterers will not do, nor permit to be done, any act, nor make, nor permit to be made, any omission, as a result of which any of the Insurances may become liable to be suspended, cancelled or avoided, or may become unenforceable, or as a result of which any sums payable under or in connection with any of the Insurances may be reduced or become liable to be repaid or rescinded in whole or in part. In particular, but without limitation, the Charterers will not permit the Vessel to be employed other than in conformity with the Insurances without first taking out additional insurance cover in respect of that employment and, if applicable, the Finance Parties, and the Charterers, upon request, will promptly notify the Owners and, if applicable, the Finance Parties of any new requirement imposed by any broker, underwriter or association in relation to any of the Insurances.</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2" w:name="page343"/>
    <w:bookmarkEnd w:id="342"/>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0" w:hanging="436"/>
        <w:spacing w:after="0" w:line="258" w:lineRule="auto"/>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Renewal of Insurances </w:t>
      </w:r>
      <w:r>
        <w:rPr>
          <w:rFonts w:ascii="Times New Roman" w:cs="Times New Roman" w:eastAsia="Times New Roman" w:hAnsi="Times New Roman"/>
          <w:sz w:val="12"/>
          <w:szCs w:val="12"/>
          <w:color w:val="auto"/>
        </w:rPr>
        <w:t>The Charterers will, no later than ten (10) Business Days before the expiry of any of the Insurances renew them and shall immediately give the Owners and, if applicable, the Finance Parties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details of those renewals to the Owners' and, if applicable, the Finance Parties' satisfaction.</w:t>
      </w:r>
    </w:p>
    <w:p>
      <w:pPr>
        <w:spacing w:after="0" w:line="11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Delivery of documents relating to Insurances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Owners' request, deliver to the Owners and, if applicable, the Finance Parties copies of all policies, certificates of entry (endorsed with the appropriate loss payable clauses as may be required by the Owners and the Finance Parties from time to time) and other documents relating to the Insurances (including, without limitation, receipts for premiums, calls or contributions);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letters of undertaking (in such form and substance as are customary for the market) shall be issued to the Owners and, if applicable, the Finance Parties by the brokers through which the Insurances are placed (or, in the case of protection and indemnity or war risks associations, by their managers).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Fleet cover </w:t>
      </w:r>
      <w:r>
        <w:rPr>
          <w:rFonts w:ascii="Times New Roman" w:cs="Times New Roman" w:eastAsia="Times New Roman" w:hAnsi="Times New Roman"/>
          <w:sz w:val="12"/>
          <w:szCs w:val="12"/>
          <w:color w:val="auto"/>
        </w:rPr>
        <w:t>If the Vessel is at any time during the Agreement Term insured under any form of fleet cover, the Charterers shall procure that those letters of undertaking contain confirmation that the brokers, underwriters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association (as the case may be) will not set off claims relating to the Vessel against premiums, calls or contributions in respect of any other vessel or other insurance, and that the insurance cover of the Vessel will not be cancelled by reason of non-payment of premiums, calls or contributions relating to any other vessel or other insurance. Failing receipt of those confirmations, the Charterers will instruct the brokers, underwriters or association concerned to issue a separate policy or certificate for the Vessel.</w:t>
      </w:r>
    </w:p>
    <w:p>
      <w:pPr>
        <w:spacing w:after="0" w:line="11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Provision of information on casualty, accidents or damage </w:t>
      </w:r>
      <w:r>
        <w:rPr>
          <w:rFonts w:ascii="Times New Roman" w:cs="Times New Roman" w:eastAsia="Times New Roman" w:hAnsi="Times New Roman"/>
          <w:sz w:val="12"/>
          <w:szCs w:val="12"/>
          <w:color w:val="auto"/>
        </w:rPr>
        <w:t>The Charterers shall promptly notify the Owners and upon request, provide the Owners with sufficient information regarding any casualty or other accident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or damage to the Vessel, detention of the Vessel or any Environmental Incident including, without limitation, any material communication with all parties involved in case of a claim under any of the Insurances, provided such casualty, accident, damage, detention of the Vessel or Environmental Incident exceeds the Threshold Amount.</w:t>
      </w:r>
    </w:p>
    <w:p>
      <w:pPr>
        <w:spacing w:after="0" w:line="113"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Step-in rights of Owners and Finance Parties </w:t>
      </w:r>
      <w:r>
        <w:rPr>
          <w:rFonts w:ascii="Times New Roman" w:cs="Times New Roman" w:eastAsia="Times New Roman" w:hAnsi="Times New Roman"/>
          <w:sz w:val="12"/>
          <w:szCs w:val="12"/>
          <w:color w:val="auto"/>
        </w:rPr>
        <w:t>The Charterers agree that, at any time after the occurrence of a Termination Event which is continuing, the Owners and, if applicable, the Finance Parties shall be entitled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to:</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collect, sue for, recover and give a good discharge for all claims in respect of any of the Insurances;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collecting brokers the customary commission on all sums collected in respect of those claims;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compromise all such claims or refer them to arbitration or any other form of judicial or non-judicial determination;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otherwise to deal with such claims in such manner as the Owners and, if applicable, the Finance Parties shall in their discretion think fit.</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Total loss insurance proceeds </w:t>
      </w:r>
      <w:r>
        <w:rPr>
          <w:rFonts w:ascii="Times New Roman" w:cs="Times New Roman" w:eastAsia="Times New Roman" w:hAnsi="Times New Roman"/>
          <w:sz w:val="12"/>
          <w:szCs w:val="12"/>
          <w:color w:val="auto"/>
        </w:rPr>
        <w:t>Whether or not a Termination Event shall have occurred, the proceeds of any claim under any of the Insurances in respect of a Total Loss shall be paid and applied in accordance with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Payment of insurance proceeds</w:t>
      </w:r>
    </w:p>
    <w:p>
      <w:pPr>
        <w:spacing w:after="0" w:line="154" w:lineRule="exact"/>
        <w:rPr>
          <w:rFonts w:ascii="Times New Roman" w:cs="Times New Roman" w:eastAsia="Times New Roman" w:hAnsi="Times New Roman"/>
          <w:sz w:val="12"/>
          <w:szCs w:val="12"/>
          <w:color w:val="auto"/>
        </w:rPr>
      </w:pPr>
    </w:p>
    <w:p>
      <w:pPr>
        <w:jc w:val="both"/>
        <w:ind w:left="860" w:hanging="424"/>
        <w:spacing w:after="0" w:line="257" w:lineRule="auto"/>
        <w:tabs>
          <w:tab w:leader="none" w:pos="860" w:val="left"/>
        </w:tabs>
        <w:numPr>
          <w:ilvl w:val="1"/>
          <w:numId w:val="4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agree that any amounts which may become due and payable to the Charterers under any protection and indemnity entry shall be paid to the Charterers to reimburse the Charterers for, and in discharge of, the loss, damage or expense in respect of which they shall have become due, unless, at the time the amount in question becomes due, a Termination Event shall have occurred and be continuing, in which event the Owners shall be entitled to receive the amounts in question and to apply them either in reduction of the Termination Sum owed by the Charterers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or, at the option of the Owners, to the discharge of the liability in respect of which they were paid. For the avoidance of doubt, any amount which may become due and payable to the Owners under any protection and indemnity entry or insurance shall be paid to the Owners or to the Owners' order.</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3" w:name="page344"/>
    <w:bookmarkEnd w:id="343"/>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0" w:hanging="424"/>
        <w:spacing w:after="0" w:line="279" w:lineRule="auto"/>
        <w:tabs>
          <w:tab w:leader="none" w:pos="860" w:val="left"/>
        </w:tabs>
        <w:numPr>
          <w:ilvl w:val="1"/>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forgoing and subject to the terms of the Finance Documents (if any), all claims (other than in respect of a Total Loss) in relation to other Insurances, shall, unless and during the occurrence of a continuing Termination Event, in which event all claims under the relevant policy shall be payable directly to the Owners, be payable as follows:</w:t>
      </w:r>
    </w:p>
    <w:p>
      <w:pPr>
        <w:spacing w:after="0" w:line="111" w:lineRule="exact"/>
        <w:rPr>
          <w:rFonts w:ascii="Times New Roman" w:cs="Times New Roman" w:eastAsia="Times New Roman" w:hAnsi="Times New Roman"/>
          <w:sz w:val="12"/>
          <w:szCs w:val="12"/>
          <w:color w:val="auto"/>
        </w:rPr>
      </w:pPr>
    </w:p>
    <w:p>
      <w:pPr>
        <w:jc w:val="both"/>
        <w:ind w:left="1300" w:right="20" w:hanging="432"/>
        <w:spacing w:after="0" w:line="265" w:lineRule="auto"/>
        <w:tabs>
          <w:tab w:leader="none" w:pos="1300" w:val="left"/>
        </w:tabs>
        <w:numPr>
          <w:ilvl w:val="2"/>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does not exceed the Threshold Amount, prior to adjustment for any franchise or deductible under the terms of the relevant policy, shall be paid directly to the Charterers (as agent for the Owners) for the repair, salvage or other charges involved or as a reimbursement if the Charterers fully repaired the damage to the satisfaction of the Owners (acting reasonably) and paid all of the salvage or other charges;</w:t>
      </w:r>
    </w:p>
    <w:p>
      <w:pPr>
        <w:spacing w:after="0" w:line="118" w:lineRule="exact"/>
        <w:rPr>
          <w:rFonts w:ascii="Times New Roman" w:cs="Times New Roman" w:eastAsia="Times New Roman" w:hAnsi="Times New Roman"/>
          <w:sz w:val="12"/>
          <w:szCs w:val="12"/>
          <w:color w:val="auto"/>
        </w:rPr>
      </w:pPr>
    </w:p>
    <w:p>
      <w:pPr>
        <w:jc w:val="both"/>
        <w:ind w:left="1300" w:hanging="432"/>
        <w:spacing w:after="0" w:line="260" w:lineRule="auto"/>
        <w:tabs>
          <w:tab w:leader="none" w:pos="1300" w:val="left"/>
        </w:tabs>
        <w:numPr>
          <w:ilvl w:val="2"/>
          <w:numId w:val="4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claim in respect of any one casualty where the aggregate claim against all Approved Insurers exceeds the Threshold Amount prior to adjustment for any franchise or deductible under the terms of the relevant policy, shall, subject to the prior written consent of the Owners (such consent not to be unreasonably withheld or delayed), be paid to the Charterers as and when the Vessel is restored to her former state and condition and the liability in respect of which the insurance loss is payable is discharged, and provided that the Approved Insurers may with such consent make payment on account of repairs in the course of being effected, but, in the absence of such prior written consent shall be payable directly to the Owners.</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Settlement, compromise or abandonment of claims </w:t>
      </w:r>
      <w:r>
        <w:rPr>
          <w:rFonts w:ascii="Times New Roman" w:cs="Times New Roman" w:eastAsia="Times New Roman" w:hAnsi="Times New Roman"/>
          <w:sz w:val="12"/>
          <w:szCs w:val="12"/>
          <w:color w:val="auto"/>
        </w:rPr>
        <w:t>The Charterers shall not settle, compromise or abandon any claim under or in connection with any of the Insurances (other than in the absence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that is continuing a claim of less than the Threshold Amount, prior to adjustment for any franchise or deductible under the terms of policy, arising other than from a Total Loss) without the prior written consent of the Owners (such consent not to be unreasonably withheld or delayed) and, if applicable, the Finance Parties.</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to maintain Insurances </w:t>
      </w:r>
      <w:r>
        <w:rPr>
          <w:rFonts w:ascii="Times New Roman" w:cs="Times New Roman" w:eastAsia="Times New Roman" w:hAnsi="Times New Roman"/>
          <w:sz w:val="12"/>
          <w:szCs w:val="12"/>
          <w:color w:val="auto"/>
        </w:rPr>
        <w:t>If the Charterers fail to effect or keep in force the Insurances, the Owners may (but shall not be obliged to) effect and/or keep in force such insurances on the Vessel and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entries in protection and indemnity or war risks associations as the Owners in their discretion consider desirable, and the Owners may (but shall not be obliged to) pay any unpaid premiums, calls or contributions. The Charterers will reimburse the Owners from time to time within ten (10) Business Days of demand for all such premiums, calls or contributions paid by the Owners.</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4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protection issues </w:t>
      </w:r>
      <w:r>
        <w:rPr>
          <w:rFonts w:ascii="Times New Roman" w:cs="Times New Roman" w:eastAsia="Times New Roman" w:hAnsi="Times New Roman"/>
          <w:sz w:val="12"/>
          <w:szCs w:val="12"/>
          <w:color w:val="auto"/>
        </w:rPr>
        <w:t>The Charterers shall comply strictly with the requirements of any legislation relating to pollution or protection of the environment which may from time to time be applicable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Vessel in any jurisdiction in which the Vessel shall trade and in particular the Charterers shall comply strictly with the requirements of the United States Oil Pollution Act 1990 (the "</w:t>
      </w:r>
      <w:r>
        <w:rPr>
          <w:rFonts w:ascii="Times New Roman" w:cs="Times New Roman" w:eastAsia="Times New Roman" w:hAnsi="Times New Roman"/>
          <w:sz w:val="12"/>
          <w:szCs w:val="12"/>
          <w:b w:val="1"/>
          <w:bCs w:val="1"/>
          <w:color w:val="auto"/>
        </w:rPr>
        <w:t>Act</w:t>
      </w:r>
      <w:r>
        <w:rPr>
          <w:rFonts w:ascii="Times New Roman" w:cs="Times New Roman" w:eastAsia="Times New Roman" w:hAnsi="Times New Roman"/>
          <w:sz w:val="12"/>
          <w:szCs w:val="12"/>
          <w:color w:val="auto"/>
        </w:rPr>
        <w:t>") if the Vessel is to trade in the United States of America and Exclusive Economic Zone (as defined in the Act). Before any such trade is commenced and during the entire period during which such trade is carried on, the Charterers shall:</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4" w:name="page345"/>
    <w:bookmarkEnd w:id="344"/>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0" w:hanging="424"/>
        <w:spacing w:after="0"/>
        <w:tabs>
          <w:tab w:leader="none" w:pos="860" w:val="left"/>
        </w:tabs>
        <w:numPr>
          <w:ilvl w:val="2"/>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any additional premiums required to maintain protection and indemnity cover for oil pollution up to the limit available to the Charterers for the Vessel in the market;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all such quarterly or other voyage declarations as may from time to time be required by the Vessel's protection and indemnity association in order to maintain such cover, and promptly deliver to the Owners and, if applicable, the Finance Parties copies of such declarations; and</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2"/>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submit the Vessel to such additional periodic, classification, structural or other surveys which may be required by the Vessel's protection and indemnity insurers to maintain cover for such trade and promptly deliver to the Owners and, if applicable, the Finance Parties copies of reports made in respect of such surveys;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any recommendations contained in the reports issued following the surveys referred to in sub-paragraph (s)(iii) above within the relevant time limits;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2"/>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the foregoing (if such trade is in the United States of America and Exclusive Economic Zone):</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and retain a certificate of financial responsibility under the Act in form and substance satisfactory to the United States Coast Guard and provide the Owners with evidence of the same;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3"/>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protection and indemnity insurances do not contain a US Trading Exclusion Clause or any other analogous provision and provide the Owners with evidence that this is so; and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3"/>
          <w:numId w:val="4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strictly with any operational or structural regulations issued from time to time by any relevant authorities under the Act so that at all times the Vessel falls within the provisions which limit strict liability under the Act for oil pollution.</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8"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Innocent Owners' Interest Insurance </w:t>
      </w:r>
      <w:r>
        <w:rPr>
          <w:rFonts w:ascii="Times New Roman" w:cs="Times New Roman" w:eastAsia="Times New Roman" w:hAnsi="Times New Roman"/>
          <w:sz w:val="12"/>
          <w:szCs w:val="12"/>
          <w:color w:val="auto"/>
        </w:rPr>
        <w:t>The Owners shall be at liberty to take out an Innocent Owners' Interest Insurance and an Innocent Owners' Additional Perils (Oil Pollution) Insurance in relation to the Vessel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 amount up to the Minimum Insured Value and on such terms and conditions as the Owners may from time to time decide, and the Charterers shall from time to time upon the Owners' demand, reimburse the Owners for all costs, premiums and expenses paid or incurred by the Owners in connection with any Innocent Owners' Interest Insurance or Innocent Owners' Additional Perils (Oil Pollution) Insurance (or, if so request by the Owners, directly pay all such costs, premiums and expenses).</w:t>
      </w:r>
    </w:p>
    <w:p>
      <w:pPr>
        <w:spacing w:after="0" w:line="117"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Cooperation by the Charterers </w:t>
      </w:r>
      <w:r>
        <w:rPr>
          <w:rFonts w:ascii="Times New Roman" w:cs="Times New Roman" w:eastAsia="Times New Roman" w:hAnsi="Times New Roman"/>
          <w:sz w:val="12"/>
          <w:szCs w:val="12"/>
          <w:color w:val="auto"/>
        </w:rPr>
        <w:t>The Charterers agree and undertake that:</w:t>
      </w:r>
    </w:p>
    <w:p>
      <w:pPr>
        <w:spacing w:after="0" w:line="154" w:lineRule="exact"/>
        <w:rPr>
          <w:rFonts w:ascii="Times New Roman" w:cs="Times New Roman" w:eastAsia="Times New Roman" w:hAnsi="Times New Roman"/>
          <w:sz w:val="12"/>
          <w:szCs w:val="12"/>
          <w:color w:val="auto"/>
        </w:rPr>
      </w:pPr>
    </w:p>
    <w:p>
      <w:pPr>
        <w:ind w:left="860" w:hanging="442"/>
        <w:spacing w:after="0"/>
        <w:tabs>
          <w:tab w:leader="none" w:pos="860"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receive any payment in relation to the Insurances in contravention of this Charter, the Charterers will hold such payment on trust and on behalf of the Owners;</w:t>
      </w:r>
    </w:p>
    <w:p>
      <w:pPr>
        <w:spacing w:after="0" w:line="150" w:lineRule="exact"/>
        <w:rPr>
          <w:rFonts w:ascii="Times New Roman" w:cs="Times New Roman" w:eastAsia="Times New Roman" w:hAnsi="Times New Roman"/>
          <w:sz w:val="12"/>
          <w:szCs w:val="12"/>
          <w:color w:val="auto"/>
        </w:rPr>
      </w:pPr>
    </w:p>
    <w:p>
      <w:pPr>
        <w:ind w:left="860" w:hanging="442"/>
        <w:spacing w:after="0" w:line="279" w:lineRule="auto"/>
        <w:tabs>
          <w:tab w:leader="none" w:pos="860"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refuse, withhold (or otherwise delay giving) consent to the payment of any amount which becomes payable to the Owners under the Insurances (to the extent that such payment is payable to the Owners in accordance with terms of this Charter); and</w:t>
      </w:r>
    </w:p>
    <w:p>
      <w:pPr>
        <w:spacing w:after="0" w:line="111" w:lineRule="exact"/>
        <w:rPr>
          <w:rFonts w:ascii="Times New Roman" w:cs="Times New Roman" w:eastAsia="Times New Roman" w:hAnsi="Times New Roman"/>
          <w:sz w:val="12"/>
          <w:szCs w:val="12"/>
          <w:color w:val="auto"/>
        </w:rPr>
      </w:pPr>
    </w:p>
    <w:p>
      <w:pPr>
        <w:ind w:left="860" w:right="20" w:hanging="442"/>
        <w:spacing w:after="0" w:line="279" w:lineRule="auto"/>
        <w:tabs>
          <w:tab w:leader="none" w:pos="860" w:val="left"/>
        </w:tabs>
        <w:numPr>
          <w:ilvl w:val="1"/>
          <w:numId w:val="4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time to time on the written request of the Owners, the Charterers will promptly execute and deliver to the Owners all documents which the Owners may require for the purpose of obtaining any payment in relation to the Insurances (to the extent that such payment is payable to the Owners in accordance with the terms of this Charter).</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5" w:name="page346"/>
    <w:bookmarkEnd w:id="34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jc w:val="both"/>
        <w:ind w:left="540" w:hanging="436"/>
        <w:spacing w:after="0" w:line="268" w:lineRule="auto"/>
        <w:tabs>
          <w:tab w:leader="none" w:pos="540" w:val="left"/>
        </w:tabs>
        <w:numPr>
          <w:ilvl w:val="0"/>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Freight, demurrage and defence </w:t>
      </w:r>
      <w:r>
        <w:rPr>
          <w:rFonts w:ascii="Times New Roman" w:cs="Times New Roman" w:eastAsia="Times New Roman" w:hAnsi="Times New Roman"/>
          <w:sz w:val="12"/>
          <w:szCs w:val="12"/>
          <w:color w:val="auto"/>
        </w:rPr>
        <w:t>To the extent not already covered under the Vessel's Insurances, the Owners shall be at liberty to, in relation to the Vessel, take out freight, demurrage and defence cover on such terms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conditions as the Owners may from time to time decide. The Charterers shall from time to time upon the Owners' demand reimburse the Owners for all costs, premiums and expenses paid or incurred by the Owners in connection with such cover.</w:t>
      </w:r>
    </w:p>
    <w:p>
      <w:pPr>
        <w:spacing w:after="0" w:line="113" w:lineRule="exact"/>
        <w:rPr>
          <w:rFonts w:ascii="Times New Roman" w:cs="Times New Roman" w:eastAsia="Times New Roman" w:hAnsi="Times New Roman"/>
          <w:sz w:val="12"/>
          <w:szCs w:val="12"/>
          <w:color w:val="auto"/>
        </w:rPr>
      </w:pPr>
    </w:p>
    <w:p>
      <w:pPr>
        <w:jc w:val="both"/>
        <w:ind w:left="540" w:hanging="436"/>
        <w:spacing w:after="0" w:line="259" w:lineRule="auto"/>
        <w:tabs>
          <w:tab w:leader="none" w:pos="540" w:val="left"/>
        </w:tabs>
        <w:numPr>
          <w:ilvl w:val="0"/>
          <w:numId w:val="4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Separate Insurance Interest </w:t>
      </w:r>
      <w:r>
        <w:rPr>
          <w:rFonts w:ascii="Times New Roman" w:cs="Times New Roman" w:eastAsia="Times New Roman" w:hAnsi="Times New Roman"/>
          <w:sz w:val="12"/>
          <w:szCs w:val="12"/>
          <w:color w:val="auto"/>
        </w:rPr>
        <w:t>Notwithstanding that the interests of the Owners and Charterers are both covered under the Insurances, the provisions of this Clause 41 (</w:t>
      </w:r>
      <w:r>
        <w:rPr>
          <w:rFonts w:ascii="Times New Roman" w:cs="Times New Roman" w:eastAsia="Times New Roman" w:hAnsi="Times New Roman"/>
          <w:sz w:val="12"/>
          <w:szCs w:val="12"/>
          <w:i w:val="1"/>
          <w:iCs w:val="1"/>
          <w:color w:val="auto"/>
        </w:rPr>
        <w:t>Insurance</w:t>
      </w:r>
      <w:r>
        <w:rPr>
          <w:rFonts w:ascii="Times New Roman" w:cs="Times New Roman" w:eastAsia="Times New Roman" w:hAnsi="Times New Roman"/>
          <w:sz w:val="12"/>
          <w:szCs w:val="12"/>
          <w:color w:val="auto"/>
        </w:rPr>
        <w:t>) shall neither exclude nor discharge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liability between the Owners and the Charterers under this Charter. Any payment of insurance proceeds is no bar to a claim by the Owners and/or their insurers against the Charterers to seek indemnity by way of subrogation. For the avoidance of any doubt, the Innocent Owners' Interest Insurances, Mortgagees' Interest Insurances and any other insurances taken out by the Owners and/or any Finance Party (as the case may be) are for the sole benefit of the Owners and/or any Finance Party (as the case may be), and any sum recoverable under such insurances shall not in any way exclude or discharge the obligations and liabilities of the Obligors under the Transaction Documents. Nothing herein shall prejudice any rights of recovery of the Owners or the Charterers (or their insurers) against third parties.</w:t>
      </w:r>
    </w:p>
    <w:p>
      <w:pPr>
        <w:spacing w:after="0" w:line="119" w:lineRule="exact"/>
        <w:rPr>
          <w:rFonts w:ascii="Times New Roman" w:cs="Times New Roman" w:eastAsia="Times New Roman" w:hAnsi="Times New Roman"/>
          <w:sz w:val="12"/>
          <w:szCs w:val="12"/>
          <w:color w:val="auto"/>
        </w:rPr>
      </w:pPr>
    </w:p>
    <w:p>
      <w:pPr>
        <w:ind w:left="760" w:hanging="431"/>
        <w:spacing w:after="0"/>
        <w:tabs>
          <w:tab w:leader="none" w:pos="760" w:val="left"/>
        </w:tabs>
        <w:numPr>
          <w:ilvl w:val="1"/>
          <w:numId w:val="48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w:t>
      </w:r>
    </w:p>
    <w:p>
      <w:pPr>
        <w:spacing w:after="0" w:line="154" w:lineRule="exact"/>
        <w:rPr>
          <w:sz w:val="20"/>
          <w:szCs w:val="20"/>
          <w:color w:val="auto"/>
        </w:rPr>
      </w:pPr>
    </w:p>
    <w:p>
      <w:pPr>
        <w:jc w:val="both"/>
        <w:ind w:left="540" w:hanging="436"/>
        <w:spacing w:after="0" w:line="265" w:lineRule="auto"/>
        <w:tabs>
          <w:tab w:leader="none" w:pos="540" w:val="left"/>
        </w:tabs>
        <w:numPr>
          <w:ilvl w:val="1"/>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any Termination Event and while the same is continuing and subject to lapse of the Termination Payment Date, if the Owners decide to retake possession of the Vessel pursuant to paragraph (c) of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the Charterers shall, at their own cost and expense, redeliver or cause to be redelivered the Vessel to the Owners at the Vessel's current or next port of call, afloat at all times in a ready safe berth or anchorage, in accordance with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540" w:right="20" w:hanging="436"/>
        <w:spacing w:after="0" w:line="279" w:lineRule="auto"/>
        <w:tabs>
          <w:tab w:leader="none" w:pos="540" w:val="left"/>
        </w:tabs>
        <w:numPr>
          <w:ilvl w:val="1"/>
          <w:numId w:val="4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Owners’ rights and remedies under or pursuant to any provision of this Charter, the Charterers shall continue to perform all the obligations, undertakings and liabilities with respect to the management, maintenance and insurance in respect of the Vessel under and pursuant to the terms of this Charter until redelivery of the Vessel.</w:t>
      </w:r>
    </w:p>
    <w:p>
      <w:pPr>
        <w:spacing w:after="0" w:line="107" w:lineRule="exact"/>
        <w:rPr>
          <w:rFonts w:ascii="Times New Roman" w:cs="Times New Roman" w:eastAsia="Times New Roman" w:hAnsi="Times New Roman"/>
          <w:sz w:val="12"/>
          <w:szCs w:val="12"/>
          <w:color w:val="auto"/>
        </w:rPr>
      </w:pPr>
    </w:p>
    <w:p>
      <w:pPr>
        <w:ind w:left="440" w:hanging="435"/>
        <w:spacing w:after="0"/>
        <w:tabs>
          <w:tab w:leader="none" w:pos="440" w:val="left"/>
        </w:tabs>
        <w:numPr>
          <w:ilvl w:val="0"/>
          <w:numId w:val="48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Redelivery conditions</w:t>
      </w:r>
    </w:p>
    <w:p>
      <w:pPr>
        <w:spacing w:after="0" w:line="152" w:lineRule="exact"/>
        <w:rPr>
          <w:rFonts w:ascii="Times New Roman" w:cs="Times New Roman" w:eastAsia="Times New Roman" w:hAnsi="Times New Roman"/>
          <w:sz w:val="12"/>
          <w:szCs w:val="12"/>
          <w:b w:val="1"/>
          <w:bCs w:val="1"/>
          <w:color w:val="auto"/>
        </w:rPr>
      </w:pPr>
    </w:p>
    <w:p>
      <w:pPr>
        <w:ind w:left="540" w:hanging="436"/>
        <w:spacing w:after="0"/>
        <w:tabs>
          <w:tab w:leader="none" w:pos="540" w:val="left"/>
        </w:tabs>
        <w:numPr>
          <w:ilvl w:val="1"/>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addition to what has been agreed in Clauses 15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(Part II) and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the condition of the Vessel shall at redelivery be as follows:</w:t>
      </w:r>
    </w:p>
    <w:p>
      <w:pPr>
        <w:spacing w:after="0" w:line="152" w:lineRule="exact"/>
        <w:rPr>
          <w:rFonts w:ascii="Times New Roman" w:cs="Times New Roman" w:eastAsia="Times New Roman" w:hAnsi="Times New Roman"/>
          <w:sz w:val="12"/>
          <w:szCs w:val="12"/>
          <w:color w:val="auto"/>
        </w:rPr>
      </w:pPr>
    </w:p>
    <w:p>
      <w:pPr>
        <w:ind w:left="960" w:hanging="424"/>
        <w:spacing w:after="0"/>
        <w:tabs>
          <w:tab w:leader="none" w:pos="960" w:val="left"/>
        </w:tabs>
        <w:numPr>
          <w:ilvl w:val="2"/>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of any overdue class and statutory recommendations affecting its trading certificates;</w:t>
      </w:r>
    </w:p>
    <w:p>
      <w:pPr>
        <w:spacing w:after="0" w:line="150" w:lineRule="exact"/>
        <w:rPr>
          <w:rFonts w:ascii="Times New Roman" w:cs="Times New Roman" w:eastAsia="Times New Roman" w:hAnsi="Times New Roman"/>
          <w:sz w:val="12"/>
          <w:szCs w:val="12"/>
          <w:color w:val="auto"/>
        </w:rPr>
      </w:pPr>
    </w:p>
    <w:p>
      <w:pPr>
        <w:jc w:val="both"/>
        <w:ind w:left="960" w:hanging="424"/>
        <w:spacing w:after="0" w:line="260" w:lineRule="auto"/>
        <w:tabs>
          <w:tab w:leader="none" w:pos="960" w:val="left"/>
        </w:tabs>
        <w:numPr>
          <w:ilvl w:val="2"/>
          <w:numId w:val="4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equipment and spares or replacement items listed in the delivery inventory carried out pursuant to Clause 9 (Inventories, Oil and Stores) (Part II) unless such items have been consumed or used during the Agreement Term (or part thereof) and any spare parts on board or on order for any equipment installed on the Vessel following delivery (provided that any such items which are on lease or hire purchase shall be replaced with items of an equivalent standard and condition fair wear and tear excepted); all records, logs, plans, operating manuals and drawings, spare parts onboard shall be included at the time of redelivery in connection with a transfer of the Vessel or such other items as are then in the possession of the Charterers shall be delivered to the Owners;</w:t>
      </w:r>
    </w:p>
    <w:p>
      <w:pPr>
        <w:spacing w:after="0" w:line="12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wp:posOffset>
            </wp:positionH>
            <wp:positionV relativeFrom="paragraph">
              <wp:posOffset>10795</wp:posOffset>
            </wp:positionV>
            <wp:extent cx="717804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80"/>
          </w:cols>
          <w:pgMar w:left="620" w:top="205" w:right="299" w:bottom="1440" w:gutter="0" w:footer="0" w:header="0"/>
        </w:sectPr>
      </w:pPr>
    </w:p>
    <w:bookmarkStart w:id="346" w:name="page347"/>
    <w:bookmarkEnd w:id="346"/>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860" w:hanging="424"/>
        <w:spacing w:after="0" w:line="258" w:lineRule="auto"/>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all national and international trading certificates and hull/machinery survey positions for both class and statutory surveys free of any overdue recommendation and qualifications valid and un-extended for a period of at least three (3) months beyond the redelivery date;</w:t>
      </w:r>
    </w:p>
    <w:p>
      <w:pPr>
        <w:spacing w:after="0" w:line="123"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Vessel's ballast tank coatings to be maintained in "Fair" (as such term (or its equivalent) may be defined and/or interpreted in the relevant survey report) condition as appropriate for the Vessel's age at the time of redelivery, fair wear and tear excepted;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have passed any flag or class surveys or inspections due within three (3) months after the date of redelivery and have its continuous survey system up to date;</w:t>
      </w:r>
    </w:p>
    <w:p>
      <w:pPr>
        <w:spacing w:after="0" w:line="150"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must be re-delivered with accommodation and common spaces for crew and officers substantially in the same condition as at the Actual Delivery Date, free of damage over and above fair wear and tear; with cargo spaces generally fit to carry the cargoes originally designed and intended for the Vessel; with main propulsion equipment, auxiliary equipment, cargo handling equipment, navigational equipment, etc., in such operating condition as provided for in this Charter (fair wear and tear excepted) unless used or disposed of in the ordinary course of business and trading of the Vessel and subject to such spare parts and equipment not belonging to a third party;</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shall be free and clear of all liens other than those created by or on the instructions of the Owners;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condition of the cargo holds to be in accordance with the maintenance regime undertaken by the Charterers during the Charter Period since delivery;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anti-fouling coating system applied at the last scheduled dry-docking shall be in accordance with prevailing regulations at the time of application.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redelivery, the Charterers shall ensure that the Vessel shall meet the following performance levels (which where relevant shall be determined by reference to the Vessel's log books):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remaining bunkers shall be in compliance with all applicable laws, including without limitation, the global sulphur limit imposed by the International Maritime Organization (IMO) for vessels of this type;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bunkers shall be sufficient to cover at least a voyage to a port for refueling;</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equipment controlling the habitability of the accommodation and service areas to be in proper working order, fair wear and tear excepted;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available deadweight to be within one per cent (1%) of that achieved at delivery (as the same may be adjusted as a result of any upgrading of the Vessel carried out in accordance with this Charter (such adjustment to be agreed between the Owners and Charterers at the time such upgrading work is to be undertaken)).</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shall be each appoint (at the Charterers’ expense) an independent surveyor for the purpose of determining and agreeing in writing the condition of the Vessel at redelivery.</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4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is not in the condition or does not meet the performance criteria required by this Clause 43, a list of deficiencies together with the costs of repairing/remedying such deficiencies shall be agreed by the respective surveyors.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47" w:name="page348"/>
    <w:bookmarkEnd w:id="34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640" w:hanging="436"/>
        <w:spacing w:after="0"/>
        <w:tabs>
          <w:tab w:leader="none" w:pos="640" w:val="left"/>
        </w:tabs>
        <w:numPr>
          <w:ilvl w:val="2"/>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 any class items restricting the operation or trading of the Vessel prior to redelivery.</w:t>
      </w:r>
    </w:p>
    <w:p>
      <w:pPr>
        <w:spacing w:after="0" w:line="150" w:lineRule="exact"/>
        <w:rPr>
          <w:rFonts w:ascii="Times New Roman" w:cs="Times New Roman" w:eastAsia="Times New Roman" w:hAnsi="Times New Roman"/>
          <w:sz w:val="12"/>
          <w:szCs w:val="12"/>
          <w:color w:val="auto"/>
        </w:rPr>
      </w:pPr>
    </w:p>
    <w:p>
      <w:pPr>
        <w:ind w:left="640" w:hanging="436"/>
        <w:spacing w:after="0"/>
        <w:tabs>
          <w:tab w:leader="none" w:pos="640" w:val="left"/>
        </w:tabs>
        <w:numPr>
          <w:ilvl w:val="2"/>
          <w:numId w:val="4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 obliged to repair/remedy all such other deficiencies as are necessary to put the Vessel into the return condition required by this Clause 43.</w:t>
      </w:r>
    </w:p>
    <w:p>
      <w:pPr>
        <w:spacing w:after="0" w:line="146"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4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Diver's inspection at redelivery</w:t>
      </w:r>
    </w:p>
    <w:p>
      <w:pPr>
        <w:spacing w:after="0" w:line="154" w:lineRule="exact"/>
        <w:rPr>
          <w:rFonts w:ascii="Times New Roman" w:cs="Times New Roman" w:eastAsia="Times New Roman" w:hAnsi="Times New Roman"/>
          <w:sz w:val="12"/>
          <w:szCs w:val="12"/>
          <w:b w:val="1"/>
          <w:bCs w:val="1"/>
          <w:color w:val="auto"/>
        </w:rPr>
      </w:pPr>
    </w:p>
    <w:p>
      <w:pPr>
        <w:ind w:left="640" w:hanging="436"/>
        <w:spacing w:after="0"/>
        <w:tabs>
          <w:tab w:leader="none" w:pos="640" w:val="left"/>
        </w:tabs>
        <w:numPr>
          <w:ilvl w:val="2"/>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Vessel is returned in dry-dock, if the Owners so request, a diver's inspection is required to be performed at the time of redelivery and the following provisions shall apply:</w:t>
      </w:r>
    </w:p>
    <w:p>
      <w:pPr>
        <w:spacing w:after="0" w:line="150" w:lineRule="exact"/>
        <w:rPr>
          <w:rFonts w:ascii="Times New Roman" w:cs="Times New Roman" w:eastAsia="Times New Roman" w:hAnsi="Times New Roman"/>
          <w:sz w:val="12"/>
          <w:szCs w:val="12"/>
          <w:color w:val="auto"/>
        </w:rPr>
      </w:pPr>
    </w:p>
    <w:p>
      <w:pPr>
        <w:ind w:left="960" w:hanging="342"/>
        <w:spacing w:after="0" w:line="279" w:lineRule="auto"/>
        <w:tabs>
          <w:tab w:leader="none" w:pos="96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written request of the Owners, arrange at the Charterers' time and expense for an underwater inspection by a diver approved by the Classification Society immediately prior to the redelivery.</w:t>
      </w:r>
    </w:p>
    <w:p>
      <w:pPr>
        <w:spacing w:after="0" w:line="111" w:lineRule="exact"/>
        <w:rPr>
          <w:rFonts w:ascii="Times New Roman" w:cs="Times New Roman" w:eastAsia="Times New Roman" w:hAnsi="Times New Roman"/>
          <w:sz w:val="12"/>
          <w:szCs w:val="12"/>
          <w:color w:val="auto"/>
        </w:rPr>
      </w:pPr>
    </w:p>
    <w:p>
      <w:pPr>
        <w:ind w:left="960" w:hanging="342"/>
        <w:spacing w:after="0"/>
        <w:tabs>
          <w:tab w:leader="none" w:pos="96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video film of the inspection shall be made. The extent of the inspection and the conditions under which it is performed shall be to the satisfaction of the Classification Society.</w:t>
      </w:r>
    </w:p>
    <w:p>
      <w:pPr>
        <w:spacing w:after="0" w:line="150" w:lineRule="exact"/>
        <w:rPr>
          <w:rFonts w:ascii="Times New Roman" w:cs="Times New Roman" w:eastAsia="Times New Roman" w:hAnsi="Times New Roman"/>
          <w:sz w:val="12"/>
          <w:szCs w:val="12"/>
          <w:color w:val="auto"/>
        </w:rPr>
      </w:pPr>
    </w:p>
    <w:p>
      <w:pPr>
        <w:ind w:left="960" w:hanging="342"/>
        <w:spacing w:after="0" w:line="279" w:lineRule="auto"/>
        <w:tabs>
          <w:tab w:leader="none" w:pos="96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damage to the underwater parts is found, the Charterers shall arrange, at their time and costs, for the Vessel to be dry-docked (if required by the Classification Society) and repairs carried out to the satisfaction of the Classification Society.</w:t>
      </w:r>
    </w:p>
    <w:p>
      <w:pPr>
        <w:spacing w:after="0" w:line="111" w:lineRule="exact"/>
        <w:rPr>
          <w:rFonts w:ascii="Times New Roman" w:cs="Times New Roman" w:eastAsia="Times New Roman" w:hAnsi="Times New Roman"/>
          <w:sz w:val="12"/>
          <w:szCs w:val="12"/>
          <w:color w:val="auto"/>
        </w:rPr>
      </w:pPr>
    </w:p>
    <w:p>
      <w:pPr>
        <w:ind w:left="960" w:right="20" w:hanging="342"/>
        <w:spacing w:after="0" w:line="279" w:lineRule="auto"/>
        <w:tabs>
          <w:tab w:leader="none" w:pos="96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at the port of redelivery are unsuitable for such diver's inspection, the Charterers shall take the Vessel (in Charterers' time and at Charterers' expense) to a suitable alternative place nearest to the redelivery port unless an alternative solution is agreed.</w:t>
      </w:r>
    </w:p>
    <w:p>
      <w:pPr>
        <w:spacing w:after="0" w:line="109" w:lineRule="exact"/>
        <w:rPr>
          <w:rFonts w:ascii="Times New Roman" w:cs="Times New Roman" w:eastAsia="Times New Roman" w:hAnsi="Times New Roman"/>
          <w:sz w:val="12"/>
          <w:szCs w:val="12"/>
          <w:color w:val="auto"/>
        </w:rPr>
      </w:pPr>
    </w:p>
    <w:p>
      <w:pPr>
        <w:ind w:left="960" w:hanging="342"/>
        <w:spacing w:after="0"/>
        <w:tabs>
          <w:tab w:leader="none" w:pos="96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sub-paragraph 55 (</w:t>
      </w:r>
      <w:r>
        <w:rPr>
          <w:rFonts w:ascii="Times New Roman" w:cs="Times New Roman" w:eastAsia="Times New Roman" w:hAnsi="Times New Roman"/>
          <w:sz w:val="12"/>
          <w:szCs w:val="12"/>
          <w:i w:val="1"/>
          <w:iCs w:val="1"/>
          <w:color w:val="auto"/>
        </w:rPr>
        <w:t>Fees and expenses</w:t>
      </w:r>
      <w:r>
        <w:rPr>
          <w:rFonts w:ascii="Times New Roman" w:cs="Times New Roman" w:eastAsia="Times New Roman" w:hAnsi="Times New Roman"/>
          <w:sz w:val="12"/>
          <w:szCs w:val="12"/>
          <w:color w:val="auto"/>
        </w:rPr>
        <w:t>), all costs relating to any diver's inspection shall be borne by the Charterers.</w:t>
      </w:r>
    </w:p>
    <w:p>
      <w:pPr>
        <w:spacing w:after="0" w:line="148" w:lineRule="exact"/>
        <w:rPr>
          <w:rFonts w:ascii="Times New Roman" w:cs="Times New Roman" w:eastAsia="Times New Roman" w:hAnsi="Times New Roman"/>
          <w:sz w:val="12"/>
          <w:szCs w:val="12"/>
          <w:color w:val="auto"/>
        </w:rPr>
      </w:pPr>
    </w:p>
    <w:p>
      <w:pPr>
        <w:ind w:left="600" w:hanging="441"/>
        <w:spacing w:after="0"/>
        <w:tabs>
          <w:tab w:leader="none" w:pos="600" w:val="left"/>
        </w:tabs>
        <w:numPr>
          <w:ilvl w:val="1"/>
          <w:numId w:val="4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Owners' mortgage</w:t>
      </w:r>
    </w:p>
    <w:p>
      <w:pPr>
        <w:spacing w:after="0" w:line="154" w:lineRule="exact"/>
        <w:rPr>
          <w:rFonts w:ascii="Times New Roman" w:cs="Times New Roman" w:eastAsia="Times New Roman" w:hAnsi="Times New Roman"/>
          <w:sz w:val="12"/>
          <w:szCs w:val="12"/>
          <w:b w:val="1"/>
          <w:bCs w:val="1"/>
          <w:color w:val="auto"/>
        </w:rPr>
      </w:pPr>
    </w:p>
    <w:p>
      <w:pPr>
        <w:ind w:left="620" w:hanging="425"/>
        <w:spacing w:after="0"/>
        <w:tabs>
          <w:tab w:leader="none" w:pos="620" w:val="left"/>
        </w:tabs>
        <w:numPr>
          <w:ilvl w:val="2"/>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w:t>
      </w:r>
    </w:p>
    <w:p>
      <w:pPr>
        <w:spacing w:after="0" w:line="150" w:lineRule="exact"/>
        <w:rPr>
          <w:rFonts w:ascii="Times New Roman" w:cs="Times New Roman" w:eastAsia="Times New Roman" w:hAnsi="Times New Roman"/>
          <w:sz w:val="12"/>
          <w:szCs w:val="12"/>
          <w:color w:val="auto"/>
        </w:rPr>
      </w:pPr>
    </w:p>
    <w:p>
      <w:pPr>
        <w:jc w:val="both"/>
        <w:ind w:left="1040" w:hanging="422"/>
        <w:spacing w:after="0" w:line="260" w:lineRule="auto"/>
        <w:tabs>
          <w:tab w:leader="none" w:pos="104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acknowledge that the Owners are entitled and do intend to enter or have entered into certain funding arrangements with the Finance Parties in order to finance part of the Outstanding Principal, which funding arrangements may be secured, inter alia, by ship mortgages over the Vessel and (along with other related matters) the relevant Finance Documents provided that simultaneously with the Owners' execution of any such ship mortgages, the Owners shall ensure that the relevant Finance Parties execute and deliver to the Charterers a Quiet Enjoyment Letter in favour of the Charterers in a form mutually acceptable to the Finance Party and the Charterer (both acting reasonably);</w:t>
      </w:r>
    </w:p>
    <w:p>
      <w:pPr>
        <w:spacing w:after="0" w:line="122" w:lineRule="exact"/>
        <w:rPr>
          <w:rFonts w:ascii="Times New Roman" w:cs="Times New Roman" w:eastAsia="Times New Roman" w:hAnsi="Times New Roman"/>
          <w:sz w:val="12"/>
          <w:szCs w:val="12"/>
          <w:color w:val="auto"/>
        </w:rPr>
      </w:pPr>
    </w:p>
    <w:p>
      <w:pPr>
        <w:ind w:left="1040" w:hanging="422"/>
        <w:spacing w:after="0" w:line="279" w:lineRule="auto"/>
        <w:tabs>
          <w:tab w:leader="none" w:pos="104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consent to any assignment, transfer and/or novation of the Owners' rights, interests and benefits in and to the Insurances, the Earnings and the Requisition Compensation and any Transaction Document to which it is a party in favour of the Finance Parties pursuant to the relevant Finance Documents or any Financial Institution; and</w:t>
      </w:r>
    </w:p>
    <w:p>
      <w:pPr>
        <w:spacing w:after="0" w:line="109" w:lineRule="exact"/>
        <w:rPr>
          <w:rFonts w:ascii="Times New Roman" w:cs="Times New Roman" w:eastAsia="Times New Roman" w:hAnsi="Times New Roman"/>
          <w:sz w:val="12"/>
          <w:szCs w:val="12"/>
          <w:color w:val="auto"/>
        </w:rPr>
      </w:pPr>
    </w:p>
    <w:p>
      <w:pPr>
        <w:jc w:val="both"/>
        <w:ind w:left="1040" w:hanging="422"/>
        <w:spacing w:after="0" w:line="261" w:lineRule="auto"/>
        <w:tabs>
          <w:tab w:leader="none" w:pos="1040" w:val="left"/>
        </w:tabs>
        <w:numPr>
          <w:ilvl w:val="3"/>
          <w:numId w:val="4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undertake to execute, provide or procure the execution or provision (as the case may be) of such document as is necessary to effect the assignment transfer and/or novation referred to in sub-paragraph (ii) above, provided that any related costs shall be on the Owners' account. Provided that no Termination Event has occurred and is continuing, the Owners shall not, and shall procure that no-one claiming through them (as mortgagee, assignee or otherwise but in each case subject to the terms of the relevant Quiet Enjoyment Letter) will interfere with the Charterers' quiet use and possession of the Vessel throughout the Charter Period.</w:t>
      </w:r>
    </w:p>
    <w:p>
      <w:pPr>
        <w:spacing w:after="0" w:line="12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10795</wp:posOffset>
            </wp:positionV>
            <wp:extent cx="7178040" cy="57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520" w:top="205" w:right="299" w:bottom="1440" w:gutter="0" w:footer="0" w:header="0"/>
        </w:sectPr>
      </w:pPr>
    </w:p>
    <w:bookmarkStart w:id="348" w:name="page349"/>
    <w:bookmarkEnd w:id="34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58" w:lineRule="exact"/>
        <w:rPr>
          <w:sz w:val="20"/>
          <w:szCs w:val="20"/>
          <w:color w:val="auto"/>
        </w:rPr>
      </w:pPr>
    </w:p>
    <w:p>
      <w:pPr>
        <w:ind w:left="680" w:hanging="425"/>
        <w:spacing w:after="0" w:line="279" w:lineRule="auto"/>
        <w:tabs>
          <w:tab w:leader="none" w:pos="680" w:val="left"/>
        </w:tabs>
        <w:numPr>
          <w:ilvl w:val="2"/>
          <w:numId w:val="4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acknowledge and undertake that, subject to the Quiet Enjoyment Letter, no term of a Finance Document will prejudice or alter the rights of the Charterers under this Charter or any of the other Transaction Document.</w:t>
      </w:r>
    </w:p>
    <w:p>
      <w:pPr>
        <w:spacing w:after="0" w:line="107" w:lineRule="exact"/>
        <w:rPr>
          <w:rFonts w:ascii="Times New Roman" w:cs="Times New Roman" w:eastAsia="Times New Roman" w:hAnsi="Times New Roman"/>
          <w:sz w:val="12"/>
          <w:szCs w:val="12"/>
          <w:color w:val="auto"/>
        </w:rPr>
      </w:pPr>
    </w:p>
    <w:p>
      <w:pPr>
        <w:ind w:left="640" w:hanging="439"/>
        <w:spacing w:after="0"/>
        <w:tabs>
          <w:tab w:leader="none" w:pos="640" w:val="left"/>
        </w:tabs>
        <w:numPr>
          <w:ilvl w:val="1"/>
          <w:numId w:val="49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Financial covenants</w:t>
      </w:r>
    </w:p>
    <w:p>
      <w:pPr>
        <w:spacing w:after="0" w:line="154" w:lineRule="exact"/>
        <w:rPr>
          <w:rFonts w:ascii="Times New Roman" w:cs="Times New Roman" w:eastAsia="Times New Roman" w:hAnsi="Times New Roman"/>
          <w:sz w:val="12"/>
          <w:szCs w:val="12"/>
          <w:b w:val="1"/>
          <w:bCs w:val="1"/>
          <w:color w:val="auto"/>
        </w:rPr>
      </w:pPr>
    </w:p>
    <w:p>
      <w:pPr>
        <w:ind w:left="700" w:hanging="436"/>
        <w:spacing w:after="0"/>
        <w:tabs>
          <w:tab w:leader="none" w:pos="700" w:val="left"/>
        </w:tabs>
        <w:numPr>
          <w:ilvl w:val="2"/>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throughout the Charter Period,</w:t>
      </w:r>
    </w:p>
    <w:p>
      <w:pPr>
        <w:spacing w:after="0" w:line="150" w:lineRule="exact"/>
        <w:rPr>
          <w:rFonts w:ascii="Times New Roman" w:cs="Times New Roman" w:eastAsia="Times New Roman" w:hAnsi="Times New Roman"/>
          <w:sz w:val="12"/>
          <w:szCs w:val="12"/>
          <w:color w:val="auto"/>
        </w:rPr>
      </w:pPr>
    </w:p>
    <w:p>
      <w:pPr>
        <w:ind w:left="1120" w:hanging="424"/>
        <w:spacing w:after="0"/>
        <w:tabs>
          <w:tab w:leader="none" w:pos="1120" w:val="left"/>
        </w:tabs>
        <w:numPr>
          <w:ilvl w:val="4"/>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maintain a minimum Liquidity of not less than US$300,000 (Dollars Three Hundred Thousand) for each ship owned, operated or chartered by it; and</w:t>
      </w:r>
    </w:p>
    <w:p>
      <w:pPr>
        <w:spacing w:after="0" w:line="150" w:lineRule="exact"/>
        <w:rPr>
          <w:rFonts w:ascii="Times New Roman" w:cs="Times New Roman" w:eastAsia="Times New Roman" w:hAnsi="Times New Roman"/>
          <w:sz w:val="12"/>
          <w:szCs w:val="12"/>
          <w:color w:val="auto"/>
        </w:rPr>
      </w:pPr>
    </w:p>
    <w:p>
      <w:pPr>
        <w:ind w:left="1120" w:hanging="424"/>
        <w:spacing w:after="0"/>
        <w:tabs>
          <w:tab w:leader="none" w:pos="1120" w:val="left"/>
        </w:tabs>
        <w:numPr>
          <w:ilvl w:val="4"/>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shall maintain a minimum Liquidity of not less than US$20,000,000 (Dollars Twenty Million).</w:t>
      </w:r>
    </w:p>
    <w:p>
      <w:pPr>
        <w:spacing w:after="0" w:line="146" w:lineRule="exact"/>
        <w:rPr>
          <w:rFonts w:ascii="Times New Roman" w:cs="Times New Roman" w:eastAsia="Times New Roman" w:hAnsi="Times New Roman"/>
          <w:sz w:val="12"/>
          <w:szCs w:val="12"/>
          <w:color w:val="auto"/>
        </w:rPr>
      </w:pPr>
    </w:p>
    <w:p>
      <w:pPr>
        <w:ind w:left="700" w:hanging="436"/>
        <w:spacing w:after="0"/>
        <w:tabs>
          <w:tab w:leader="none" w:pos="700" w:val="left"/>
        </w:tabs>
        <w:numPr>
          <w:ilvl w:val="2"/>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46 (Financial covenants), "</w:t>
      </w:r>
      <w:r>
        <w:rPr>
          <w:rFonts w:ascii="Times New Roman" w:cs="Times New Roman" w:eastAsia="Times New Roman" w:hAnsi="Times New Roman"/>
          <w:sz w:val="12"/>
          <w:szCs w:val="12"/>
          <w:b w:val="1"/>
          <w:bCs w:val="1"/>
          <w:color w:val="auto"/>
        </w:rPr>
        <w:t>Liquidity</w:t>
      </w:r>
      <w:r>
        <w:rPr>
          <w:rFonts w:ascii="Times New Roman" w:cs="Times New Roman" w:eastAsia="Times New Roman" w:hAnsi="Times New Roman"/>
          <w:sz w:val="12"/>
          <w:szCs w:val="12"/>
          <w:color w:val="auto"/>
        </w:rPr>
        <w:t>" means:</w:t>
      </w:r>
    </w:p>
    <w:p>
      <w:pPr>
        <w:spacing w:after="0" w:line="152" w:lineRule="exact"/>
        <w:rPr>
          <w:rFonts w:ascii="Times New Roman" w:cs="Times New Roman" w:eastAsia="Times New Roman" w:hAnsi="Times New Roman"/>
          <w:sz w:val="12"/>
          <w:szCs w:val="12"/>
          <w:color w:val="auto"/>
        </w:rPr>
      </w:pPr>
    </w:p>
    <w:p>
      <w:pPr>
        <w:ind w:left="1100" w:hanging="422"/>
        <w:spacing w:after="0" w:line="283" w:lineRule="auto"/>
        <w:tabs>
          <w:tab w:leader="none" w:pos="1100" w:val="left"/>
        </w:tabs>
        <w:numPr>
          <w:ilvl w:val="3"/>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Charterers, the total cash or cash equivalent of the Charterers as shown in its most recent financial statements provided to the Owners in accordance with Clause 4832..1(a)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1100" w:hanging="422"/>
        <w:spacing w:after="0" w:line="279" w:lineRule="auto"/>
        <w:tabs>
          <w:tab w:leader="none" w:pos="1100" w:val="left"/>
        </w:tabs>
        <w:numPr>
          <w:ilvl w:val="3"/>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Charterer Guarantor, the total cash or cash equivalent of the Charterer Guarantor as shown in its most recent consolidated financial statements provided to the Owners in accordance with Clause 4832..1(a)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700" w:hanging="436"/>
        <w:spacing w:after="0" w:line="254" w:lineRule="auto"/>
        <w:tabs>
          <w:tab w:leader="none" w:pos="700" w:val="left"/>
        </w:tabs>
        <w:numPr>
          <w:ilvl w:val="2"/>
          <w:numId w:val="4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any other Financial Indebtedness of the Charter Guarantor and/or any of its Subsidiaries shall include any financial covenant in respect of the Charter Guarantor (whether set forth as a covenant, undertaking, event of default, restriction or other such provision) (a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that would be more beneficial to the Owners than any analogous provision contained in this Charter (an "</w:t>
      </w:r>
      <w:r>
        <w:rPr>
          <w:rFonts w:ascii="Times New Roman" w:cs="Times New Roman" w:eastAsia="Times New Roman" w:hAnsi="Times New Roman"/>
          <w:sz w:val="12"/>
          <w:szCs w:val="12"/>
          <w:b w:val="1"/>
          <w:bCs w:val="1"/>
          <w:color w:val="auto"/>
        </w:rPr>
        <w:t>Additional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Financial Covenant</w:t>
      </w:r>
      <w:r>
        <w:rPr>
          <w:rFonts w:ascii="Times New Roman" w:cs="Times New Roman" w:eastAsia="Times New Roman" w:hAnsi="Times New Roman"/>
          <w:sz w:val="12"/>
          <w:szCs w:val="12"/>
          <w:color w:val="auto"/>
        </w:rPr>
        <w:t>"), then such Additional Financial Covenant shall be deemed automatically incorporated into the terms of this Charter (an "</w:t>
      </w:r>
      <w:r>
        <w:rPr>
          <w:rFonts w:ascii="Times New Roman" w:cs="Times New Roman" w:eastAsia="Times New Roman" w:hAnsi="Times New Roman"/>
          <w:sz w:val="12"/>
          <w:szCs w:val="12"/>
          <w:b w:val="1"/>
          <w:bCs w:val="1"/>
          <w:color w:val="auto"/>
        </w:rPr>
        <w:t>MFN Amendment</w:t>
      </w:r>
      <w:r>
        <w:rPr>
          <w:rFonts w:ascii="Times New Roman" w:cs="Times New Roman" w:eastAsia="Times New Roman" w:hAnsi="Times New Roman"/>
          <w:sz w:val="12"/>
          <w:szCs w:val="12"/>
          <w:color w:val="auto"/>
        </w:rPr>
        <w:t>"). Such MFN Amendment shall be reversed and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financial covenants restored to those that were in effect immediately prior to an MFN Amendment when (i) such other financial indebtedness containing the Additional Financial Covenant is repaid in full other than as a result of or in connection with an actual event of default (howsoever defined); or (ii) the original terms of an Additional Financial Covenant provided that it has ceased to apply. The Charterers shall promptly notify the Owners of any change or event that requires the incorporation or reverse of an MFN Amendment. The Charterers agree that it will, and will procure that the Charter Guarantor will, promptly enter into such necessary documentation as may be required to amend and supplement the Charter Guarantee and this Charter so as to reflect and incorporate such new or amended financial covenants that are more favourable to the Owners in accordance with this clause.</w:t>
      </w:r>
    </w:p>
    <w:p>
      <w:pPr>
        <w:spacing w:after="0" w:line="123" w:lineRule="exact"/>
        <w:rPr>
          <w:rFonts w:ascii="Times New Roman" w:cs="Times New Roman" w:eastAsia="Times New Roman" w:hAnsi="Times New Roman"/>
          <w:sz w:val="12"/>
          <w:szCs w:val="12"/>
          <w:color w:val="auto"/>
        </w:rPr>
      </w:pPr>
    </w:p>
    <w:p>
      <w:pPr>
        <w:ind w:left="440" w:hanging="437"/>
        <w:spacing w:after="0"/>
        <w:tabs>
          <w:tab w:leader="none" w:pos="440" w:val="left"/>
        </w:tabs>
        <w:numPr>
          <w:ilvl w:val="0"/>
          <w:numId w:val="49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representations and warranties</w:t>
      </w:r>
    </w:p>
    <w:p>
      <w:pPr>
        <w:spacing w:after="0" w:line="154" w:lineRule="exact"/>
        <w:rPr>
          <w:rFonts w:ascii="Times New Roman" w:cs="Times New Roman" w:eastAsia="Times New Roman" w:hAnsi="Times New Roman"/>
          <w:sz w:val="12"/>
          <w:szCs w:val="12"/>
          <w:b w:val="1"/>
          <w:bCs w:val="1"/>
          <w:color w:val="auto"/>
        </w:rPr>
      </w:pPr>
    </w:p>
    <w:p>
      <w:pPr>
        <w:ind w:left="700" w:hanging="436"/>
        <w:spacing w:after="0"/>
        <w:tabs>
          <w:tab w:leader="none" w:pos="700" w:val="left"/>
        </w:tabs>
        <w:numPr>
          <w:ilvl w:val="2"/>
          <w:numId w:val="4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make the representations and warranties set out in this Clause 47 to the Owners on the date of this Charter and on the Actual Delivery Date:</w:t>
      </w:r>
    </w:p>
    <w:p>
      <w:pPr>
        <w:spacing w:after="0" w:line="15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10795</wp:posOffset>
            </wp:positionV>
            <wp:extent cx="7178040" cy="57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40"/>
          </w:cols>
          <w:pgMar w:left="460" w:top="205" w:right="299" w:bottom="1440" w:gutter="0" w:footer="0" w:header="0"/>
        </w:sectPr>
      </w:pPr>
    </w:p>
    <w:bookmarkStart w:id="349" w:name="page350"/>
    <w:bookmarkEnd w:id="349"/>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24" w:hanging="424"/>
        <w:spacing w:after="0" w:line="258" w:lineRule="auto"/>
        <w:tabs>
          <w:tab w:leader="none" w:pos="424"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Status: </w:t>
      </w:r>
      <w:r>
        <w:rPr>
          <w:rFonts w:ascii="Times New Roman" w:cs="Times New Roman" w:eastAsia="Times New Roman" w:hAnsi="Times New Roman"/>
          <w:sz w:val="12"/>
          <w:szCs w:val="12"/>
          <w:color w:val="auto"/>
        </w:rPr>
        <w:t>each Obligor is a company or (as applicable) corporation, duly incorporated and validly existing under the laws of its jurisdiction of incorporation, in good standing and has the power to own its assets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carry on its business as it is being conducted;</w:t>
      </w:r>
    </w:p>
    <w:p>
      <w:pPr>
        <w:spacing w:after="0" w:line="119"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Binding obligations: </w:t>
      </w:r>
      <w:r>
        <w:rPr>
          <w:rFonts w:ascii="Times New Roman" w:cs="Times New Roman" w:eastAsia="Times New Roman" w:hAnsi="Times New Roman"/>
          <w:sz w:val="12"/>
          <w:szCs w:val="12"/>
          <w:color w:val="auto"/>
        </w:rPr>
        <w:t>Subject to the Legal Reservations, the obligations expressed to be assumed by each Obligor in each Transaction Document to which it or he/she is a party are legal, valid, binding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enforceable obligations and no limit on any of their powers will be exceeded as a result of the borrowings, granting of security or giving of guarantees contemplated by the Transaction Documents or the performance by any of them of any of their obligations thereunder;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breach: </w:t>
      </w:r>
      <w:r>
        <w:rPr>
          <w:rFonts w:ascii="Times New Roman" w:cs="Times New Roman" w:eastAsia="Times New Roman" w:hAnsi="Times New Roman"/>
          <w:sz w:val="12"/>
          <w:szCs w:val="12"/>
          <w:color w:val="auto"/>
        </w:rPr>
        <w:t>the entry into and performance by each Obligor of, and the transactions contemplated by, each Transaction Document to which it or he is a party do not conflict with:</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applicable law or regulation (including Anti-Money Laundering Laws, anti-corruption and anti-bribery laws, Anti-Terrorism Financing Laws, Sanctions);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document binding on it, or any of its or his/her assets;</w:t>
      </w:r>
    </w:p>
    <w:p>
      <w:pPr>
        <w:spacing w:after="0" w:line="146"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Due authorisation: </w:t>
      </w:r>
      <w:r>
        <w:rPr>
          <w:rFonts w:ascii="Times New Roman" w:cs="Times New Roman" w:eastAsia="Times New Roman" w:hAnsi="Times New Roman"/>
          <w:sz w:val="12"/>
          <w:szCs w:val="12"/>
          <w:color w:val="auto"/>
        </w:rPr>
        <w:t>each Obligor has the power to enter into, perform and deliver, and has taken all necessary action to authorise its or his/her entry into, performance and delivery of, each Transaction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Document to which it or he/she is a party and the transactions contemplated thereunder;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in evidence: </w:t>
      </w:r>
      <w:r>
        <w:rPr>
          <w:rFonts w:ascii="Times New Roman" w:cs="Times New Roman" w:eastAsia="Times New Roman" w:hAnsi="Times New Roman"/>
          <w:sz w:val="12"/>
          <w:szCs w:val="12"/>
          <w:color w:val="auto"/>
        </w:rPr>
        <w:t>all consents, licences, approvals, authorisations, filings and registrations required:</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each Obligor to lawfully enter into, exercise its or his/her rights and comply with its or his/her obligations in each Transaction Document to which it or he/she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the obligations expressed to be assumed by each of the Obligors in the Transaction Documents are legal, valid and binding;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each Transaction Document to which each Obligor is a party admissible in evidence in its jurisdiction of incorporation,</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have been obtained or effected and are in full force and effect;</w:t>
      </w:r>
    </w:p>
    <w:p>
      <w:pPr>
        <w:spacing w:after="0" w:line="146" w:lineRule="exact"/>
        <w:rPr>
          <w:sz w:val="20"/>
          <w:szCs w:val="20"/>
          <w:color w:val="auto"/>
        </w:rPr>
      </w:pPr>
    </w:p>
    <w:p>
      <w:pPr>
        <w:jc w:val="both"/>
        <w:ind w:left="424" w:hanging="424"/>
        <w:spacing w:after="0" w:line="268" w:lineRule="auto"/>
        <w:tabs>
          <w:tab w:leader="none" w:pos="424"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Governing law and judgments: </w:t>
      </w:r>
      <w:r>
        <w:rPr>
          <w:rFonts w:ascii="Times New Roman" w:cs="Times New Roman" w:eastAsia="Times New Roman" w:hAnsi="Times New Roman"/>
          <w:sz w:val="12"/>
          <w:szCs w:val="12"/>
          <w:color w:val="auto"/>
        </w:rPr>
        <w:t>Subject to the Legal Reservations, in any proceedings taken in any of the Obligors' jurisdiction of incorporation or residence in relation to any of the Transaction Documents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there is any express choice of the law of a particular country as the governing law thereof, that choice of law and any judgment or (if applicable) arbitral award obtained in that country will be recognised and enforced;</w:t>
      </w:r>
    </w:p>
    <w:p>
      <w:pPr>
        <w:spacing w:after="0" w:line="11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deductions or withholding: </w:t>
      </w:r>
      <w:r>
        <w:rPr>
          <w:rFonts w:ascii="Times New Roman" w:cs="Times New Roman" w:eastAsia="Times New Roman" w:hAnsi="Times New Roman"/>
          <w:sz w:val="12"/>
          <w:szCs w:val="12"/>
          <w:color w:val="auto"/>
        </w:rPr>
        <w:t>no Obligor is required under the laws of its jurisdiction of incorporation or residence to make any deduction for or on account of tax from any payment it may make under each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to which it or he is a party;</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4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filing or stamp Taxes: </w:t>
      </w:r>
      <w:r>
        <w:rPr>
          <w:rFonts w:ascii="Times New Roman" w:cs="Times New Roman" w:eastAsia="Times New Roman" w:hAnsi="Times New Roman"/>
          <w:sz w:val="12"/>
          <w:szCs w:val="12"/>
          <w:color w:val="auto"/>
        </w:rPr>
        <w:t>under the laws of the jurisdiction of incorporation of each Obligor and subject to any Perfection Requirements, it is not necessary that any of the Transaction Documents to which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Obligor is a party be filed, recorded or enrolled with any court or other authority in that jurisdiction or that any stamp, registration or similar tax be paid on or in relation thereto or the transactions contemplated thereby (other than any filing or recording or enrolling of any tax which is referred to in the legal opinions delivered to the Owner);</w:t>
      </w:r>
    </w:p>
    <w:p>
      <w:pPr>
        <w:spacing w:after="0" w:line="118"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350" w:name="page351"/>
    <w:bookmarkEnd w:id="350"/>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424"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default: </w:t>
      </w:r>
      <w:r>
        <w:rPr>
          <w:rFonts w:ascii="Times New Roman" w:cs="Times New Roman" w:eastAsia="Times New Roman" w:hAnsi="Times New Roman"/>
          <w:sz w:val="12"/>
          <w:szCs w:val="12"/>
          <w:color w:val="auto"/>
        </w:rPr>
        <w:t>no Termination Event has occurred and is continuing or might reasonably be expected to result from any Obligor's entry into and performance of each Transaction Document to which such</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Obligor is a party;</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misleading information: </w:t>
      </w:r>
      <w:r>
        <w:rPr>
          <w:rFonts w:ascii="Times New Roman" w:cs="Times New Roman" w:eastAsia="Times New Roman" w:hAnsi="Times New Roman"/>
          <w:sz w:val="12"/>
          <w:szCs w:val="12"/>
          <w:color w:val="auto"/>
        </w:rPr>
        <w:t>subject to any qualification (if applicable) set out in such information, any factual information provided by the Charterers to the Owners was true and accurate in all material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respects as at the date it was provided or as the date at which such information was stated;</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Subject to the Legal Reservations, the payment obligations of each Obligor under each Transaction Document to which it or he/she is a party rank at least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with the claims of 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of such Obligor, except for obligations mandatorily preferred by law applying to companies generally;</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proceedings: </w:t>
      </w:r>
      <w:r>
        <w:rPr>
          <w:rFonts w:ascii="Times New Roman" w:cs="Times New Roman" w:eastAsia="Times New Roman" w:hAnsi="Times New Roman"/>
          <w:sz w:val="12"/>
          <w:szCs w:val="12"/>
          <w:color w:val="auto"/>
        </w:rPr>
        <w:t>no litigation, arbitration or administrative proceedings of or before any court, arbitral body or agency have (to the best of the Charterers' knowledge) been started against an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which, if adversely determined, has a Material Adverse Effect;</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immunity: </w:t>
      </w:r>
      <w:r>
        <w:rPr>
          <w:rFonts w:ascii="Times New Roman" w:cs="Times New Roman" w:eastAsia="Times New Roman" w:hAnsi="Times New Roman"/>
          <w:sz w:val="12"/>
          <w:szCs w:val="12"/>
          <w:color w:val="auto"/>
        </w:rPr>
        <w:t>none of the Obligors nor any of its or his assets has any right to immunity from set-off, legal proceedings, attachment prior to judgment, other attachment or execution of judgment on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grounds of sovereign immunity or otherwise;</w:t>
      </w:r>
    </w:p>
    <w:p>
      <w:pPr>
        <w:spacing w:after="0" w:line="103"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winding-up: </w:t>
      </w:r>
      <w:r>
        <w:rPr>
          <w:rFonts w:ascii="Times New Roman" w:cs="Times New Roman" w:eastAsia="Times New Roman" w:hAnsi="Times New Roman"/>
          <w:sz w:val="12"/>
          <w:szCs w:val="12"/>
          <w:color w:val="auto"/>
        </w:rPr>
        <w:t>none of the Obligors is insolvent or in liquidation or administration or subject to any other formal or informal insolvency procedure, and no receiver, administrative receiver, administrator,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liquidator, trustee or analogous officer has been appointed in respect of it, or all or any part of its/his/her assets;</w:t>
      </w:r>
    </w:p>
    <w:p>
      <w:pPr>
        <w:spacing w:after="0" w:line="103"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Anti-Money Laundering Laws etc.: </w:t>
      </w:r>
      <w:r>
        <w:rPr>
          <w:rFonts w:ascii="Times New Roman" w:cs="Times New Roman" w:eastAsia="Times New Roman" w:hAnsi="Times New Roman"/>
          <w:sz w:val="12"/>
          <w:szCs w:val="12"/>
          <w:color w:val="auto"/>
        </w:rPr>
        <w:t>each Obligor is not in breach of Anti-Money Laundering Laws, Anti-Terrorism Financing Laws and/or Business Ethics Laws and each of the Obligor has instituted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maintained systems, controls, policies or procedures designed to:</w:t>
      </w:r>
    </w:p>
    <w:p>
      <w:pPr>
        <w:spacing w:after="0" w:line="107"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prevent and detect incidences of bribery and corruption, money laundering and terrorism financing;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promote and achieve compliance with Anti-Money Laundering Laws, Anti-Terrorism Financing Laws and Business Ethics Laws;</w:t>
      </w:r>
    </w:p>
    <w:p>
      <w:pPr>
        <w:spacing w:after="0" w:line="14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nor any of their respective directors, officers, and to the best of the Charterers' knowledge and belief, employees;</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4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and their respective directors, officers, and to the best of the Charterers' knowledge and belief, employees, is in compliance with all Sanctions laws, and none of them have been or are currently being investigated on compliance with Sanctions, they have not received notice or are aware of any claim, action, suit or proceeding against any of them with respect to Sanctions and they have not taken any action to evade the application of Sanctions;</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351" w:name="page352"/>
    <w:bookmarkEnd w:id="351"/>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1440" w:hanging="432"/>
        <w:spacing w:after="0" w:line="258" w:lineRule="auto"/>
        <w:tabs>
          <w:tab w:leader="none" w:pos="1440" w:val="left"/>
        </w:tabs>
        <w:numPr>
          <w:ilvl w:val="3"/>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 Sub-Charterer becomes a Restricted Persoon or acts in breach of any Sanctions, the Charterers shall, upon becoming aware of such event, (i) immediately terminate the Sub-Charter with such Sub-Charterer and (ii) procure a replacement Sub-Charter (reasonably acceptable to the Owners) as soon as practicable and in any case within 60 days; and</w:t>
      </w:r>
    </w:p>
    <w:p>
      <w:pPr>
        <w:spacing w:after="0" w:line="123" w:lineRule="exact"/>
        <w:rPr>
          <w:rFonts w:ascii="Times New Roman" w:cs="Times New Roman" w:eastAsia="Times New Roman" w:hAnsi="Times New Roman"/>
          <w:sz w:val="12"/>
          <w:szCs w:val="12"/>
          <w:color w:val="auto"/>
        </w:rPr>
      </w:pPr>
    </w:p>
    <w:p>
      <w:pPr>
        <w:ind w:left="1440" w:right="20" w:hanging="432"/>
        <w:spacing w:after="0" w:line="279" w:lineRule="auto"/>
        <w:tabs>
          <w:tab w:leader="none" w:pos="1440" w:val="left"/>
        </w:tabs>
        <w:numPr>
          <w:ilvl w:val="3"/>
          <w:numId w:val="4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an Approved Manager becomes a Restricted Person or acts in breach of any Sanctions, the Charterers shall, upon becoming aware of such event, immediately terminate its appointment and appoint a substitute Approved Manager (reasonably acceptable to the Owners) as soon as practicable and in any case within one month.</w:t>
      </w:r>
    </w:p>
    <w:p>
      <w:pPr>
        <w:spacing w:after="0" w:line="107" w:lineRule="exact"/>
        <w:rPr>
          <w:rFonts w:ascii="Times New Roman" w:cs="Times New Roman" w:eastAsia="Times New Roman" w:hAnsi="Times New Roman"/>
          <w:sz w:val="12"/>
          <w:szCs w:val="12"/>
          <w:color w:val="auto"/>
        </w:rPr>
      </w:pPr>
    </w:p>
    <w:p>
      <w:pPr>
        <w:ind w:left="1000" w:hanging="424"/>
        <w:spacing w:after="0" w:line="286" w:lineRule="auto"/>
        <w:tabs>
          <w:tab w:leader="none" w:pos="1000" w:val="left"/>
        </w:tabs>
        <w:numPr>
          <w:ilvl w:val="2"/>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Security: </w:t>
      </w:r>
      <w:r>
        <w:rPr>
          <w:rFonts w:ascii="Times New Roman" w:cs="Times New Roman" w:eastAsia="Times New Roman" w:hAnsi="Times New Roman"/>
          <w:sz w:val="12"/>
          <w:szCs w:val="12"/>
          <w:color w:val="auto"/>
        </w:rPr>
        <w:t>each of the Obligors is the legal and beneficial owner of all assets and other property which it or he/she purports to charge, pledge, assign or otherwise secure pursuant to each Transaction Document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those Transaction Documents to which it or he/she is a party create and give rise to valid and effective security having the ranking expressed in those Transaction Documents;</w:t>
      </w:r>
    </w:p>
    <w:p>
      <w:pPr>
        <w:spacing w:after="0" w:line="103" w:lineRule="exact"/>
        <w:rPr>
          <w:rFonts w:ascii="Times New Roman" w:cs="Times New Roman" w:eastAsia="Times New Roman" w:hAnsi="Times New Roman"/>
          <w:sz w:val="12"/>
          <w:szCs w:val="12"/>
          <w:color w:val="auto"/>
        </w:rPr>
      </w:pPr>
    </w:p>
    <w:p>
      <w:pPr>
        <w:ind w:left="1000" w:hanging="424"/>
        <w:spacing w:after="0"/>
        <w:tabs>
          <w:tab w:leader="none" w:pos="1000" w:val="left"/>
        </w:tabs>
        <w:numPr>
          <w:ilvl w:val="2"/>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Environmental Law:</w:t>
      </w:r>
    </w:p>
    <w:p>
      <w:pPr>
        <w:spacing w:after="0" w:line="154" w:lineRule="exact"/>
        <w:rPr>
          <w:rFonts w:ascii="Times New Roman" w:cs="Times New Roman" w:eastAsia="Times New Roman" w:hAnsi="Times New Roman"/>
          <w:sz w:val="12"/>
          <w:szCs w:val="12"/>
          <w:color w:val="auto"/>
        </w:rPr>
      </w:pPr>
    </w:p>
    <w:p>
      <w:pPr>
        <w:ind w:left="1440" w:hanging="432"/>
        <w:spacing w:after="0"/>
        <w:tabs>
          <w:tab w:leader="none" w:pos="1440" w:val="left"/>
        </w:tabs>
        <w:numPr>
          <w:ilvl w:val="3"/>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circumstances have occurred which would prevent the compliance by the Obligors in a manner or to an extent which has a Material Adverse Effect; and</w:t>
      </w:r>
    </w:p>
    <w:p>
      <w:pPr>
        <w:spacing w:after="0" w:line="150" w:lineRule="exact"/>
        <w:rPr>
          <w:rFonts w:ascii="Times New Roman" w:cs="Times New Roman" w:eastAsia="Times New Roman" w:hAnsi="Times New Roman"/>
          <w:sz w:val="12"/>
          <w:szCs w:val="12"/>
          <w:color w:val="auto"/>
        </w:rPr>
      </w:pPr>
    </w:p>
    <w:p>
      <w:pPr>
        <w:ind w:left="1440" w:hanging="432"/>
        <w:spacing w:after="0"/>
        <w:tabs>
          <w:tab w:leader="none" w:pos="1440" w:val="left"/>
        </w:tabs>
        <w:numPr>
          <w:ilvl w:val="3"/>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Environmental Claim has been commenced against any Obligor where, if determined against such Obligor, has a Material Adverse Effect;</w:t>
      </w:r>
    </w:p>
    <w:p>
      <w:pPr>
        <w:spacing w:after="0" w:line="146" w:lineRule="exact"/>
        <w:rPr>
          <w:rFonts w:ascii="Times New Roman" w:cs="Times New Roman" w:eastAsia="Times New Roman" w:hAnsi="Times New Roman"/>
          <w:sz w:val="12"/>
          <w:szCs w:val="12"/>
          <w:color w:val="auto"/>
        </w:rPr>
      </w:pPr>
    </w:p>
    <w:p>
      <w:pPr>
        <w:ind w:left="1000" w:hanging="424"/>
        <w:spacing w:after="0"/>
        <w:tabs>
          <w:tab w:leader="none" w:pos="1000" w:val="left"/>
        </w:tabs>
        <w:numPr>
          <w:ilvl w:val="2"/>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Taxation:</w:t>
      </w:r>
    </w:p>
    <w:p>
      <w:pPr>
        <w:spacing w:after="0" w:line="154" w:lineRule="exact"/>
        <w:rPr>
          <w:rFonts w:ascii="Times New Roman" w:cs="Times New Roman" w:eastAsia="Times New Roman" w:hAnsi="Times New Roman"/>
          <w:sz w:val="12"/>
          <w:szCs w:val="12"/>
          <w:color w:val="auto"/>
        </w:rPr>
      </w:pPr>
    </w:p>
    <w:p>
      <w:pPr>
        <w:ind w:left="1440" w:hanging="432"/>
        <w:spacing w:after="0" w:line="279" w:lineRule="auto"/>
        <w:tabs>
          <w:tab w:leader="none" w:pos="1440" w:val="left"/>
        </w:tabs>
        <w:numPr>
          <w:ilvl w:val="3"/>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is overdue in the filing of any Tax returns and no Obligor is overdue in the payment of any Taxes, save in the case of Taxes which are being contested on bona fide grounds or in the case the overdue payment amount does not exceeds US$50,000 and the relevant Obligor is taking steps to make prompt payment of the same;</w:t>
      </w:r>
    </w:p>
    <w:p>
      <w:pPr>
        <w:spacing w:after="0" w:line="111" w:lineRule="exact"/>
        <w:rPr>
          <w:rFonts w:ascii="Times New Roman" w:cs="Times New Roman" w:eastAsia="Times New Roman" w:hAnsi="Times New Roman"/>
          <w:sz w:val="12"/>
          <w:szCs w:val="12"/>
          <w:color w:val="auto"/>
        </w:rPr>
      </w:pPr>
    </w:p>
    <w:p>
      <w:pPr>
        <w:ind w:left="1440" w:hanging="432"/>
        <w:spacing w:after="0"/>
        <w:tabs>
          <w:tab w:leader="none" w:pos="1440" w:val="left"/>
        </w:tabs>
        <w:numPr>
          <w:ilvl w:val="3"/>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made or conducted against any Obligor with respect to Taxes;</w:t>
      </w:r>
    </w:p>
    <w:p>
      <w:pPr>
        <w:spacing w:after="0" w:line="146" w:lineRule="exact"/>
        <w:rPr>
          <w:rFonts w:ascii="Times New Roman" w:cs="Times New Roman" w:eastAsia="Times New Roman" w:hAnsi="Times New Roman"/>
          <w:sz w:val="12"/>
          <w:szCs w:val="12"/>
          <w:color w:val="auto"/>
        </w:rPr>
      </w:pPr>
    </w:p>
    <w:p>
      <w:pPr>
        <w:ind w:left="1000" w:hanging="424"/>
        <w:spacing w:after="0"/>
        <w:tabs>
          <w:tab w:leader="none" w:pos="1000" w:val="left"/>
        </w:tabs>
        <w:numPr>
          <w:ilvl w:val="2"/>
          <w:numId w:val="5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 Material Adverse Effect: </w:t>
      </w:r>
      <w:r>
        <w:rPr>
          <w:rFonts w:ascii="Times New Roman" w:cs="Times New Roman" w:eastAsia="Times New Roman" w:hAnsi="Times New Roman"/>
          <w:sz w:val="12"/>
          <w:szCs w:val="12"/>
          <w:color w:val="auto"/>
        </w:rPr>
        <w:t>no event or circumstance has occurred which has a Material Adverse Effect;</w:t>
      </w:r>
    </w:p>
    <w:p>
      <w:pPr>
        <w:spacing w:after="0" w:line="152" w:lineRule="exact"/>
        <w:rPr>
          <w:rFonts w:ascii="Times New Roman" w:cs="Times New Roman" w:eastAsia="Times New Roman" w:hAnsi="Times New Roman"/>
          <w:sz w:val="12"/>
          <w:szCs w:val="12"/>
          <w:color w:val="auto"/>
        </w:rPr>
      </w:pPr>
    </w:p>
    <w:p>
      <w:pPr>
        <w:jc w:val="both"/>
        <w:ind w:left="580" w:hanging="436"/>
        <w:spacing w:after="0" w:line="266" w:lineRule="auto"/>
        <w:tabs>
          <w:tab w:leader="none" w:pos="580" w:val="left"/>
        </w:tabs>
        <w:numPr>
          <w:ilvl w:val="1"/>
          <w:numId w:val="5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representation and warranty in Clause 47(a) (other than in sub-paragraphs (a)(xii) (</w:t>
      </w:r>
      <w:r>
        <w:rPr>
          <w:rFonts w:ascii="Times New Roman" w:cs="Times New Roman" w:eastAsia="Times New Roman" w:hAnsi="Times New Roman"/>
          <w:sz w:val="12"/>
          <w:szCs w:val="12"/>
          <w:i w:val="1"/>
          <w:iCs w:val="1"/>
          <w:color w:val="auto"/>
        </w:rPr>
        <w:t>No material proceedings</w:t>
      </w:r>
      <w:r>
        <w:rPr>
          <w:rFonts w:ascii="Times New Roman" w:cs="Times New Roman" w:eastAsia="Times New Roman" w:hAnsi="Times New Roman"/>
          <w:sz w:val="12"/>
          <w:szCs w:val="12"/>
          <w:color w:val="auto"/>
        </w:rPr>
        <w:t>) and (a)(vii) (</w:t>
      </w:r>
      <w:r>
        <w:rPr>
          <w:rFonts w:ascii="Times New Roman" w:cs="Times New Roman" w:eastAsia="Times New Roman" w:hAnsi="Times New Roman"/>
          <w:sz w:val="12"/>
          <w:szCs w:val="12"/>
          <w:i w:val="1"/>
          <w:iCs w:val="1"/>
          <w:color w:val="auto"/>
        </w:rPr>
        <w:t>No deductions or withholding</w:t>
      </w:r>
      <w:r>
        <w:rPr>
          <w:rFonts w:ascii="Times New Roman" w:cs="Times New Roman" w:eastAsia="Times New Roman" w:hAnsi="Times New Roman"/>
          <w:sz w:val="12"/>
          <w:szCs w:val="12"/>
          <w:color w:val="auto"/>
        </w:rPr>
        <w:t>)) above is deemed to be repeated by the Charterers by reference to the facts and circumstances then existing on each day on which Hire or any other amount is payable under this Charter and, the representation and warranty in Clause 47(a)(xvi)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above (other than in relation to any Approved Manager) shall be deemed to be made and repeated on the date when the Owners shall transfer the title of the Vessel under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5"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50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Charterers' undertakings</w:t>
      </w:r>
    </w:p>
    <w:p>
      <w:pPr>
        <w:spacing w:after="0" w:line="15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2"/>
          <w:szCs w:val="12"/>
          <w:color w:val="auto"/>
        </w:rPr>
        <w:t>The Charterers hereby undertake to the Owners that they will comply in full and procure compliance (where applicable) with the following undertakings throughout the Agreement Term:</w:t>
      </w:r>
    </w:p>
    <w:p>
      <w:pPr>
        <w:spacing w:after="0" w:line="150"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10795</wp:posOffset>
            </wp:positionV>
            <wp:extent cx="7178040" cy="57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0"/>
          </w:cols>
          <w:pgMar w:left="580" w:top="205" w:right="299" w:bottom="1440" w:gutter="0" w:footer="0" w:header="0"/>
        </w:sectPr>
      </w:pPr>
    </w:p>
    <w:bookmarkStart w:id="352" w:name="page353"/>
    <w:bookmarkEnd w:id="352"/>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0" w:hanging="436"/>
        <w:spacing w:after="0"/>
        <w:tabs>
          <w:tab w:leader="none" w:pos="440" w:val="left"/>
        </w:tabs>
        <w:numPr>
          <w:ilvl w:val="0"/>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Financial Statements </w:t>
      </w:r>
      <w:r>
        <w:rPr>
          <w:rFonts w:ascii="Times New Roman" w:cs="Times New Roman" w:eastAsia="Times New Roman" w:hAnsi="Times New Roman"/>
          <w:sz w:val="12"/>
          <w:szCs w:val="12"/>
          <w:color w:val="auto"/>
        </w:rPr>
        <w:t>The Charterers shall supply, and shall procure the Charter Guarantor will supply, to the Owners as soon as the same become available, but in any event within:</w:t>
      </w:r>
    </w:p>
    <w:p>
      <w:pPr>
        <w:spacing w:after="0" w:line="138"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eighty (180) days after the end of the Charter Guarantor's financial year, the Charter Guarantor's audited consolidated financial statements for that financial year;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5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one hundred and twenty (120) days after the 6-month period ending on 30 June in each financial year of the Charter Guarantor, the semi-annual consolidated unaudited financial statements of the Charter Guarantor, for that 6-month period;</w:t>
      </w:r>
    </w:p>
    <w:p>
      <w:pPr>
        <w:spacing w:after="0" w:line="11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So long as such financial statements are available at the Charter Guarantor’s website, the relevant obligation will be deemed to have been met.</w:t>
      </w:r>
    </w:p>
    <w:p>
      <w:pPr>
        <w:spacing w:after="0" w:line="146" w:lineRule="exact"/>
        <w:rPr>
          <w:sz w:val="20"/>
          <w:szCs w:val="20"/>
          <w:color w:val="auto"/>
        </w:rPr>
      </w:pPr>
    </w:p>
    <w:p>
      <w:pPr>
        <w:ind w:left="440" w:hanging="436"/>
        <w:spacing w:after="0"/>
        <w:tabs>
          <w:tab w:leader="none" w:pos="440"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Requirements as to financial statements </w:t>
      </w:r>
      <w:r>
        <w:rPr>
          <w:rFonts w:ascii="Times New Roman" w:cs="Times New Roman" w:eastAsia="Times New Roman" w:hAnsi="Times New Roman"/>
          <w:sz w:val="12"/>
          <w:szCs w:val="12"/>
          <w:color w:val="auto"/>
        </w:rPr>
        <w:t>Each set of financial statements delivered to the Owners under Clause 48(a)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in English;</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certified by an authorised signatory of the relevant Obligor as fairly representing its financial condition as at the date at which those financial statements were drawn up;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 prepared in accordance with GAAP.</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Information: miscellaneous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notify the Owners of the occurrence of any Charter Guarantor Change of Control Event;</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supply to the Owners details of any litigation, arbitration or administrative proceedings which are current or pending against any Obligor provided such litigation, arbitration or administrative proceeding if adversely determined has a Material Adverse Effect;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supply to the Owners such further information regarding the financial condition, business and operations of any of the Obligor as the Owners or any Finance Party may reasonably request;</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Owners so request, provide to the Owners a copy of such Sub-Charter which the Owners may reasonably request; and</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the Owners, or procure that the Approved Managers supply to the Owners, management report on a quarterly basis (including an estimate/budget of the Vessel's OPEX, such as crewing costs, insurances, repair and maintenance, stores, spares, lubricants and dry-docking expenses).</w:t>
      </w:r>
    </w:p>
    <w:p>
      <w:pPr>
        <w:spacing w:after="0" w:line="107"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5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Notification of Termination Event </w:t>
      </w:r>
      <w:r>
        <w:rPr>
          <w:rFonts w:ascii="Times New Roman" w:cs="Times New Roman" w:eastAsia="Times New Roman" w:hAnsi="Times New Roman"/>
          <w:sz w:val="12"/>
          <w:szCs w:val="12"/>
          <w:color w:val="auto"/>
        </w:rPr>
        <w:t>The Charterers shall, and shall procure the Charter Guarantor will, promptly, upon becoming aware of the same, inform the Owners in writing of the occurrence of any Termination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Event (and the steps, if any, being taken to remedy this) and, upon the Owners' request, confirm to the Owners that, save as previously notified to the Owners or as notified in such confirmation, no Potential Termination Event or Termination Event is continuing and, if applicable, specifying the steps being taken to remedy it.</w:t>
      </w:r>
    </w:p>
    <w:p>
      <w:pPr>
        <w:spacing w:after="0" w:line="11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53" w:name="page354"/>
    <w:bookmarkEnd w:id="353"/>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jc w:val="both"/>
        <w:ind w:left="445" w:hanging="436"/>
        <w:spacing w:after="0" w:line="254" w:lineRule="auto"/>
        <w:tabs>
          <w:tab w:leader="none" w:pos="445"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Maintenance of legal validity </w:t>
      </w:r>
      <w:r>
        <w:rPr>
          <w:rFonts w:ascii="Times New Roman" w:cs="Times New Roman" w:eastAsia="Times New Roman" w:hAnsi="Times New Roman"/>
          <w:sz w:val="12"/>
          <w:szCs w:val="12"/>
          <w:color w:val="auto"/>
        </w:rPr>
        <w:t>Each Obligor will comply with the terms of and do all that is necessary to maintain in full force and effect all Perfection Requirements and Authorizations required under any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law or regulation to enable it to perform its obligations under this Charter and the Transaction Documents to which it is a party and to ensure the legality, validity, enforceability or admissibility in evidence of such Transaction Documents in their jurisdiction of incorporation and all other applicable jurisdictions;</w:t>
      </w:r>
    </w:p>
    <w:p>
      <w:pPr>
        <w:spacing w:after="0" w:line="121"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0"/>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Taxation </w:t>
      </w:r>
      <w:r>
        <w:rPr>
          <w:rFonts w:ascii="Times New Roman" w:cs="Times New Roman" w:eastAsia="Times New Roman" w:hAnsi="Times New Roman"/>
          <w:sz w:val="12"/>
          <w:szCs w:val="12"/>
          <w:color w:val="auto"/>
        </w:rPr>
        <w:t>Each Obligor will pay and discharge all Taxes applicable to, or imposed on or in relation to, it, its business and its assets within the time period allowed without incurring penalties unless and only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extent that:</w:t>
      </w:r>
    </w:p>
    <w:p>
      <w:pPr>
        <w:spacing w:after="0" w:line="107"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65" w:hanging="424"/>
        <w:spacing w:after="0" w:line="283" w:lineRule="auto"/>
        <w:tabs>
          <w:tab w:leader="none" w:pos="865" w:val="left"/>
        </w:tabs>
        <w:numPr>
          <w:ilvl w:val="2"/>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being maintained for those Taxes and the costs required to contest them which have been disclosed in its latest financial statements delivered to the Owners under Clause 54.1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46" w:lineRule="exact"/>
        <w:rPr>
          <w:rFonts w:ascii="Times New Roman" w:cs="Times New Roman" w:eastAsia="Times New Roman" w:hAnsi="Times New Roman"/>
          <w:sz w:val="12"/>
          <w:szCs w:val="12"/>
          <w:color w:val="auto"/>
        </w:rPr>
      </w:pPr>
    </w:p>
    <w:p>
      <w:pPr>
        <w:ind w:left="445" w:right="20" w:hanging="436"/>
        <w:spacing w:after="0" w:line="286" w:lineRule="auto"/>
        <w:tabs>
          <w:tab w:leader="none" w:pos="445" w:val="left"/>
        </w:tabs>
        <w:numPr>
          <w:ilvl w:val="1"/>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Negative pledge </w:t>
      </w:r>
      <w:r>
        <w:rPr>
          <w:rFonts w:ascii="Times New Roman" w:cs="Times New Roman" w:eastAsia="Times New Roman" w:hAnsi="Times New Roman"/>
          <w:sz w:val="12"/>
          <w:szCs w:val="12"/>
          <w:color w:val="auto"/>
        </w:rPr>
        <w:t>The Charterers will not create or permit to subsist any Security Interest (other than Permitted Security) or other third party rights over any of their present or future rights and interests in or towards 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Transaction Document or the Vessel other than a Security Interest created by the Transaction Documents, the Finance Documents or otherwise with the written consent of the Owners.</w:t>
      </w:r>
    </w:p>
    <w:p>
      <w:pPr>
        <w:spacing w:after="0" w:line="103" w:lineRule="exact"/>
        <w:rPr>
          <w:rFonts w:ascii="Times New Roman" w:cs="Times New Roman" w:eastAsia="Times New Roman" w:hAnsi="Times New Roman"/>
          <w:sz w:val="12"/>
          <w:szCs w:val="12"/>
          <w:color w:val="auto"/>
        </w:rPr>
      </w:pPr>
    </w:p>
    <w:p>
      <w:pPr>
        <w:ind w:left="445" w:hanging="436"/>
        <w:spacing w:after="0"/>
        <w:tabs>
          <w:tab w:leader="none" w:pos="445" w:val="left"/>
        </w:tabs>
        <w:numPr>
          <w:ilvl w:val="1"/>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compliance </w:t>
      </w:r>
      <w:r>
        <w:rPr>
          <w:rFonts w:ascii="Times New Roman" w:cs="Times New Roman" w:eastAsia="Times New Roman" w:hAnsi="Times New Roman"/>
          <w:sz w:val="12"/>
          <w:szCs w:val="12"/>
          <w:color w:val="auto"/>
        </w:rPr>
        <w:t>The Charterers shall, and shall procure each Obligor to:</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 and</w:t>
      </w:r>
    </w:p>
    <w:p>
      <w:pPr>
        <w:spacing w:after="0" w:line="150"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 applicable to it where failure to do so has a Material Adverse Effect.</w:t>
      </w:r>
    </w:p>
    <w:p>
      <w:pPr>
        <w:spacing w:after="0" w:line="146" w:lineRule="exact"/>
        <w:rPr>
          <w:rFonts w:ascii="Times New Roman" w:cs="Times New Roman" w:eastAsia="Times New Roman" w:hAnsi="Times New Roman"/>
          <w:sz w:val="12"/>
          <w:szCs w:val="12"/>
          <w:color w:val="auto"/>
        </w:rPr>
      </w:pPr>
    </w:p>
    <w:p>
      <w:pPr>
        <w:ind w:left="445" w:hanging="436"/>
        <w:spacing w:after="0" w:line="286" w:lineRule="auto"/>
        <w:tabs>
          <w:tab w:leader="none" w:pos="445" w:val="left"/>
        </w:tabs>
        <w:numPr>
          <w:ilvl w:val="1"/>
          <w:numId w:val="5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Environmental Claims </w:t>
      </w:r>
      <w:r>
        <w:rPr>
          <w:rFonts w:ascii="Times New Roman" w:cs="Times New Roman" w:eastAsia="Times New Roman" w:hAnsi="Times New Roman"/>
          <w:sz w:val="12"/>
          <w:szCs w:val="12"/>
          <w:color w:val="auto"/>
        </w:rPr>
        <w:t>The Charterers shall, promptly inform the Owners in writing of any Environmental Claim against any Obligor which is current or pending which, if adversely determined against, such Obligor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shall have a Material Adverse Effect or, the claim amount of which exceeds US$1,500,000 (Dollars One Million Five Hundred Thousand only).</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1"/>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Compliance with laws etc.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5" w:hanging="424"/>
        <w:spacing w:after="0"/>
        <w:tabs>
          <w:tab w:leader="none" w:pos="865" w:val="left"/>
        </w:tabs>
        <w:numPr>
          <w:ilvl w:val="2"/>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shall procure that each other Obligor will:</w:t>
      </w:r>
    </w:p>
    <w:p>
      <w:pPr>
        <w:spacing w:after="0" w:line="150" w:lineRule="exact"/>
        <w:rPr>
          <w:rFonts w:ascii="Times New Roman" w:cs="Times New Roman" w:eastAsia="Times New Roman" w:hAnsi="Times New Roman"/>
          <w:sz w:val="12"/>
          <w:szCs w:val="12"/>
          <w:color w:val="auto"/>
        </w:rPr>
      </w:pPr>
    </w:p>
    <w:p>
      <w:pPr>
        <w:ind w:left="1305" w:hanging="432"/>
        <w:spacing w:after="0"/>
        <w:tabs>
          <w:tab w:leader="none" w:pos="1305" w:val="left"/>
        </w:tabs>
        <w:numPr>
          <w:ilvl w:val="3"/>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applicable laws, including Anti-Money Laundering Laws, Anti-Terrorism Financing Laws and Business Ethics Laws;</w:t>
      </w:r>
    </w:p>
    <w:p>
      <w:pPr>
        <w:spacing w:after="0" w:line="150" w:lineRule="exact"/>
        <w:rPr>
          <w:rFonts w:ascii="Times New Roman" w:cs="Times New Roman" w:eastAsia="Times New Roman" w:hAnsi="Times New Roman"/>
          <w:sz w:val="12"/>
          <w:szCs w:val="12"/>
          <w:color w:val="auto"/>
        </w:rPr>
      </w:pPr>
    </w:p>
    <w:p>
      <w:pPr>
        <w:ind w:left="1305" w:hanging="432"/>
        <w:spacing w:after="0" w:line="279" w:lineRule="auto"/>
        <w:tabs>
          <w:tab w:leader="none" w:pos="1305" w:val="left"/>
        </w:tabs>
        <w:numPr>
          <w:ilvl w:val="3"/>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systems, controls, policies or procedures designed to promote and achieve ongoing compliance with Anti-Money Laundering Laws, Anti-Terrorism Financing Laws and Business Ethics Laws; and</w:t>
      </w:r>
    </w:p>
    <w:p>
      <w:pPr>
        <w:spacing w:after="0" w:line="111" w:lineRule="exact"/>
        <w:rPr>
          <w:rFonts w:ascii="Times New Roman" w:cs="Times New Roman" w:eastAsia="Times New Roman" w:hAnsi="Times New Roman"/>
          <w:sz w:val="12"/>
          <w:szCs w:val="12"/>
          <w:color w:val="auto"/>
        </w:rPr>
      </w:pPr>
    </w:p>
    <w:p>
      <w:pPr>
        <w:ind w:left="865" w:hanging="424"/>
        <w:spacing w:after="0" w:line="279" w:lineRule="auto"/>
        <w:tabs>
          <w:tab w:leader="none" w:pos="865" w:val="left"/>
        </w:tabs>
        <w:numPr>
          <w:ilvl w:val="2"/>
          <w:numId w:val="5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use, or permit or authorize any person to directly use, the MOA Purchase Price for any purpose that would breach any Sanctions, Anti-Money Laundering Laws, Anti-Terrorism Financing Laws or Business Ethics Laws; and</w:t>
      </w:r>
    </w:p>
    <w:p>
      <w:pPr>
        <w:spacing w:after="0" w:line="111" w:lineRule="exact"/>
        <w:rPr>
          <w:sz w:val="20"/>
          <w:szCs w:val="20"/>
          <w:color w:val="auto"/>
        </w:rPr>
      </w:pPr>
    </w:p>
    <w:p>
      <w:pPr>
        <w:jc w:val="center"/>
        <w:ind w:right="415"/>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205" w:right="299" w:bottom="1440" w:gutter="0" w:footer="0" w:header="0"/>
        </w:sectPr>
      </w:pPr>
    </w:p>
    <w:bookmarkStart w:id="354" w:name="page355"/>
    <w:bookmarkEnd w:id="354"/>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860" w:hanging="424"/>
        <w:spacing w:after="0" w:line="258" w:lineRule="auto"/>
        <w:tabs>
          <w:tab w:leader="none" w:pos="860" w:val="left"/>
        </w:tabs>
        <w:numPr>
          <w:ilvl w:val="1"/>
          <w:numId w:val="5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lend, invest, contribute or otherwise make available the MOA Purchase Price to or for any other person in a manner which would result in a violation of any Sanctions, Anti-Money Laundering Laws, Anti-Terrorism Financing Laws or Business Ethics Laws.</w:t>
      </w:r>
    </w:p>
    <w:p>
      <w:pPr>
        <w:spacing w:after="0" w:line="119"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Sanctions </w:t>
      </w:r>
      <w:r>
        <w:rPr>
          <w:rFonts w:ascii="Times New Roman" w:cs="Times New Roman" w:eastAsia="Times New Roman" w:hAnsi="Times New Roman"/>
          <w:sz w:val="12"/>
          <w:szCs w:val="12"/>
          <w:color w:val="auto"/>
        </w:rPr>
        <w:t>The Charterers shall comply and shall procure that each other Obligor comply with all laws and regulations in respect of Sanctions, and in particular, they shall effect and maintain a sanctions compliance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policy or procedure to ensure compliance with all such laws and regulations implemented from time to time</w:t>
      </w:r>
      <w:r>
        <w:rPr>
          <w:rFonts w:ascii="Times New Roman" w:cs="Times New Roman" w:eastAsia="Times New Roman" w:hAnsi="Times New Roman"/>
          <w:sz w:val="12"/>
          <w:szCs w:val="12"/>
          <w:b w:val="1"/>
          <w:bCs w:val="1"/>
          <w:i w:val="1"/>
          <w:iCs w:val="1"/>
          <w:color w:val="auto"/>
        </w:rPr>
        <w:t>.</w:t>
      </w:r>
    </w:p>
    <w:p>
      <w:pPr>
        <w:spacing w:after="0" w:line="107" w:lineRule="exact"/>
        <w:rPr>
          <w:rFonts w:ascii="Times New Roman" w:cs="Times New Roman" w:eastAsia="Times New Roman" w:hAnsi="Times New Roman"/>
          <w:sz w:val="12"/>
          <w:szCs w:val="12"/>
          <w:color w:val="auto"/>
        </w:rPr>
      </w:pPr>
    </w:p>
    <w:p>
      <w:pPr>
        <w:ind w:left="44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preceding, the Charterers shall comply or procure compliance with the following undertakings commencing from the date hereof and up to the last day of the Agreement Term that:</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5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comply, and will procure that each other Obligor, each other member of the Charter Group and their respective directors, officers, materially comply with all laws and regulations in respect of Sanctions and is not a Restricted Person and does not act directly or indirectly on behalf of a Restricted Person, and in particular, they shall effect and maintain a sanctions compliance policy or procedure to ensure compliance with all such laws and regulations implemented from time to time;</w:t>
      </w:r>
    </w:p>
    <w:p>
      <w:pPr>
        <w:spacing w:after="0" w:line="119" w:lineRule="exact"/>
        <w:rPr>
          <w:sz w:val="20"/>
          <w:szCs w:val="20"/>
          <w:color w:val="auto"/>
        </w:rPr>
      </w:pPr>
    </w:p>
    <w:p>
      <w:pPr>
        <w:jc w:val="both"/>
        <w:ind w:left="860" w:right="20" w:hanging="424"/>
        <w:spacing w:after="0" w:line="300" w:lineRule="auto"/>
        <w:tabs>
          <w:tab w:leader="none" w:pos="860" w:val="left"/>
        </w:tabs>
        <w:numPr>
          <w:ilvl w:val="0"/>
          <w:numId w:val="50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Vessel shall not be employed, operated or managed in any manner which (x) is contrary to any Sanctions and in particular, the Vessel shall not be used by or to benefit any party which is a target of Sanctions and/or is a Restricted Person or call any port in North Korea, Iran, Syria, Cuba or Crimea or trade to any area or country where trading the Vessel to such area or country would constitute a breach of any Sanctions, (y) would result in any Obligor or the Owners becoming a Restricted Person or (z) would trigger the operation of any sanctions limitation or exclusion clause in any insurance documentation;</w:t>
      </w:r>
    </w:p>
    <w:p>
      <w:pPr>
        <w:spacing w:after="0" w:line="101" w:lineRule="exact"/>
        <w:rPr>
          <w:rFonts w:ascii="Times New Roman" w:cs="Times New Roman" w:eastAsia="Times New Roman" w:hAnsi="Times New Roman"/>
          <w:sz w:val="11"/>
          <w:szCs w:val="11"/>
          <w:color w:val="auto"/>
        </w:rPr>
      </w:pPr>
    </w:p>
    <w:p>
      <w:pPr>
        <w:jc w:val="both"/>
        <w:ind w:left="860" w:hanging="424"/>
        <w:spacing w:after="0" w:line="260" w:lineRule="auto"/>
        <w:tabs>
          <w:tab w:leader="none" w:pos="860"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shall, and shall procure that each other Obligor shall promptly notify the Owners of any non-compliance, by any Obligor or their respective officers, directors, with all laws and regulations relating to Sanctions, Anti-Money Laundering Laws, Anti-Terrorism Financing Laws and/or Business Ethics Laws (including but not limited to notifying the Owners in writing immediately upon being aware that any Obligor or its directors or officers is a Restricted Person or has otherwise become a target of Sanctions) as well as, in the case of an Obligor, provide upon request all information (once available) in relation to its business and operations which may be relevant for the purposes of ascertaining whether any of the aforesaid parties are in compliance with such laws;</w:t>
      </w:r>
    </w:p>
    <w:p>
      <w:pPr>
        <w:spacing w:after="0" w:line="122" w:lineRule="exact"/>
        <w:rPr>
          <w:rFonts w:ascii="Times New Roman" w:cs="Times New Roman" w:eastAsia="Times New Roman" w:hAnsi="Times New Roman"/>
          <w:sz w:val="12"/>
          <w:szCs w:val="12"/>
          <w:color w:val="auto"/>
        </w:rPr>
      </w:pPr>
    </w:p>
    <w:p>
      <w:pPr>
        <w:jc w:val="both"/>
        <w:ind w:left="860" w:hanging="424"/>
        <w:spacing w:after="0" w:line="260" w:lineRule="auto"/>
        <w:tabs>
          <w:tab w:leader="none" w:pos="860"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and will use best endeavours to procure that each other Obligor will provide all information in relation to its business and operations which may be relevant for the purposes of ascertaining whether it is in compliance with all laws and regulations and Sanctions, Anti-Money Laundering Laws, Anti-Terrorism Financing Laws or Business Ethics Laws applicable to and/or binding on it, and in particular, the Charterers shall notify the Owners in writing immediately upon being aware that any of the Charterers' shareholders, directors and officers is a Restricted Person or has otherwise become a target of any Sanctions;</w:t>
      </w:r>
    </w:p>
    <w:p>
      <w:pPr>
        <w:spacing w:after="0" w:line="12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undertake to procure that no Obligor shall use any revenue or benefit derived from any activity or dealing with a Restricted Person in discharging any obligation due or owing to the Owners;</w:t>
      </w:r>
    </w:p>
    <w:p>
      <w:pPr>
        <w:spacing w:after="0" w:line="150" w:lineRule="exact"/>
        <w:rPr>
          <w:rFonts w:ascii="Times New Roman" w:cs="Times New Roman" w:eastAsia="Times New Roman" w:hAnsi="Times New Roman"/>
          <w:sz w:val="12"/>
          <w:szCs w:val="12"/>
          <w:color w:val="auto"/>
        </w:rPr>
      </w:pPr>
    </w:p>
    <w:p>
      <w:pPr>
        <w:jc w:val="both"/>
        <w:ind w:left="860" w:right="20" w:hanging="424"/>
        <w:spacing w:after="0" w:line="265" w:lineRule="auto"/>
        <w:tabs>
          <w:tab w:leader="none" w:pos="860" w:val="left"/>
        </w:tabs>
        <w:numPr>
          <w:ilvl w:val="0"/>
          <w:numId w:val="5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will not, and will not permit or authorise any other person to, utilise or employ the Vessel or to use, lend, make payments of, contribute or otherwise make available, all or any part of the proceeds of any transactions contemplated by the Transaction Documents to fund any trade, business or other activities (x) involving or for the benefit of any Restricted Party or (y) in any manner that would result in the Obligor or, the Owners being in breach of ant Sanctions or becoming a Restricted Person; and</w:t>
      </w:r>
    </w:p>
    <w:p>
      <w:pPr>
        <w:spacing w:after="0" w:line="11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55" w:name="page356"/>
    <w:bookmarkEnd w:id="35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0" w:hanging="424"/>
        <w:spacing w:after="0" w:line="279" w:lineRule="auto"/>
        <w:tabs>
          <w:tab w:leader="none" w:pos="860" w:val="left"/>
        </w:tabs>
        <w:numPr>
          <w:ilvl w:val="1"/>
          <w:numId w:val="5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procure that each Obligor shall, promptly upon becoming aware of them supply to the Owners details of any claim action, suit or proceedings against it with respect to Sanctions by any Sanctions Authority.</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Loans or other financial commitments </w:t>
      </w:r>
      <w:r>
        <w:rPr>
          <w:rFonts w:ascii="Times New Roman" w:cs="Times New Roman" w:eastAsia="Times New Roman" w:hAnsi="Times New Roman"/>
          <w:sz w:val="12"/>
          <w:szCs w:val="12"/>
          <w:color w:val="auto"/>
        </w:rPr>
        <w:t>Other than as necessarily required in the ordinary course of business, trading and operation of the Vessel, the Charterers shall not make any loan or enter in any guarantee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indemnity or otherwise voluntarily assume any actual or contingent liability in respect of any obligation of any other person except pursuant to the Transaction Documents and the Related Transaction Documents.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Earnings and Earnings Account</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which is continuing when directed by the Owners to do so, the Charterers shall procure that each of the Sub-Charterers shall, on each Hire Payment Date, credit all payments of "Hire" (as such term is described in each Sub-Charter) and all other amounts payable thereunder directly to the Owners' Account;</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throughout the Agreement Term, the Charterers shall:</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2"/>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receipt supply to the Owners monthly bank statements of the Earnings Account and shall promptly supply such other financial information and explanations as the Owners may from time to time reasonably require in connection with the Charterers; and</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any and all of the Earnings are deposited into the Earnings Account.</w:t>
      </w:r>
    </w:p>
    <w:p>
      <w:pPr>
        <w:spacing w:after="0" w:line="146"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Further assurance </w:t>
      </w:r>
      <w:r>
        <w:rPr>
          <w:rFonts w:ascii="Times New Roman" w:cs="Times New Roman" w:eastAsia="Times New Roman" w:hAnsi="Times New Roman"/>
          <w:sz w:val="12"/>
          <w:szCs w:val="12"/>
          <w:color w:val="auto"/>
        </w:rPr>
        <w:t>The Charterers shall at their own expense,</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take all such action as the Owners may reasonably require for the purpose of perfecting or protecting any of the Owners' rights with respect to the Security Interest created or evidenced by the Transaction Documents; and</w:t>
      </w:r>
    </w:p>
    <w:p>
      <w:pPr>
        <w:spacing w:after="0" w:line="111"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and perform such other and further acts and execute and deliver any and all such other agreements, instruments and documents as may be required by law to establish, maintain and protect the rights and remedies of the Owners and/or the Finance Parties (as the case may be) and to carry out and effect the intent and purpose of this Charter, the other Transaction Documents and, to the extent consistent with the terms of this Charter, the Finance Documents (as applicable).</w:t>
      </w:r>
    </w:p>
    <w:p>
      <w:pPr>
        <w:spacing w:after="0" w:line="114"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Change of business </w:t>
      </w:r>
      <w:r>
        <w:rPr>
          <w:rFonts w:ascii="Times New Roman" w:cs="Times New Roman" w:eastAsia="Times New Roman" w:hAnsi="Times New Roman"/>
          <w:sz w:val="12"/>
          <w:szCs w:val="12"/>
          <w:color w:val="auto"/>
        </w:rPr>
        <w:t>The Charterers shall not and will procure no Obligor will, without the prior written consent of the Owners, make any substantial change to the general nature of their respective businesses form that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carried on at the date of this Charter.</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Certificate of financial responsibility </w:t>
      </w:r>
      <w:r>
        <w:rPr>
          <w:rFonts w:ascii="Times New Roman" w:cs="Times New Roman" w:eastAsia="Times New Roman" w:hAnsi="Times New Roman"/>
          <w:sz w:val="12"/>
          <w:szCs w:val="12"/>
          <w:color w:val="auto"/>
        </w:rPr>
        <w:t>The Charterers shall, if required, obtain and maintain a certificate of financial responsibility in relation to the Vessel which is to call at the United States of America.</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5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Charterers shall not change or permit a change to the flag of the Vessel throughout the duration of this Charter without the prior written consent of the Owners or the Finance Parties (if applicable)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(such consent not to be unreasonably withheld or delayed). Any change to the flag of the Vessel shall be at the cost of the Charterers (which shall include any reasonable costs of the Finance Parties (if applicable)).</w:t>
      </w:r>
    </w:p>
    <w:p>
      <w:pPr>
        <w:spacing w:after="0" w:line="10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56" w:name="page357"/>
    <w:bookmarkEnd w:id="356"/>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jc w:val="both"/>
        <w:ind w:left="440" w:hanging="436"/>
        <w:spacing w:after="0" w:line="268" w:lineRule="auto"/>
        <w:tabs>
          <w:tab w:leader="none" w:pos="440"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and ISPS Compliance </w:t>
      </w:r>
      <w:r>
        <w:rPr>
          <w:rFonts w:ascii="Times New Roman" w:cs="Times New Roman" w:eastAsia="Times New Roman" w:hAnsi="Times New Roman"/>
          <w:sz w:val="12"/>
          <w:szCs w:val="12"/>
          <w:color w:val="auto"/>
        </w:rPr>
        <w:t>The Charterers shall ensure that each ISM Company and ISPS Company complies in all material respects with the ISM Code and the ISPS Code, respectively, or any replacements thereof</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in particular (without prejudice to the generality of the foregoing) shall ensure that such company holds (i) a valid and current Document of Compliance issued pursuant to the ISM Code, (ii) a valid and current SMC issued in respect of the Vessel pursuant to the ISM Code, and (iii) an ISSC in respect of the Vessel, and the Charterers shall promptly, upon request, supply the Owners with copies of the same.</w:t>
      </w:r>
    </w:p>
    <w:p>
      <w:pPr>
        <w:spacing w:after="0" w:line="11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Inspection of Vessel and inspection reports </w:t>
      </w:r>
      <w:r>
        <w:rPr>
          <w:rFonts w:ascii="Times New Roman" w:cs="Times New Roman" w:eastAsia="Times New Roman" w:hAnsi="Times New Roman"/>
          <w:sz w:val="12"/>
          <w:szCs w:val="12"/>
          <w:color w:val="auto"/>
        </w:rPr>
        <w:t>In the absence of a Termination Event which is continuing, subject to there being no undue interference with the operation of the Vessel,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be entitled to, once a year, (at the Charterers' cost) inspect or survey the Vessel or instruct a duly authorised surveyor to carry out such survey on their behalf (in each case at the Charterers' cost) in order to ascertain the condition of the Vessel and the Charterers shall provide all necessary assistance and facilities in connection with such inspection or survey; and,</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further, if so requested in writing by the Owners and at the Charterers' cost, provide to the Owners one inspection report each year as to the condition of the Vessel,</w:t>
      </w:r>
    </w:p>
    <w:p>
      <w:pPr>
        <w:spacing w:after="0" w:line="146"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always however </w:t>
      </w:r>
      <w:r>
        <w:rPr>
          <w:rFonts w:ascii="Times New Roman" w:cs="Times New Roman" w:eastAsia="Times New Roman" w:hAnsi="Times New Roman"/>
          <w:sz w:val="12"/>
          <w:szCs w:val="12"/>
          <w:color w:val="auto"/>
        </w:rPr>
        <w:t>that if a Termination Event has occurred and the same be continuing, the Owners may at any time and at the Charterers' cost conduct such inspection without prior notice to the Charterers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be deemed to have granted such permission and shall provide such necessary assistance to the Owners in respect of such inspection.</w:t>
      </w:r>
    </w:p>
    <w:p>
      <w:pPr>
        <w:spacing w:after="0" w:line="103" w:lineRule="exact"/>
        <w:rPr>
          <w:sz w:val="20"/>
          <w:szCs w:val="20"/>
          <w:color w:val="auto"/>
        </w:rPr>
      </w:pPr>
    </w:p>
    <w:p>
      <w:pPr>
        <w:ind w:left="440" w:hanging="436"/>
        <w:spacing w:after="0"/>
        <w:tabs>
          <w:tab w:leader="none" w:pos="440" w:val="left"/>
        </w:tabs>
        <w:numPr>
          <w:ilvl w:val="0"/>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"Know your customer" checks </w:t>
      </w:r>
      <w:r>
        <w:rPr>
          <w:rFonts w:ascii="Times New Roman" w:cs="Times New Roman" w:eastAsia="Times New Roman" w:hAnsi="Times New Roman"/>
          <w:sz w:val="12"/>
          <w:szCs w:val="12"/>
          <w:color w:val="auto"/>
        </w:rPr>
        <w:t>If:</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applicable of) any law or regulation made after the dates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the Charterers after the date of this 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Owners of any of their rights and obligations under this Charter,</w:t>
      </w:r>
    </w:p>
    <w:p>
      <w:pPr>
        <w:spacing w:after="0" w:line="150" w:lineRule="exact"/>
        <w:rPr>
          <w:sz w:val="20"/>
          <w:szCs w:val="20"/>
          <w:color w:val="auto"/>
        </w:rPr>
      </w:pPr>
    </w:p>
    <w:p>
      <w:pPr>
        <w:jc w:val="both"/>
        <w:ind w:left="440"/>
        <w:spacing w:after="0" w:line="265" w:lineRule="auto"/>
        <w:rPr>
          <w:sz w:val="20"/>
          <w:szCs w:val="20"/>
          <w:color w:val="auto"/>
        </w:rPr>
      </w:pPr>
      <w:r>
        <w:rPr>
          <w:rFonts w:ascii="Times New Roman" w:cs="Times New Roman" w:eastAsia="Times New Roman" w:hAnsi="Times New Roman"/>
          <w:sz w:val="12"/>
          <w:szCs w:val="12"/>
          <w:color w:val="auto"/>
        </w:rPr>
        <w:t>obliges the Owners to comply with "know your customer" or similar identification procedures in circumstances where the necessary information is not already available to it, the Charterers shall promptly upon the request of the Owners supply, or procure the supply of, such documentation and other evidence as is reasonably requested by the Owners to carry out and be satisfied they have complied with all necessary "know your customer" or other similar checks under all applicable laws and regulations pursuant to the transactions contemplated in the Transaction Documents.</w:t>
      </w:r>
    </w:p>
    <w:p>
      <w:pPr>
        <w:spacing w:after="0" w:line="115" w:lineRule="exact"/>
        <w:rPr>
          <w:sz w:val="20"/>
          <w:szCs w:val="20"/>
          <w:color w:val="auto"/>
        </w:rPr>
      </w:pPr>
    </w:p>
    <w:p>
      <w:pPr>
        <w:ind w:left="440" w:hanging="436"/>
        <w:spacing w:after="0"/>
        <w:tabs>
          <w:tab w:leader="none" w:pos="440" w:val="left"/>
        </w:tabs>
        <w:numPr>
          <w:ilvl w:val="0"/>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Dividends and share redemption</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make or pay (nor is the Charter Guarantor entitled to receive) any dividend or other distribution (in cash or in kind) following the occurrence of any Termination Event and while it is continuing;</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effect any form of redemption or return in respect of its limited liability company interests; and</w:t>
      </w:r>
    </w:p>
    <w:p>
      <w:pPr>
        <w:spacing w:after="0" w:line="15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57" w:name="page358"/>
    <w:bookmarkEnd w:id="35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0" w:hanging="424"/>
        <w:spacing w:after="0" w:line="279" w:lineRule="auto"/>
        <w:tabs>
          <w:tab w:leader="none" w:pos="860" w:val="left"/>
        </w:tabs>
        <w:numPr>
          <w:ilvl w:val="1"/>
          <w:numId w:val="5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the Owners shall approve otherwise in writing, the Charterers shall not admit any new member or members or issue any further shares (certificated or uncertificated) unless issued to the Charter Guarantor and being charged in favour the Security Trustee and will procure that the Charter Guarantor will not consent to the admission of any new member of the Charterers.</w:t>
      </w:r>
    </w:p>
    <w:p>
      <w:pPr>
        <w:spacing w:after="0" w:line="107"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Claims pari passu </w:t>
      </w:r>
      <w:r>
        <w:rPr>
          <w:rFonts w:ascii="Times New Roman" w:cs="Times New Roman" w:eastAsia="Times New Roman" w:hAnsi="Times New Roman"/>
          <w:sz w:val="12"/>
          <w:szCs w:val="12"/>
          <w:color w:val="auto"/>
        </w:rPr>
        <w:t>The Charterers shall ensure that at all times any unsecured and unsubordinated claims of the Owners against it under the Transaction Documents rank at least pari passu with the claims of all its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other unsecured and unsubordinated creditors except those creditors whose claims are preferred by laws of general application to companies.</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Merger and demerger </w:t>
      </w:r>
      <w:r>
        <w:rPr>
          <w:rFonts w:ascii="Times New Roman" w:cs="Times New Roman" w:eastAsia="Times New Roman" w:hAnsi="Times New Roman"/>
          <w:sz w:val="12"/>
          <w:szCs w:val="12"/>
          <w:color w:val="auto"/>
        </w:rPr>
        <w:t>The Charterers shall not enter into any amalgamation, merger, demerger or corporate restructuring without the prior written consent of the Owners, which shall not be unreasonably withheld.</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Subordination </w:t>
      </w:r>
      <w:r>
        <w:rPr>
          <w:rFonts w:ascii="Times New Roman" w:cs="Times New Roman" w:eastAsia="Times New Roman" w:hAnsi="Times New Roman"/>
          <w:sz w:val="12"/>
          <w:szCs w:val="12"/>
          <w:color w:val="auto"/>
        </w:rPr>
        <w:t>The Charterers acknowledge to and undertake with the Owners that, throughout the Agreement Term, any Financial Indebtedness incurred by the Charterers including all shareholder's and intercompany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loans from time to time granted by the shareholders of the Charterers, any Obligor or any other member of the Charterer Group:</w:t>
      </w:r>
    </w:p>
    <w:p>
      <w:pPr>
        <w:spacing w:after="0" w:line="107"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at all times be subordinated to the Owners' rights under the Transaction Documents;</w:t>
      </w:r>
    </w:p>
    <w:p>
      <w:pPr>
        <w:spacing w:after="0" w:line="150" w:lineRule="exact"/>
        <w:rPr>
          <w:sz w:val="20"/>
          <w:szCs w:val="20"/>
          <w:color w:val="auto"/>
        </w:rPr>
      </w:pPr>
    </w:p>
    <w:p>
      <w:pPr>
        <w:ind w:left="860" w:hanging="424"/>
        <w:spacing w:after="0"/>
        <w:tabs>
          <w:tab w:leader="none" w:pos="860"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be subordinated in all respects to all amounts owing and which may in future become owing by the Charterers under the Transaction Documents;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Termination Event and while the same is continuing, shall not be repaid or be subject to payment of interest (although interest may accrue);and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5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are and shall remain unsecured by any Security Interest over the whole or any part of the assets of the Charterers,</w:t>
      </w:r>
    </w:p>
    <w:p>
      <w:pPr>
        <w:spacing w:after="0" w:line="150" w:lineRule="exact"/>
        <w:rPr>
          <w:sz w:val="20"/>
          <w:szCs w:val="20"/>
          <w:color w:val="auto"/>
        </w:rPr>
      </w:pPr>
    </w:p>
    <w:p>
      <w:pPr>
        <w:ind w:left="440"/>
        <w:spacing w:after="0" w:line="279" w:lineRule="auto"/>
        <w:rPr>
          <w:sz w:val="20"/>
          <w:szCs w:val="20"/>
          <w:color w:val="auto"/>
        </w:rPr>
      </w:pPr>
      <w:r>
        <w:rPr>
          <w:rFonts w:ascii="Times New Roman" w:cs="Times New Roman" w:eastAsia="Times New Roman" w:hAnsi="Times New Roman"/>
          <w:sz w:val="12"/>
          <w:szCs w:val="12"/>
          <w:color w:val="auto"/>
        </w:rPr>
        <w:t>and the Charterers shall and shall procure that the Obligors and the relevant Affiliate to the Charterers and/or the Charter Guarantor shall upon the Owners' request, enter into a subordination agreement in favour of the Owners or such other arrangement acceptable to the Owners and such other counterparty.</w:t>
      </w:r>
    </w:p>
    <w:p>
      <w:pPr>
        <w:spacing w:after="0" w:line="107" w:lineRule="exact"/>
        <w:rPr>
          <w:sz w:val="20"/>
          <w:szCs w:val="20"/>
          <w:color w:val="auto"/>
        </w:rPr>
      </w:pPr>
    </w:p>
    <w:p>
      <w:pPr>
        <w:ind w:left="440" w:right="20" w:hanging="436"/>
        <w:spacing w:after="0" w:line="286" w:lineRule="auto"/>
        <w:tabs>
          <w:tab w:leader="none" w:pos="440" w:val="left"/>
        </w:tabs>
        <w:numPr>
          <w:ilvl w:val="0"/>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Management Agreement </w:t>
      </w:r>
      <w:r>
        <w:rPr>
          <w:rFonts w:ascii="Times New Roman" w:cs="Times New Roman" w:eastAsia="Times New Roman" w:hAnsi="Times New Roman"/>
          <w:sz w:val="12"/>
          <w:szCs w:val="12"/>
          <w:color w:val="auto"/>
        </w:rPr>
        <w:t>The Charterers shall not and shall procure neither of the Approved Managers to materially amend, vary, novate, supplement, supersede, waive or terminate any term of any Ship Management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Agreement without the prior written consent of the Owners.</w:t>
      </w:r>
    </w:p>
    <w:p>
      <w:pPr>
        <w:spacing w:after="0" w:line="103" w:lineRule="exact"/>
        <w:rPr>
          <w:rFonts w:ascii="Times New Roman" w:cs="Times New Roman" w:eastAsia="Times New Roman" w:hAnsi="Times New Roman"/>
          <w:sz w:val="12"/>
          <w:szCs w:val="12"/>
          <w:color w:val="auto"/>
        </w:rPr>
      </w:pPr>
    </w:p>
    <w:p>
      <w:pPr>
        <w:ind w:left="420" w:hanging="416"/>
        <w:spacing w:after="0"/>
        <w:tabs>
          <w:tab w:leader="none" w:pos="420" w:val="left"/>
        </w:tabs>
        <w:numPr>
          <w:ilvl w:val="0"/>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Greenhouse gas emissions </w:t>
      </w:r>
      <w:r>
        <w:rPr>
          <w:rFonts w:ascii="Times New Roman" w:cs="Times New Roman" w:eastAsia="Times New Roman" w:hAnsi="Times New Roman"/>
          <w:sz w:val="12"/>
          <w:szCs w:val="12"/>
          <w:color w:val="auto"/>
        </w:rPr>
        <w:t>The Charterers shall:</w:t>
      </w:r>
    </w:p>
    <w:p>
      <w:pPr>
        <w:spacing w:after="0" w:line="154"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request of the Owners, provide a duly executed and, if required by the Owners, notarised and apostilled original of the EU ETS Mandate Letter and take such action as the Owners may require for such EU ETS Mandate Letter to be submitted to and recorded by the relevant authorities;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that is reasonably required of them to comply with the EU-ETS Regulations;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requested by Owners, promptly provide to the Owners particulars of all and any outstanding charges due or collectable by the relevant entities charged with administering compliance with the EU-ETS Regulations applicable to it or in respect of the Vessel.</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58" w:name="page359"/>
    <w:bookmarkEnd w:id="35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jc w:val="both"/>
        <w:ind w:left="440"/>
        <w:spacing w:after="0" w:line="260" w:lineRule="auto"/>
        <w:rPr>
          <w:sz w:val="20"/>
          <w:szCs w:val="20"/>
          <w:color w:val="auto"/>
        </w:rPr>
      </w:pPr>
      <w:r>
        <w:rPr>
          <w:rFonts w:ascii="Times New Roman" w:cs="Times New Roman" w:eastAsia="Times New Roman" w:hAnsi="Times New Roman"/>
          <w:sz w:val="12"/>
          <w:szCs w:val="12"/>
          <w:color w:val="auto"/>
        </w:rPr>
        <w:t>The Charterers will pay or cause to be paid all amounts reasonably required to be paid by it or the Owners in respect of the Vessel arising out of or in connection with the EU-ETS Regulations, and the Charterers will promptly, and in any event within fifteen (15) Business Days of demand, indemnify the Owners for any and all amounts required to be paid by the Owners in connection with any EU-ETS Regulations in respect of the Vessel, together with (i) all losses, costs and expenses suffered or incurred by the Owners in connection with compliance by them with any EU-ETS Regulations in respect of the Vessel, and (ii) any penalties, charges or other amounts levied against the Owners due to any breach by the Charterers of its obligations under this Clause 48(y).</w:t>
      </w:r>
    </w:p>
    <w:p>
      <w:pPr>
        <w:spacing w:after="0" w:line="118" w:lineRule="exact"/>
        <w:rPr>
          <w:sz w:val="20"/>
          <w:szCs w:val="20"/>
          <w:color w:val="auto"/>
        </w:rPr>
      </w:pPr>
    </w:p>
    <w:p>
      <w:pPr>
        <w:ind w:left="440" w:hanging="436"/>
        <w:spacing w:after="0"/>
        <w:tabs>
          <w:tab w:leader="none" w:pos="440" w:val="left"/>
        </w:tabs>
        <w:numPr>
          <w:ilvl w:val="0"/>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negative undertakings </w:t>
      </w:r>
      <w:r>
        <w:rPr>
          <w:rFonts w:ascii="Times New Roman" w:cs="Times New Roman" w:eastAsia="Times New Roman" w:hAnsi="Times New Roman"/>
          <w:sz w:val="12"/>
          <w:szCs w:val="12"/>
          <w:color w:val="auto"/>
        </w:rPr>
        <w:t>The Charterers shall not, without the prior written consent of the Owners,</w:t>
      </w:r>
    </w:p>
    <w:p>
      <w:pPr>
        <w:spacing w:after="0" w:line="15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transactions other than on arms’ length commercial terms; or</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 single transaction or a series of transactions (whether related or not) and whether voluntary or involuntary to sell, lease, transfer or otherwise dispose of any of its assets (save and except as provided under the terms of this Charter and other Transaction Documents); 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any business or activity other than the chartering and operation of vessels and other ancillary activities; or</w:t>
      </w:r>
    </w:p>
    <w:p>
      <w:pPr>
        <w:spacing w:after="0" w:line="150" w:lineRule="exact"/>
        <w:rPr>
          <w:sz w:val="20"/>
          <w:szCs w:val="20"/>
          <w:color w:val="auto"/>
        </w:rPr>
      </w:pPr>
    </w:p>
    <w:p>
      <w:pPr>
        <w:ind w:left="860" w:hanging="424"/>
        <w:spacing w:after="0"/>
        <w:tabs>
          <w:tab w:leader="none" w:pos="860" w:val="left"/>
        </w:tabs>
        <w:numPr>
          <w:ilvl w:val="2"/>
          <w:numId w:val="5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or its receivables on recourse terms or enter into or permit to subsist any other preferential arrangement having a similar effect.</w:t>
      </w:r>
    </w:p>
    <w:p>
      <w:pPr>
        <w:spacing w:after="0" w:line="146"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Valuation Reports </w:t>
      </w:r>
      <w:r>
        <w:rPr>
          <w:rFonts w:ascii="Times New Roman" w:cs="Times New Roman" w:eastAsia="Times New Roman" w:hAnsi="Times New Roman"/>
          <w:sz w:val="12"/>
          <w:szCs w:val="12"/>
          <w:color w:val="auto"/>
        </w:rPr>
        <w:t>The Charterers will, on or before each Test Date, deliver or procure the delivery to the Owners of the Valuation Reports (as required under Clause 48(bb) (</w:t>
      </w:r>
      <w:r>
        <w:rPr>
          <w:rFonts w:ascii="Times New Roman" w:cs="Times New Roman" w:eastAsia="Times New Roman" w:hAnsi="Times New Roman"/>
          <w:sz w:val="12"/>
          <w:szCs w:val="12"/>
          <w:i w:val="1"/>
          <w:iCs w:val="1"/>
          <w:color w:val="auto"/>
        </w:rPr>
        <w:t>Value maintenance</w:t>
      </w:r>
      <w:r>
        <w:rPr>
          <w:rFonts w:ascii="Times New Roman" w:cs="Times New Roman" w:eastAsia="Times New Roman" w:hAnsi="Times New Roman"/>
          <w:sz w:val="12"/>
          <w:szCs w:val="12"/>
          <w:color w:val="auto"/>
        </w:rPr>
        <w:t>) to determine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Market Value) dated note earlier than ten (10) days before the Test Date.</w:t>
      </w:r>
    </w:p>
    <w:p>
      <w:pPr>
        <w:spacing w:after="0" w:line="103"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Value maintenance</w:t>
      </w:r>
    </w:p>
    <w:p>
      <w:pPr>
        <w:spacing w:after="0" w:line="154" w:lineRule="exact"/>
        <w:rPr>
          <w:rFonts w:ascii="Times New Roman" w:cs="Times New Roman" w:eastAsia="Times New Roman" w:hAnsi="Times New Roman"/>
          <w:sz w:val="12"/>
          <w:szCs w:val="12"/>
          <w:color w:val="auto"/>
        </w:rPr>
      </w:pPr>
    </w:p>
    <w:p>
      <w:pPr>
        <w:jc w:val="both"/>
        <w:ind w:left="840" w:hanging="431"/>
        <w:spacing w:after="0" w:line="257" w:lineRule="auto"/>
        <w:tabs>
          <w:tab w:leader="none" w:pos="840" w:val="left"/>
        </w:tabs>
        <w:numPr>
          <w:ilvl w:val="1"/>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In order to determine the Market Value on a Test Date for the purposes of testing the Value Maintenance Ratio, the Market Value shall be determined by the Owners to be (x) the mathematic average of two valuations from the Valuation Reports obtained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or, in the event the difference between the two Valuation Reports obtained is greater than 5%, the arithmetic average of the three Valuation Reports, the third Valuation Report being obtained from a further Approved Valuer selected by the Owners or, (y) if the Charterers fail to deliver or procure the delivery of the Valuation Reports to the Owners in accordance with Clause 48(aa) (</w:t>
      </w:r>
      <w:r>
        <w:rPr>
          <w:rFonts w:ascii="Times New Roman" w:cs="Times New Roman" w:eastAsia="Times New Roman" w:hAnsi="Times New Roman"/>
          <w:sz w:val="12"/>
          <w:szCs w:val="12"/>
          <w:i w:val="1"/>
          <w:iCs w:val="1"/>
          <w:color w:val="auto"/>
        </w:rPr>
        <w:t>Valuation Reports</w:t>
      </w:r>
      <w:r>
        <w:rPr>
          <w:rFonts w:ascii="Times New Roman" w:cs="Times New Roman" w:eastAsia="Times New Roman" w:hAnsi="Times New Roman"/>
          <w:sz w:val="12"/>
          <w:szCs w:val="12"/>
          <w:color w:val="auto"/>
        </w:rPr>
        <w:t>), the valuation from one Valuation Report arranged by the Owners (each such Valuation Report shall be at the costs of the Charterers); and in either case; if the valuation given by an Approved Valuer comes up with a value range, the lowest value within the range shall be taken to determine the Market Value.</w:t>
      </w:r>
    </w:p>
    <w:p>
      <w:pPr>
        <w:spacing w:after="0" w:line="125" w:lineRule="exact"/>
        <w:rPr>
          <w:rFonts w:ascii="Times New Roman" w:cs="Times New Roman" w:eastAsia="Times New Roman" w:hAnsi="Times New Roman"/>
          <w:sz w:val="12"/>
          <w:szCs w:val="12"/>
          <w:color w:val="auto"/>
        </w:rPr>
      </w:pPr>
    </w:p>
    <w:p>
      <w:pPr>
        <w:jc w:val="both"/>
        <w:ind w:left="840" w:hanging="431"/>
        <w:spacing w:after="0" w:line="265" w:lineRule="auto"/>
        <w:tabs>
          <w:tab w:leader="none" w:pos="840" w:val="left"/>
        </w:tabs>
        <w:numPr>
          <w:ilvl w:val="1"/>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after conducting the Value Maintenance Ratio test on the relevant Test Date, the Owners determine that the Value Maintenance Ratio is less than the Value Maintenance Threshold, then the Charterers shall, within thirty (30) days of the Owners' demand, provide cash collateral in the amount of the shortfall (the "</w:t>
      </w:r>
      <w:r>
        <w:rPr>
          <w:rFonts w:ascii="Times New Roman" w:cs="Times New Roman" w:eastAsia="Times New Roman" w:hAnsi="Times New Roman"/>
          <w:sz w:val="12"/>
          <w:szCs w:val="12"/>
          <w:b w:val="1"/>
          <w:bCs w:val="1"/>
          <w:color w:val="auto"/>
        </w:rPr>
        <w:t>Cash Collateral</w:t>
      </w:r>
      <w:r>
        <w:rPr>
          <w:rFonts w:ascii="Times New Roman" w:cs="Times New Roman" w:eastAsia="Times New Roman" w:hAnsi="Times New Roman"/>
          <w:sz w:val="12"/>
          <w:szCs w:val="12"/>
          <w:color w:val="auto"/>
        </w:rPr>
        <w:t>") and deposit the same in the Owners' Account in order to restore the Value Maintenance Ratio to comply with the Value Maintenance Threshold.</w:t>
      </w:r>
    </w:p>
    <w:p>
      <w:pPr>
        <w:spacing w:after="0" w:line="118" w:lineRule="exact"/>
        <w:rPr>
          <w:rFonts w:ascii="Times New Roman" w:cs="Times New Roman" w:eastAsia="Times New Roman" w:hAnsi="Times New Roman"/>
          <w:sz w:val="12"/>
          <w:szCs w:val="12"/>
          <w:color w:val="auto"/>
        </w:rPr>
      </w:pPr>
    </w:p>
    <w:p>
      <w:pPr>
        <w:jc w:val="both"/>
        <w:ind w:left="840" w:hanging="431"/>
        <w:spacing w:after="0" w:line="256" w:lineRule="auto"/>
        <w:tabs>
          <w:tab w:leader="none" w:pos="840" w:val="left"/>
        </w:tabs>
        <w:numPr>
          <w:ilvl w:val="1"/>
          <w:numId w:val="5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Cash Collateral paid to the Owners in accordance with paragraph (ii) above shall secure the due observance and performance by the Obligors of their obligations and undertakings contained in the Transaction Documents. Following the occurrence of a Termination Event which is continuing in respect of any failure in payment of Hire, the Owners shall have the right to utilise the Cash Collateral or a part thereof to pay any outstanding Hire, whereupon the Charterers shall forthwith, and in any event within five (5) Business Days, pay and deposit with the Owners such additional amount as may be required to make up the Cash Collateral. Any remaining Cash Collateral shall only be returned to the Charterers if, (A) on a Test Date after the provision of such Cash Collateral, the Value Maintenance Ratio is no less than the Value Maintenance Threshold and (B) immediately following the return of such Cash Collateral, the Value Maintenance Ratio remains no less than the Value Maintenance Threshold provided that the Charterers may at any time after the expiration of the Agreement Term request for release and return of the remaining Cash Collateral.</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59" w:name="page360"/>
    <w:bookmarkEnd w:id="359"/>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900" w:hanging="431"/>
        <w:spacing w:after="0"/>
        <w:tabs>
          <w:tab w:leader="none" w:pos="900" w:val="left"/>
        </w:tabs>
        <w:numPr>
          <w:ilvl w:val="2"/>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(ii) above, the Charterers shall have the option (instead of providing the Cash Collateral), within (30) days of the Owners’ request:</w:t>
      </w:r>
    </w:p>
    <w:p>
      <w:pPr>
        <w:spacing w:after="0" w:line="150" w:lineRule="exact"/>
        <w:rPr>
          <w:rFonts w:ascii="Times New Roman" w:cs="Times New Roman" w:eastAsia="Times New Roman" w:hAnsi="Times New Roman"/>
          <w:sz w:val="12"/>
          <w:szCs w:val="12"/>
          <w:color w:val="auto"/>
        </w:rPr>
      </w:pPr>
    </w:p>
    <w:p>
      <w:pPr>
        <w:ind w:left="1340" w:right="20" w:hanging="430"/>
        <w:spacing w:after="0" w:line="279" w:lineRule="auto"/>
        <w:tabs>
          <w:tab w:leader="none" w:pos="1340" w:val="left"/>
        </w:tabs>
        <w:numPr>
          <w:ilvl w:val="3"/>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pay such amount to the Owners to prepay the Purchase Obligation Price, or provided the Purchase Obligation Price has been prepaid in full, any undue Fixed Hire in inverse order of maturity, to enable compliance with the Value Maintenance Ratio; or</w:t>
      </w:r>
    </w:p>
    <w:p>
      <w:pPr>
        <w:spacing w:after="0" w:line="111" w:lineRule="exact"/>
        <w:rPr>
          <w:rFonts w:ascii="Times New Roman" w:cs="Times New Roman" w:eastAsia="Times New Roman" w:hAnsi="Times New Roman"/>
          <w:sz w:val="12"/>
          <w:szCs w:val="12"/>
          <w:color w:val="auto"/>
        </w:rPr>
      </w:pPr>
    </w:p>
    <w:p>
      <w:pPr>
        <w:ind w:left="1340" w:hanging="430"/>
        <w:spacing w:after="0"/>
        <w:tabs>
          <w:tab w:leader="none" w:pos="1340" w:val="left"/>
        </w:tabs>
        <w:numPr>
          <w:ilvl w:val="3"/>
          <w:numId w:val="5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additional security satisfactory to the Owners (acting reasonably).</w:t>
      </w:r>
    </w:p>
    <w:p>
      <w:pPr>
        <w:spacing w:after="0" w:line="146" w:lineRule="exact"/>
        <w:rPr>
          <w:rFonts w:ascii="Times New Roman" w:cs="Times New Roman" w:eastAsia="Times New Roman" w:hAnsi="Times New Roman"/>
          <w:sz w:val="12"/>
          <w:szCs w:val="12"/>
          <w:color w:val="auto"/>
        </w:rPr>
      </w:pPr>
    </w:p>
    <w:p>
      <w:pPr>
        <w:ind w:left="420" w:hanging="419"/>
        <w:spacing w:after="0"/>
        <w:tabs>
          <w:tab w:leader="none" w:pos="420" w:val="left"/>
        </w:tabs>
        <w:numPr>
          <w:ilvl w:val="0"/>
          <w:numId w:val="5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Termination Events</w:t>
      </w:r>
    </w:p>
    <w:p>
      <w:pPr>
        <w:spacing w:after="0" w:line="154" w:lineRule="exact"/>
        <w:rPr>
          <w:rFonts w:ascii="Times New Roman" w:cs="Times New Roman" w:eastAsia="Times New Roman" w:hAnsi="Times New Roman"/>
          <w:sz w:val="12"/>
          <w:szCs w:val="12"/>
          <w:b w:val="1"/>
          <w:bCs w:val="1"/>
          <w:color w:val="auto"/>
        </w:rPr>
      </w:pPr>
    </w:p>
    <w:p>
      <w:pPr>
        <w:ind w:left="500" w:hanging="436"/>
        <w:spacing w:after="0"/>
        <w:tabs>
          <w:tab w:leader="none" w:pos="500" w:val="left"/>
        </w:tabs>
        <w:numPr>
          <w:ilvl w:val="1"/>
          <w:numId w:val="5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following events shall constitute a Termination Event:</w:t>
      </w:r>
    </w:p>
    <w:p>
      <w:pPr>
        <w:spacing w:after="0" w:line="146" w:lineRule="exact"/>
        <w:rPr>
          <w:sz w:val="20"/>
          <w:szCs w:val="20"/>
          <w:color w:val="auto"/>
        </w:rPr>
      </w:pPr>
    </w:p>
    <w:p>
      <w:pPr>
        <w:jc w:val="both"/>
        <w:ind w:left="920" w:hanging="424"/>
        <w:spacing w:after="0" w:line="268" w:lineRule="auto"/>
        <w:tabs>
          <w:tab w:leader="none" w:pos="920"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Failure to pay </w:t>
      </w:r>
      <w:r>
        <w:rPr>
          <w:rFonts w:ascii="Times New Roman" w:cs="Times New Roman" w:eastAsia="Times New Roman" w:hAnsi="Times New Roman"/>
          <w:sz w:val="12"/>
          <w:szCs w:val="12"/>
          <w:color w:val="auto"/>
        </w:rPr>
        <w:t>an Obligor fails to pay on the due date any sum payable pursuant to the Transaction Document to which it or he is a party; provided no Termination Event shall occur under Clause 49(a)(i)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relation to a failure to pay any Hire on the relevant due date if such Obligor can demonstrate to the reasonable satisfaction of the Owners that all necessary instructions were given to effect such payment and the non-receipt thereof is attributable solely to an administrative or technical error or an error in the banking system and payment of such Hire is made within three (3) Business Days of its original due date; or</w:t>
      </w:r>
    </w:p>
    <w:p>
      <w:pPr>
        <w:spacing w:after="0" w:line="113" w:lineRule="exact"/>
        <w:rPr>
          <w:rFonts w:ascii="Times New Roman" w:cs="Times New Roman" w:eastAsia="Times New Roman" w:hAnsi="Times New Roman"/>
          <w:sz w:val="12"/>
          <w:szCs w:val="12"/>
          <w:color w:val="auto"/>
        </w:rPr>
      </w:pPr>
    </w:p>
    <w:p>
      <w:pPr>
        <w:ind w:left="920" w:hanging="424"/>
        <w:spacing w:after="0"/>
        <w:tabs>
          <w:tab w:leader="none" w:pos="920"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Specific covenants </w:t>
      </w:r>
      <w:r>
        <w:rPr>
          <w:rFonts w:ascii="Times New Roman" w:cs="Times New Roman" w:eastAsia="Times New Roman" w:hAnsi="Times New Roman"/>
          <w:sz w:val="12"/>
          <w:szCs w:val="12"/>
          <w:color w:val="auto"/>
        </w:rPr>
        <w:t>an Obligor fails comply with Clause 46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jc w:val="both"/>
        <w:ind w:left="920" w:hanging="424"/>
        <w:spacing w:after="0" w:line="268" w:lineRule="auto"/>
        <w:tabs>
          <w:tab w:leader="none" w:pos="920"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Other obligations </w:t>
      </w:r>
      <w:r>
        <w:rPr>
          <w:rFonts w:ascii="Times New Roman" w:cs="Times New Roman" w:eastAsia="Times New Roman" w:hAnsi="Times New Roman"/>
          <w:sz w:val="12"/>
          <w:szCs w:val="12"/>
          <w:color w:val="auto"/>
        </w:rPr>
        <w:t>an Obligor fails duly to perform or comply with any of the obligations expressed to be assumed by it in any Transaction Document (other than those referred to in Clause 49(a)(ii)(</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i w:val="1"/>
          <w:iCs w:val="1"/>
          <w:color w:val="auto"/>
        </w:rPr>
        <w:t>covenants</w:t>
      </w:r>
      <w:r>
        <w:rPr>
          <w:rFonts w:ascii="Times New Roman" w:cs="Times New Roman" w:eastAsia="Times New Roman" w:hAnsi="Times New Roman"/>
          <w:sz w:val="12"/>
          <w:szCs w:val="12"/>
          <w:color w:val="auto"/>
        </w:rPr>
        <w:t>)) and where, in the opinion of the Owners, such default is capable of remedy, such default is not remedied to the Owners' satisfaction within seven (7) Business Days after written notice from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Owners requesting action to remedy the same; or</w:t>
      </w:r>
    </w:p>
    <w:p>
      <w:pPr>
        <w:spacing w:after="0" w:line="113" w:lineRule="exact"/>
        <w:rPr>
          <w:rFonts w:ascii="Times New Roman" w:cs="Times New Roman" w:eastAsia="Times New Roman" w:hAnsi="Times New Roman"/>
          <w:sz w:val="12"/>
          <w:szCs w:val="12"/>
          <w:color w:val="auto"/>
        </w:rPr>
      </w:pPr>
    </w:p>
    <w:p>
      <w:pPr>
        <w:jc w:val="both"/>
        <w:ind w:left="920" w:hanging="424"/>
        <w:spacing w:after="0" w:line="262" w:lineRule="auto"/>
        <w:tabs>
          <w:tab w:leader="none" w:pos="920" w:val="left"/>
        </w:tabs>
        <w:numPr>
          <w:ilvl w:val="0"/>
          <w:numId w:val="5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Misrepresentation </w:t>
      </w:r>
      <w:r>
        <w:rPr>
          <w:rFonts w:ascii="Times New Roman" w:cs="Times New Roman" w:eastAsia="Times New Roman" w:hAnsi="Times New Roman"/>
          <w:sz w:val="12"/>
          <w:szCs w:val="12"/>
          <w:color w:val="auto"/>
        </w:rPr>
        <w:t>any representation or statement made by any Obligor in or pursuant to a Transaction Document to which it or he is a party or in any notice, certificate, instrument or statement contemplated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thereby or made or delivered pursuant hereto or thereto is, or proves to be, untrue or incorrect in any material respect when made or deemed to be repeated unless such misrepresentation is in the opinion of the Owners capable of remedy and is remedied to the Owners' satisfaction within thirty (30) days of the earlier of the relevant Obligor becoming aware of any such misrepresentation or the Owners' notice to the relevant Obligor of such misrepresentation; or</w:t>
      </w:r>
    </w:p>
    <w:p>
      <w:pPr>
        <w:spacing w:after="0" w:line="121"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10795</wp:posOffset>
            </wp:positionV>
            <wp:extent cx="7178040"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40"/>
          </w:cols>
          <w:pgMar w:left="660" w:top="205" w:right="299" w:bottom="1440" w:gutter="0" w:footer="0" w:header="0"/>
        </w:sectPr>
      </w:pPr>
    </w:p>
    <w:bookmarkStart w:id="360" w:name="page361"/>
    <w:bookmarkEnd w:id="360"/>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424" w:hanging="424"/>
        <w:spacing w:after="0"/>
        <w:tabs>
          <w:tab w:leader="none" w:pos="424" w:val="left"/>
        </w:tabs>
        <w:numPr>
          <w:ilvl w:val="0"/>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Cross default </w:t>
      </w:r>
      <w:r>
        <w:rPr>
          <w:rFonts w:ascii="Times New Roman" w:cs="Times New Roman" w:eastAsia="Times New Roman" w:hAnsi="Times New Roman"/>
          <w:sz w:val="12"/>
          <w:szCs w:val="12"/>
          <w:color w:val="auto"/>
        </w:rPr>
        <w:t>any of the following events:</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not paid when due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 Obligor is declared to be, or otherwise becomes, due and payable prior to its specified maturity as a result of an event of default (however described);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 Obligor is cancelled or suspended by a creditor of an Obligor as a result of an event of default (however described); and</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 Obligor becomes entitled to declare any Financial Indebtedness of an Obligor due and payable prior to its specified maturity as a result of an event of default (however described),</w:t>
      </w:r>
    </w:p>
    <w:p>
      <w:pPr>
        <w:spacing w:after="0" w:line="146" w:lineRule="exact"/>
        <w:rPr>
          <w:sz w:val="20"/>
          <w:szCs w:val="20"/>
          <w:color w:val="auto"/>
        </w:rPr>
      </w:pPr>
    </w:p>
    <w:p>
      <w:pPr>
        <w:ind w:left="424"/>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no Termination Event will occur under this Clause49(a)(iii) if, the aggregate amount of such Financial Indebtedness referred to in this Clause 49(a)(v) (x) in respect of the Charter Guarantor, is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less than ten million Dollars (US$10,000,000) and (y) in respect of the Charterers, is less than five hundred thousand Dollars (US$500,000); or</w:t>
      </w:r>
    </w:p>
    <w:p>
      <w:pPr>
        <w:spacing w:after="0" w:line="103" w:lineRule="exact"/>
        <w:rPr>
          <w:sz w:val="20"/>
          <w:szCs w:val="20"/>
          <w:color w:val="auto"/>
        </w:rPr>
      </w:pPr>
    </w:p>
    <w:p>
      <w:pPr>
        <w:ind w:left="424" w:hanging="424"/>
        <w:spacing w:after="0"/>
        <w:tabs>
          <w:tab w:leader="none" w:pos="424" w:val="left"/>
        </w:tabs>
        <w:numPr>
          <w:ilvl w:val="0"/>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Insolvency</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deemed to, or 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1164" w:hanging="300"/>
        <w:spacing w:after="0"/>
        <w:tabs>
          <w:tab w:leader="none" w:pos="1164" w:val="left"/>
        </w:tabs>
        <w:numPr>
          <w:ilvl w:val="2"/>
          <w:numId w:val="5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sz w:val="20"/>
          <w:szCs w:val="20"/>
          <w:color w:val="auto"/>
        </w:rPr>
      </w:pPr>
    </w:p>
    <w:p>
      <w:pPr>
        <w:ind w:left="864"/>
        <w:spacing w:after="0" w:line="279" w:lineRule="auto"/>
        <w:rPr>
          <w:sz w:val="20"/>
          <w:szCs w:val="20"/>
          <w:color w:val="auto"/>
        </w:rPr>
      </w:pPr>
      <w:r>
        <w:rPr>
          <w:rFonts w:ascii="Times New Roman" w:cs="Times New Roman" w:eastAsia="Times New Roman" w:hAnsi="Times New Roman"/>
          <w:sz w:val="12"/>
          <w:szCs w:val="12"/>
          <w:color w:val="auto"/>
        </w:rPr>
        <w:t>other than the Charter Guarantor, by reason of actual or anticipated financial difficulties, commences negotiations with one or more of its creditors with a view to rescheduling any of its indebtedness; or</w:t>
      </w:r>
    </w:p>
    <w:p>
      <w:pPr>
        <w:spacing w:after="0" w:line="111" w:lineRule="exact"/>
        <w:rPr>
          <w:sz w:val="20"/>
          <w:szCs w:val="20"/>
          <w:color w:val="auto"/>
        </w:rPr>
      </w:pPr>
    </w:p>
    <w:p>
      <w:pPr>
        <w:jc w:val="both"/>
        <w:ind w:left="864" w:hanging="432"/>
        <w:spacing w:after="0" w:line="260" w:lineRule="auto"/>
        <w:tabs>
          <w:tab w:leader="none" w:pos="864"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 Guarantor, any of it Subsidiaries or any of their respective directors or authorised representatives by reason of actual or anticipated financial difficulties take any steps (whether by submitting or presenting a document setting out a proposal or proposed terms or otherwise) with more than 35% (by value) of creditors of the Charter Group (taken as a whole) with a view to obtaining any form of moratorium, suspension or deferral of payments or reorganisation of debt (or certain debt), provided that this Clause 49(a)(vi)(B) shall not apply where the relevant steps are being taken solely with the Owners or any of the Owners Subsidiaries; or</w:t>
      </w:r>
    </w:p>
    <w:p>
      <w:pPr>
        <w:spacing w:after="0" w:line="12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value of the assets of an Obligor is less than its liabilities (taking into account contingent and prospective liabilities);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 Obligor. If a moratorium occurs, the ending of the moratorium will not remedy any Termination Event caused by that moratorium; or</w:t>
      </w:r>
    </w:p>
    <w:p>
      <w:pPr>
        <w:spacing w:after="0" w:line="146"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Winding-up </w:t>
      </w: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154"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361" w:name="page362"/>
    <w:bookmarkEnd w:id="361"/>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864" w:right="20" w:hanging="432"/>
        <w:spacing w:after="0" w:line="279" w:lineRule="auto"/>
        <w:tabs>
          <w:tab w:leader="none" w:pos="864"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bankruptcy or reorganisation (by way of voluntary arrangement, scheme of arrangement or otherwise) of an Obligor;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 Obligor;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administrative receiver, administrator, compulsory manager, trustee or other similar officer in respect of an Obligor or any of its assets;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0"/>
          <w:numId w:val="5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Interest over any assets of an Obligor;</w:t>
      </w:r>
    </w:p>
    <w:p>
      <w:pPr>
        <w:spacing w:after="0" w:line="150" w:lineRule="exact"/>
        <w:rPr>
          <w:sz w:val="20"/>
          <w:szCs w:val="20"/>
          <w:color w:val="auto"/>
        </w:rPr>
      </w:pPr>
    </w:p>
    <w:p>
      <w:pPr>
        <w:ind w:left="424"/>
        <w:spacing w:after="0" w:line="279" w:lineRule="auto"/>
        <w:rPr>
          <w:sz w:val="20"/>
          <w:szCs w:val="20"/>
          <w:color w:val="auto"/>
        </w:rPr>
      </w:pPr>
      <w:r>
        <w:rPr>
          <w:rFonts w:ascii="Times New Roman" w:cs="Times New Roman" w:eastAsia="Times New Roman" w:hAnsi="Times New Roman"/>
          <w:sz w:val="12"/>
          <w:szCs w:val="12"/>
          <w:color w:val="auto"/>
        </w:rPr>
        <w:t>or any analogous procedure or step is taken in any jurisdiction. This Clause 49(a)(vii) shall not apply to (x) any winding-up petition which is frivolous or vexatious and is discharged, stayed or dismissed within twenty one (21) days of commencement or (y) any arrest or detention of the Vessel from which the Vessel is released within twenty one (21) days from the date of that arrest or detention; or</w:t>
      </w:r>
    </w:p>
    <w:p>
      <w:pPr>
        <w:spacing w:after="0" w:line="107" w:lineRule="exact"/>
        <w:rPr>
          <w:sz w:val="20"/>
          <w:szCs w:val="20"/>
          <w:color w:val="auto"/>
        </w:rPr>
      </w:pPr>
    </w:p>
    <w:p>
      <w:pPr>
        <w:ind w:left="424" w:hanging="424"/>
        <w:spacing w:after="0"/>
        <w:tabs>
          <w:tab w:leader="none" w:pos="424"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Cessation of business </w:t>
      </w:r>
      <w:r>
        <w:rPr>
          <w:rFonts w:ascii="Times New Roman" w:cs="Times New Roman" w:eastAsia="Times New Roman" w:hAnsi="Times New Roman"/>
          <w:sz w:val="12"/>
          <w:szCs w:val="12"/>
          <w:color w:val="auto"/>
        </w:rPr>
        <w:t>any Obligor ceases or threatens to cease, to carry on all or, any material part of such Obligor's business;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Unlawfulness </w:t>
      </w:r>
      <w:r>
        <w:rPr>
          <w:rFonts w:ascii="Times New Roman" w:cs="Times New Roman" w:eastAsia="Times New Roman" w:hAnsi="Times New Roman"/>
          <w:sz w:val="12"/>
          <w:szCs w:val="12"/>
          <w:color w:val="auto"/>
        </w:rPr>
        <w:t>at any time:</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any Obligor to perform or comply with any or all of its obligations under the Transaction Documents to which it or he is a party;</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obligations of the Charterers under the Transaction Documents to which they are parties are not or cease to be legal, valid and binding; or</w:t>
      </w:r>
    </w:p>
    <w:p>
      <w:pPr>
        <w:spacing w:after="0" w:line="150" w:lineRule="exact"/>
        <w:rPr>
          <w:rFonts w:ascii="Times New Roman" w:cs="Times New Roman" w:eastAsia="Times New Roman" w:hAnsi="Times New Roman"/>
          <w:sz w:val="12"/>
          <w:szCs w:val="12"/>
          <w:color w:val="auto"/>
        </w:rPr>
      </w:pPr>
    </w:p>
    <w:p>
      <w:pPr>
        <w:ind w:left="864" w:right="20" w:hanging="432"/>
        <w:spacing w:after="0" w:line="279" w:lineRule="auto"/>
        <w:tabs>
          <w:tab w:leader="none" w:pos="864" w:val="left"/>
        </w:tabs>
        <w:numPr>
          <w:ilvl w:val="1"/>
          <w:numId w:val="5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Documents or any Encumbrance created or purported to be created by the Transaction Documents ceases to be legal, valid, binding, enforceable or effective or is alleged by a party to such Transaction Document (other than the Owners) to be ineffective,</w:t>
      </w:r>
    </w:p>
    <w:p>
      <w:pPr>
        <w:spacing w:after="0" w:line="111"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and no agreement is reached between the Owners and the Charterers to agree an alternative arrangement within thirty (30) days from the date of occurrence of any of the events stated above; or</w:t>
      </w:r>
    </w:p>
    <w:p>
      <w:pPr>
        <w:spacing w:after="0" w:line="146" w:lineRule="exact"/>
        <w:rPr>
          <w:sz w:val="20"/>
          <w:szCs w:val="20"/>
          <w:color w:val="auto"/>
        </w:rPr>
      </w:pPr>
    </w:p>
    <w:p>
      <w:pPr>
        <w:ind w:left="424" w:hanging="424"/>
        <w:spacing w:after="0"/>
        <w:tabs>
          <w:tab w:leader="none" w:pos="424" w:val="left"/>
        </w:tabs>
        <w:numPr>
          <w:ilvl w:val="0"/>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Repudiation </w:t>
      </w:r>
      <w:r>
        <w:rPr>
          <w:rFonts w:ascii="Times New Roman" w:cs="Times New Roman" w:eastAsia="Times New Roman" w:hAnsi="Times New Roman"/>
          <w:sz w:val="12"/>
          <w:szCs w:val="12"/>
          <w:color w:val="auto"/>
        </w:rPr>
        <w:t>an Obligor repudiates any Transaction Document to which it is a party or does or causes to be done any act or thing evidencing an intention to repudiate any such Transaction Document; or</w:t>
      </w:r>
    </w:p>
    <w:p>
      <w:pPr>
        <w:spacing w:after="0" w:line="150"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Validity and admissibility </w:t>
      </w:r>
      <w:r>
        <w:rPr>
          <w:rFonts w:ascii="Times New Roman" w:cs="Times New Roman" w:eastAsia="Times New Roman" w:hAnsi="Times New Roman"/>
          <w:sz w:val="12"/>
          <w:szCs w:val="12"/>
          <w:color w:val="auto"/>
        </w:rPr>
        <w:t>at any time any act, condition or thing required to be done, fulfilled or performed in order: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any Obligor lawfully to enter into, exercise its rights under and perform the respective obligations expressed to be assumed by it in the Transaction Documents;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ensure that the obligations expressed to be assumed by each of the Obligors in the Transaction Documents are legal, valid and binding;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admissible in evidence in any applicable jurisdiction,</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362" w:name="page363"/>
    <w:bookmarkEnd w:id="362"/>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is not done, fulfilled or performed within thirty (30) days after notification from the Owners to the relevant Obligor requiring the same to be done, fulfilled or performed; or</w:t>
      </w:r>
    </w:p>
    <w:p>
      <w:pPr>
        <w:spacing w:after="0" w:line="146" w:lineRule="exact"/>
        <w:rPr>
          <w:sz w:val="20"/>
          <w:szCs w:val="20"/>
          <w:color w:val="auto"/>
        </w:rPr>
      </w:pPr>
    </w:p>
    <w:p>
      <w:pPr>
        <w:ind w:left="424" w:hanging="424"/>
        <w:spacing w:after="0"/>
        <w:tabs>
          <w:tab w:leader="none" w:pos="424" w:val="left"/>
        </w:tabs>
        <w:numPr>
          <w:ilvl w:val="0"/>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ISM Code and ISPS Code </w:t>
      </w:r>
      <w:r>
        <w:rPr>
          <w:rFonts w:ascii="Times New Roman" w:cs="Times New Roman" w:eastAsia="Times New Roman" w:hAnsi="Times New Roman"/>
          <w:sz w:val="12"/>
          <w:szCs w:val="12"/>
          <w:color w:val="auto"/>
        </w:rPr>
        <w:t>for any reason whatsoever, the Vessel ceases to:</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the ISM Code or the ISPS Code;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managed by an Approved Manager on terms in all respects approved by the Owners,</w:t>
      </w:r>
    </w:p>
    <w:p>
      <w:pPr>
        <w:spacing w:after="0" w:line="150"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2"/>
          <w:szCs w:val="12"/>
          <w:color w:val="auto"/>
        </w:rPr>
        <w:t>in each case, which is not remedied within three (3) Business Days after the earlier of written notice from the Owners requesting action to remedy the same or the Charterers becoming aware of the same; or</w:t>
      </w:r>
    </w:p>
    <w:p>
      <w:pPr>
        <w:spacing w:after="0" w:line="146" w:lineRule="exact"/>
        <w:rPr>
          <w:sz w:val="20"/>
          <w:szCs w:val="20"/>
          <w:color w:val="auto"/>
        </w:rPr>
      </w:pPr>
    </w:p>
    <w:p>
      <w:pPr>
        <w:ind w:left="424" w:hanging="424"/>
        <w:spacing w:after="0"/>
        <w:tabs>
          <w:tab w:leader="none" w:pos="424"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Sanctions and AML laws etc.,</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is in breach of any Sanctions, Anti-Money Laundering Laws, Anti-Terrorism Financing Laws or Business Ethics Laws; or</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Obligor becomes a Restricted Person, or is owned or controlled by a Restricted Person, or owns or controls a Restricted Person;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as a result of any Sanctions, the Owners are prohibited from performing any of their obligations under the Transaction Documents or the transactions contemplated under the Transaction Documents; or</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Sub-Charterer becomes a Restricted Person and the Owners fail to effect immediate termination of the Sub-Charter with such Sub-Charterer or fail to procure (within 60 days) a replacement Sub-Charter reasonably satisfactory to the Owners; or</w:t>
      </w:r>
    </w:p>
    <w:p>
      <w:pPr>
        <w:spacing w:after="0" w:line="107" w:lineRule="exact"/>
        <w:rPr>
          <w:rFonts w:ascii="Times New Roman" w:cs="Times New Roman" w:eastAsia="Times New Roman" w:hAnsi="Times New Roman"/>
          <w:sz w:val="12"/>
          <w:szCs w:val="12"/>
          <w:color w:val="auto"/>
        </w:rPr>
      </w:pPr>
    </w:p>
    <w:p>
      <w:pPr>
        <w:ind w:left="424" w:right="20" w:hanging="424"/>
        <w:spacing w:after="0" w:line="286" w:lineRule="auto"/>
        <w:tabs>
          <w:tab w:leader="none" w:pos="424"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Arrest </w:t>
      </w:r>
      <w:r>
        <w:rPr>
          <w:rFonts w:ascii="Times New Roman" w:cs="Times New Roman" w:eastAsia="Times New Roman" w:hAnsi="Times New Roman"/>
          <w:sz w:val="12"/>
          <w:szCs w:val="12"/>
          <w:color w:val="auto"/>
        </w:rPr>
        <w:t>the Vessel is arrested or seized for any reason whatsoever (other than caused solely and directly by any action or omission from the Owners) unless the Vessel is released and returned to the possession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of the Charterers within sixty (60) days of such arrest or seizure; or</w:t>
      </w:r>
    </w:p>
    <w:p>
      <w:pPr>
        <w:spacing w:after="0" w:line="103" w:lineRule="exact"/>
        <w:rPr>
          <w:rFonts w:ascii="Times New Roman" w:cs="Times New Roman" w:eastAsia="Times New Roman" w:hAnsi="Times New Roman"/>
          <w:sz w:val="12"/>
          <w:szCs w:val="12"/>
          <w:color w:val="auto"/>
        </w:rPr>
      </w:pPr>
    </w:p>
    <w:p>
      <w:pPr>
        <w:jc w:val="both"/>
        <w:ind w:left="424" w:hanging="424"/>
        <w:spacing w:after="0" w:line="268" w:lineRule="auto"/>
        <w:tabs>
          <w:tab w:leader="none" w:pos="424"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Registration </w:t>
      </w:r>
      <w:r>
        <w:rPr>
          <w:rFonts w:ascii="Times New Roman" w:cs="Times New Roman" w:eastAsia="Times New Roman" w:hAnsi="Times New Roman"/>
          <w:sz w:val="12"/>
          <w:szCs w:val="12"/>
          <w:color w:val="auto"/>
        </w:rPr>
        <w:t>the registration of the Vessel becomes void or voidable or liable to cancellation or termination, or the country of registration of the Vessel becomes involved in war (whether or not declared) or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civil war or is occupied by any other power and the Owners consider that, as a result, safety of Owners' title to the Vessel is materially prejudiced other than caused directly or indirectly by the actions of the Owners; or</w:t>
      </w:r>
    </w:p>
    <w:p>
      <w:pPr>
        <w:spacing w:after="0" w:line="11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adverse change </w:t>
      </w:r>
      <w:r>
        <w:rPr>
          <w:rFonts w:ascii="Times New Roman" w:cs="Times New Roman" w:eastAsia="Times New Roman" w:hAnsi="Times New Roman"/>
          <w:sz w:val="12"/>
          <w:szCs w:val="12"/>
          <w:color w:val="auto"/>
        </w:rPr>
        <w:t>at any time there shall occur any event or change which has a Material Adverse Effect; or</w:t>
      </w:r>
    </w:p>
    <w:p>
      <w:pPr>
        <w:spacing w:after="0" w:line="150" w:lineRule="exact"/>
        <w:rPr>
          <w:rFonts w:ascii="Times New Roman" w:cs="Times New Roman" w:eastAsia="Times New Roman" w:hAnsi="Times New Roman"/>
          <w:sz w:val="12"/>
          <w:szCs w:val="12"/>
          <w:color w:val="auto"/>
        </w:rPr>
      </w:pPr>
    </w:p>
    <w:p>
      <w:pPr>
        <w:ind w:left="424" w:hanging="424"/>
        <w:spacing w:after="0" w:line="286" w:lineRule="auto"/>
        <w:tabs>
          <w:tab w:leader="none" w:pos="424"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Material litigation </w:t>
      </w:r>
      <w:r>
        <w:rPr>
          <w:rFonts w:ascii="Times New Roman" w:cs="Times New Roman" w:eastAsia="Times New Roman" w:hAnsi="Times New Roman"/>
          <w:sz w:val="12"/>
          <w:szCs w:val="12"/>
          <w:color w:val="auto"/>
        </w:rPr>
        <w:t>any litigation, arbitration or administrative proceedings of or before any court, arbitral body or agency have been started or threatened in connection with any Obligor which, if adversely</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determined, has a Material Adverse Effect; or</w:t>
      </w:r>
    </w:p>
    <w:p>
      <w:pPr>
        <w:spacing w:after="0" w:line="103"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MOA and Initial Sub-Charter</w:t>
      </w:r>
    </w:p>
    <w:p>
      <w:pPr>
        <w:spacing w:after="0" w:line="154"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of the Sellers' default (as such term is described in the MOA) occurs under the MOA; or</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5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Sub-Charteris is terminated, cancelled, repudiated or otherwise ceases to remain in full force and effect before the end of its agreed term, provided that no Termination Event will occur under this sub-paragraph, if a replacement Sub-Charter with material terms and conditions satisfactory to the Owners is entered into by the Charterers and assigned to the Owners in form and substance acceptable the Owners within 60 days after the termination, cancellation, repudiation or cessation of effectiveness of the Initial Sub-Charter; or</w:t>
      </w:r>
    </w:p>
    <w:p>
      <w:pPr>
        <w:spacing w:after="0" w:line="119"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363" w:name="page364"/>
    <w:bookmarkEnd w:id="363"/>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860" w:hanging="424"/>
        <w:spacing w:after="0"/>
        <w:tabs>
          <w:tab w:leader="none" w:pos="860" w:val="left"/>
        </w:tabs>
        <w:numPr>
          <w:ilvl w:val="1"/>
          <w:numId w:val="5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Related Charter </w:t>
      </w:r>
      <w:r>
        <w:rPr>
          <w:rFonts w:ascii="Times New Roman" w:cs="Times New Roman" w:eastAsia="Times New Roman" w:hAnsi="Times New Roman"/>
          <w:sz w:val="12"/>
          <w:szCs w:val="12"/>
          <w:color w:val="auto"/>
        </w:rPr>
        <w:t>a "Termination Event" (as such term is defined in each Related Charter) occurs under any Related Charter which is continuing.</w:t>
      </w:r>
    </w:p>
    <w:p>
      <w:pPr>
        <w:spacing w:after="0" w:line="150"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options after occurrence of a Termination Event </w:t>
      </w:r>
      <w:r>
        <w:rPr>
          <w:rFonts w:ascii="Times New Roman" w:cs="Times New Roman" w:eastAsia="Times New Roman" w:hAnsi="Times New Roman"/>
          <w:sz w:val="12"/>
          <w:szCs w:val="12"/>
          <w:color w:val="auto"/>
        </w:rPr>
        <w:t>At any time after a Termination Event shall have occurred and be continuing and if applicable, following the lapse of any applicable grace period,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w:t>
      </w:r>
    </w:p>
    <w:p>
      <w:pPr>
        <w:spacing w:after="0" w:line="107" w:lineRule="exact"/>
        <w:rPr>
          <w:rFonts w:ascii="Times New Roman" w:cs="Times New Roman" w:eastAsia="Times New Roman" w:hAnsi="Times New Roman"/>
          <w:sz w:val="12"/>
          <w:szCs w:val="12"/>
          <w:color w:val="auto"/>
        </w:rPr>
      </w:pPr>
    </w:p>
    <w:p>
      <w:pPr>
        <w:jc w:val="both"/>
        <w:ind w:left="860" w:hanging="424"/>
        <w:spacing w:after="0" w:line="265" w:lineRule="auto"/>
        <w:tabs>
          <w:tab w:leader="none" w:pos="860"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their option and by delivering to the Charterers a Termination Notice, terminate this Charter with immediate effect or on the date specified in such Termination Notice, and withdraw the Vessel from the service of the Charterers without noting any protest and without interference by any court or any other formality whatsoever, whereupon the Vessel shall no longer be in the possession of the Charterers with the consent of the Owners, and the Charterers shall redeliver the Vessel to the Owners in accordance with Clauses 42 (</w:t>
      </w:r>
      <w:r>
        <w:rPr>
          <w:rFonts w:ascii="Times New Roman" w:cs="Times New Roman" w:eastAsia="Times New Roman" w:hAnsi="Times New Roman"/>
          <w:sz w:val="12"/>
          <w:szCs w:val="12"/>
          <w:i w:val="1"/>
          <w:iCs w:val="1"/>
          <w:color w:val="auto"/>
        </w:rPr>
        <w:t>Redelivery</w:t>
      </w:r>
      <w:r>
        <w:rPr>
          <w:rFonts w:ascii="Times New Roman" w:cs="Times New Roman" w:eastAsia="Times New Roman" w:hAnsi="Times New Roman"/>
          <w:sz w:val="12"/>
          <w:szCs w:val="12"/>
          <w:color w:val="auto"/>
        </w:rPr>
        <w:t>) and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whereupon the Owners may:</w:t>
      </w:r>
    </w:p>
    <w:p>
      <w:pPr>
        <w:spacing w:after="0" w:line="118"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2"/>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that the Charterers fail to pay the Termination Sum in full on the Termination Payment Date) at their option (but shall be under no obligation to), sell the Vessel to such party, at such time and on such terms and conditions as they may, in their absolution discretion, think fit; and/or</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generally, use or dispose of the Vessel as the Owners may see fit subject only to the terms of this Charter;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any amount then standing to the credit to the Earnings Account against any Unpaid Sum or such other amounts which the Charterer or other Obligors may owe under the Transaction Documents; and/or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sub-paragraph (ii) above) enforce any Security Interest created pursuant to the relevant Transaction Documents.</w:t>
      </w:r>
    </w:p>
    <w:p>
      <w:pPr>
        <w:spacing w:after="0" w:line="146" w:lineRule="exact"/>
        <w:rPr>
          <w:rFonts w:ascii="Times New Roman" w:cs="Times New Roman" w:eastAsia="Times New Roman" w:hAnsi="Times New Roman"/>
          <w:sz w:val="12"/>
          <w:szCs w:val="12"/>
          <w:color w:val="auto"/>
        </w:rPr>
      </w:pPr>
    </w:p>
    <w:p>
      <w:pPr>
        <w:ind w:left="440" w:hanging="436"/>
        <w:spacing w:after="0" w:line="286" w:lineRule="auto"/>
        <w:tabs>
          <w:tab w:leader="none" w:pos="440"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Payment of Termination Sum </w:t>
      </w:r>
      <w:r>
        <w:rPr>
          <w:rFonts w:ascii="Times New Roman" w:cs="Times New Roman" w:eastAsia="Times New Roman" w:hAnsi="Times New Roman"/>
          <w:sz w:val="12"/>
          <w:szCs w:val="12"/>
          <w:color w:val="auto"/>
        </w:rPr>
        <w:t>On the Termination Payment Date in respect of any termination of the chartering of the Vessel under this Charter in accordance with paragraph (b) above, the Charterers shall pay to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Owners an amount equal to the Termination Sum.</w:t>
      </w:r>
    </w:p>
    <w:p>
      <w:pPr>
        <w:spacing w:after="0" w:line="103" w:lineRule="exact"/>
        <w:rPr>
          <w:rFonts w:ascii="Times New Roman" w:cs="Times New Roman" w:eastAsia="Times New Roman" w:hAnsi="Times New Roman"/>
          <w:sz w:val="12"/>
          <w:szCs w:val="12"/>
          <w:color w:val="auto"/>
        </w:rPr>
      </w:pPr>
    </w:p>
    <w:p>
      <w:pPr>
        <w:ind w:left="440" w:right="20" w:hanging="436"/>
        <w:spacing w:after="0" w:line="286" w:lineRule="auto"/>
        <w:tabs>
          <w:tab w:leader="none" w:pos="440"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application of Termination Sum </w:t>
      </w:r>
      <w:r>
        <w:rPr>
          <w:rFonts w:ascii="Times New Roman" w:cs="Times New Roman" w:eastAsia="Times New Roman" w:hAnsi="Times New Roman"/>
          <w:sz w:val="12"/>
          <w:szCs w:val="12"/>
          <w:color w:val="auto"/>
        </w:rPr>
        <w:t>Following any termination to which this Clause 49 applies, all sums payable in accordance with paragraph (c) above shall be paid to such account or accounts as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03" w:lineRule="exact"/>
        <w:rPr>
          <w:rFonts w:ascii="Times New Roman" w:cs="Times New Roman" w:eastAsia="Times New Roman" w:hAnsi="Times New Roman"/>
          <w:sz w:val="12"/>
          <w:szCs w:val="12"/>
          <w:color w:val="auto"/>
        </w:rPr>
      </w:pPr>
    </w:p>
    <w:p>
      <w:pPr>
        <w:jc w:val="both"/>
        <w:ind w:left="440" w:hanging="436"/>
        <w:spacing w:after="0" w:line="268" w:lineRule="auto"/>
        <w:tabs>
          <w:tab w:leader="none" w:pos="440"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Transfer of title </w:t>
      </w:r>
      <w:r>
        <w:rPr>
          <w:rFonts w:ascii="Times New Roman" w:cs="Times New Roman" w:eastAsia="Times New Roman" w:hAnsi="Times New Roman"/>
          <w:sz w:val="12"/>
          <w:szCs w:val="12"/>
          <w:color w:val="auto"/>
        </w:rPr>
        <w:t>If the chartering of the Vessel or, as the case may be, the obligation of the Owners to deliver and charter the Vessel to the Charterers is terminated in accordance with the terms of this Charter,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obligation of the Charterers to pay Hire shall cease once the Charterers have made the payment pursuant to paragraph (c) above to the satisfaction of the Owners, whereupon the Owners shall arrange for title of the Vessel to be transferred to the Charterers in accordance with paragraphs (d) to (h) of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w:t>
      </w:r>
    </w:p>
    <w:p>
      <w:pPr>
        <w:spacing w:after="0" w:line="113" w:lineRule="exact"/>
        <w:rPr>
          <w:rFonts w:ascii="Times New Roman" w:cs="Times New Roman" w:eastAsia="Times New Roman" w:hAnsi="Times New Roman"/>
          <w:sz w:val="12"/>
          <w:szCs w:val="12"/>
          <w:color w:val="auto"/>
        </w:rPr>
      </w:pPr>
    </w:p>
    <w:p>
      <w:pPr>
        <w:jc w:val="both"/>
        <w:ind w:left="440" w:hanging="436"/>
        <w:spacing w:after="0" w:line="262" w:lineRule="auto"/>
        <w:tabs>
          <w:tab w:leader="none" w:pos="440" w:val="left"/>
        </w:tabs>
        <w:numPr>
          <w:ilvl w:val="0"/>
          <w:numId w:val="5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Sale of Vessel </w:t>
      </w:r>
      <w:r>
        <w:rPr>
          <w:rFonts w:ascii="Times New Roman" w:cs="Times New Roman" w:eastAsia="Times New Roman" w:hAnsi="Times New Roman"/>
          <w:sz w:val="12"/>
          <w:szCs w:val="12"/>
          <w:color w:val="auto"/>
        </w:rPr>
        <w:t>Following any termination to which this Clause 49 applies, if the Charterers have not paid to the Owners the Termination Sum on the applicable Termination Payment Date (and consequently the Owners</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have not transferred title to the Vessel to the Charterers in accordance with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the Owners shall be entitled (but not obliged) to sell the Vessel and apply the proceeds of a sale of the Vessel received or receivable, net of any fees, commissions, documented costs, disbursements or other expenses incurred by the Owners as a result of the Owners arranging the proposed sale (the "</w:t>
      </w:r>
      <w:r>
        <w:rPr>
          <w:rFonts w:ascii="Times New Roman" w:cs="Times New Roman" w:eastAsia="Times New Roman" w:hAnsi="Times New Roman"/>
          <w:sz w:val="12"/>
          <w:szCs w:val="12"/>
          <w:b w:val="1"/>
          <w:bCs w:val="1"/>
          <w:color w:val="auto"/>
        </w:rPr>
        <w:t>Net Proceeds</w:t>
      </w:r>
      <w:r>
        <w:rPr>
          <w:rFonts w:ascii="Times New Roman" w:cs="Times New Roman" w:eastAsia="Times New Roman" w:hAnsi="Times New Roman"/>
          <w:sz w:val="12"/>
          <w:szCs w:val="12"/>
          <w:color w:val="auto"/>
        </w:rPr>
        <w:t>"), against the Termination Sum and: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64" w:name="page365"/>
    <w:bookmarkEnd w:id="364"/>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5" w:lineRule="exact"/>
        <w:rPr>
          <w:sz w:val="20"/>
          <w:szCs w:val="20"/>
          <w:color w:val="auto"/>
        </w:rPr>
      </w:pPr>
    </w:p>
    <w:p>
      <w:pPr>
        <w:ind w:left="860" w:right="20" w:hanging="424"/>
        <w:spacing w:after="0" w:line="283" w:lineRule="auto"/>
        <w:tabs>
          <w:tab w:leader="none" w:pos="860"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do not exceed the Termination Sum, the Owners claim from the Charterers for any shortfall together with interest accrued thereon pursuant to paragraph (g)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of Clause 40 (</w:t>
      </w:r>
      <w:r>
        <w:rPr>
          <w:rFonts w:ascii="Times New Roman" w:cs="Times New Roman" w:eastAsia="Times New Roman" w:hAnsi="Times New Roman"/>
          <w:sz w:val="12"/>
          <w:szCs w:val="12"/>
          <w:i w:val="1"/>
          <w:iCs w:val="1"/>
          <w:color w:val="auto"/>
        </w:rPr>
        <w:t>Hire</w:t>
      </w:r>
      <w:r>
        <w:rPr>
          <w:rFonts w:ascii="Times New Roman" w:cs="Times New Roman" w:eastAsia="Times New Roman" w:hAnsi="Times New Roman"/>
          <w:sz w:val="12"/>
          <w:szCs w:val="12"/>
          <w:color w:val="auto"/>
        </w:rPr>
        <w:t>) from the due date for payment thereof to the date of actual payment; or</w:t>
      </w:r>
    </w:p>
    <w:p>
      <w:pPr>
        <w:spacing w:after="0" w:line="106"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0"/>
          <w:numId w:val="5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Net Proceeds exceed the Termination Sum, any surplus shall be applied in the order set out in clause 4.2 (</w:t>
      </w:r>
      <w:r>
        <w:rPr>
          <w:rFonts w:ascii="Times New Roman" w:cs="Times New Roman" w:eastAsia="Times New Roman" w:hAnsi="Times New Roman"/>
          <w:sz w:val="12"/>
          <w:szCs w:val="12"/>
          <w:i w:val="1"/>
          <w:iCs w:val="1"/>
          <w:color w:val="auto"/>
        </w:rPr>
        <w:t>Application of Transaction Document Proceeds</w:t>
      </w:r>
      <w:r>
        <w:rPr>
          <w:rFonts w:ascii="Times New Roman" w:cs="Times New Roman" w:eastAsia="Times New Roman" w:hAnsi="Times New Roman"/>
          <w:sz w:val="12"/>
          <w:szCs w:val="12"/>
          <w:color w:val="auto"/>
        </w:rPr>
        <w:t>) of the Security Trust Deed,</w:t>
      </w:r>
    </w:p>
    <w:p>
      <w:pPr>
        <w:spacing w:after="0" w:line="14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in the event:</w:t>
      </w:r>
    </w:p>
    <w:p>
      <w:pPr>
        <w:spacing w:after="0" w:line="154" w:lineRule="exact"/>
        <w:rPr>
          <w:sz w:val="20"/>
          <w:szCs w:val="20"/>
          <w:color w:val="auto"/>
        </w:rPr>
      </w:pPr>
    </w:p>
    <w:p>
      <w:pPr>
        <w:ind w:left="840" w:hanging="422"/>
        <w:spacing w:after="0"/>
        <w:tabs>
          <w:tab w:leader="none" w:pos="840"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have not yet entered into any agreement for the sale, charter or employment of the Vessel;</w:t>
      </w:r>
    </w:p>
    <w:p>
      <w:pPr>
        <w:spacing w:after="0" w:line="146" w:lineRule="exact"/>
        <w:rPr>
          <w:rFonts w:ascii="Times New Roman" w:cs="Times New Roman" w:eastAsia="Times New Roman" w:hAnsi="Times New Roman"/>
          <w:sz w:val="12"/>
          <w:szCs w:val="12"/>
          <w:color w:val="auto"/>
        </w:rPr>
      </w:pPr>
    </w:p>
    <w:p>
      <w:pPr>
        <w:ind w:left="840" w:hanging="422"/>
        <w:spacing w:after="0" w:line="286" w:lineRule="auto"/>
        <w:tabs>
          <w:tab w:leader="none" w:pos="840"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furnish the Owners with an Offer no later than the date falling thirty (30) days after the Termination Payment Date (or such later date as may be agreed by the Owners, the "</w:t>
      </w:r>
      <w:r>
        <w:rPr>
          <w:rFonts w:ascii="Times New Roman" w:cs="Times New Roman" w:eastAsia="Times New Roman" w:hAnsi="Times New Roman"/>
          <w:sz w:val="12"/>
          <w:szCs w:val="12"/>
          <w:b w:val="1"/>
          <w:bCs w:val="1"/>
          <w:color w:val="auto"/>
        </w:rPr>
        <w:t>Latest MOA Date</w:t>
      </w:r>
      <w:r>
        <w:rPr>
          <w:rFonts w:ascii="Times New Roman" w:cs="Times New Roman" w:eastAsia="Times New Roman" w:hAnsi="Times New Roman"/>
          <w:sz w:val="12"/>
          <w:szCs w:val="12"/>
          <w:color w:val="auto"/>
        </w:rPr>
        <w:t>"); and</w:t>
      </w:r>
    </w:p>
    <w:p>
      <w:pPr>
        <w:spacing w:after="0" w:line="103" w:lineRule="exact"/>
        <w:rPr>
          <w:rFonts w:ascii="Times New Roman" w:cs="Times New Roman" w:eastAsia="Times New Roman" w:hAnsi="Times New Roman"/>
          <w:sz w:val="12"/>
          <w:szCs w:val="12"/>
          <w:color w:val="auto"/>
        </w:rPr>
      </w:pPr>
    </w:p>
    <w:p>
      <w:pPr>
        <w:jc w:val="both"/>
        <w:ind w:left="840" w:hanging="422"/>
        <w:spacing w:after="0" w:line="259" w:lineRule="auto"/>
        <w:tabs>
          <w:tab w:leader="none" w:pos="840" w:val="left"/>
        </w:tabs>
        <w:numPr>
          <w:ilvl w:val="0"/>
          <w:numId w:val="5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potential buyer which has made the Offer (the "</w:t>
      </w:r>
      <w:r>
        <w:rPr>
          <w:rFonts w:ascii="Times New Roman" w:cs="Times New Roman" w:eastAsia="Times New Roman" w:hAnsi="Times New Roman"/>
          <w:sz w:val="12"/>
          <w:szCs w:val="12"/>
          <w:b w:val="1"/>
          <w:bCs w:val="1"/>
          <w:color w:val="auto"/>
        </w:rPr>
        <w:t>Potential Buyer</w:t>
      </w:r>
      <w:r>
        <w:rPr>
          <w:rFonts w:ascii="Times New Roman" w:cs="Times New Roman" w:eastAsia="Times New Roman" w:hAnsi="Times New Roman"/>
          <w:sz w:val="12"/>
          <w:szCs w:val="12"/>
          <w:color w:val="auto"/>
        </w:rPr>
        <w:t>") is acceptable to the Owners (acting reasonably, such acceptance not to be unreasonably withheld or delayed), the Owners shall, subject to the entry into of a memorandum of agreement for the Vessel between the Potential Buyer and the Owners which shall be on terms acceptable to the Owners (the "</w:t>
      </w:r>
      <w:r>
        <w:rPr>
          <w:rFonts w:ascii="Times New Roman" w:cs="Times New Roman" w:eastAsia="Times New Roman" w:hAnsi="Times New Roman"/>
          <w:sz w:val="12"/>
          <w:szCs w:val="12"/>
          <w:b w:val="1"/>
          <w:bCs w:val="1"/>
          <w:color w:val="auto"/>
        </w:rPr>
        <w:t>Potential Buyer MOA</w:t>
      </w:r>
      <w:r>
        <w:rPr>
          <w:rFonts w:ascii="Times New Roman" w:cs="Times New Roman" w:eastAsia="Times New Roman" w:hAnsi="Times New Roman"/>
          <w:sz w:val="12"/>
          <w:szCs w:val="12"/>
          <w:color w:val="auto"/>
        </w:rPr>
        <w:t>") by the Latest MOA Date, sell the Vessel to the Potential Buyer in accordance with the terms of the Potential Buyer MOA. For the avoidance of doubt, the Owners may at its sole discretion (acting reasonably) proceed to complete any sale, charter or employment of the Vessel arranged by the Owners notwithstanding the Offer furnished by the Charterers. The proceeds of such sale shall, for the avoidance of any doubt, be applied in accordance with this Clause 49(f)(i) and (ii) as above.</w:t>
      </w:r>
    </w:p>
    <w:p>
      <w:pPr>
        <w:spacing w:after="0" w:line="1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For the purposes of this Clause 49(f):</w:t>
      </w:r>
    </w:p>
    <w:p>
      <w:pPr>
        <w:spacing w:after="0" w:line="14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Offer</w:t>
      </w:r>
      <w:r>
        <w:rPr>
          <w:rFonts w:ascii="Times New Roman" w:cs="Times New Roman" w:eastAsia="Times New Roman" w:hAnsi="Times New Roman"/>
          <w:sz w:val="12"/>
          <w:szCs w:val="12"/>
          <w:color w:val="auto"/>
        </w:rPr>
        <w:t>" means a firm offer for the purchase of the Vessel:</w:t>
      </w:r>
    </w:p>
    <w:p>
      <w:pPr>
        <w:spacing w:after="0" w:line="154" w:lineRule="exact"/>
        <w:rPr>
          <w:sz w:val="20"/>
          <w:szCs w:val="20"/>
          <w:color w:val="auto"/>
        </w:rPr>
      </w:pPr>
    </w:p>
    <w:p>
      <w:pPr>
        <w:ind w:left="840" w:hanging="431"/>
        <w:spacing w:after="0"/>
        <w:tabs>
          <w:tab w:leader="none" w:pos="840"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 purchase price in cash (payable on delivery and acceptance of the Vessel) not less than the Relevant Amount; and</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0"/>
          <w:numId w:val="5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customary terms for sale and purchase of commercial vessels of similar type.</w:t>
      </w:r>
    </w:p>
    <w:p>
      <w:pPr>
        <w:spacing w:after="0" w:line="146" w:lineRule="exact"/>
        <w:rPr>
          <w:sz w:val="20"/>
          <w:szCs w:val="20"/>
          <w:color w:val="auto"/>
        </w:rPr>
      </w:pPr>
    </w:p>
    <w:p>
      <w:pPr>
        <w:jc w:val="both"/>
        <w:ind w:left="44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 the aggregate of the Termination Sum to be determined by the Owners payable on the delivery date of the Vessel under any Potential Buyer MOA and to the extent not already included within such Termination Sum, any actual or estimated costs associated with the entry into the Potential Buyer MOA by the Potential Buyer and the conclusion of the transaction and the delivery of the Vessel thereunder, including any brokers' fees or commission.</w:t>
      </w:r>
    </w:p>
    <w:p>
      <w:pPr>
        <w:spacing w:after="0" w:line="114" w:lineRule="exact"/>
        <w:rPr>
          <w:sz w:val="20"/>
          <w:szCs w:val="20"/>
          <w:color w:val="auto"/>
        </w:rPr>
      </w:pPr>
    </w:p>
    <w:p>
      <w:pPr>
        <w:jc w:val="both"/>
        <w:ind w:left="440" w:hanging="436"/>
        <w:spacing w:after="0" w:line="262" w:lineRule="auto"/>
        <w:tabs>
          <w:tab w:leader="none" w:pos="440" w:val="left"/>
        </w:tabs>
        <w:numPr>
          <w:ilvl w:val="0"/>
          <w:numId w:val="5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Owners' rights reserved </w:t>
      </w:r>
      <w:r>
        <w:rPr>
          <w:rFonts w:ascii="Times New Roman" w:cs="Times New Roman" w:eastAsia="Times New Roman" w:hAnsi="Times New Roman"/>
          <w:sz w:val="12"/>
          <w:szCs w:val="12"/>
          <w:color w:val="auto"/>
        </w:rPr>
        <w:t>Without prejudice to the forgoing or to any other rights of the Owners under the Charter, at any time after a Termination Notice is served under paragraph (b) above, the Owners may, acting in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their sole discretion without prejudice to the Charterers' obligations under Clause 43 (</w:t>
      </w:r>
      <w:r>
        <w:rPr>
          <w:rFonts w:ascii="Times New Roman" w:cs="Times New Roman" w:eastAsia="Times New Roman" w:hAnsi="Times New Roman"/>
          <w:sz w:val="12"/>
          <w:szCs w:val="12"/>
          <w:i w:val="1"/>
          <w:iCs w:val="1"/>
          <w:color w:val="auto"/>
        </w:rPr>
        <w:t>Redelivery conditions)</w:t>
      </w:r>
      <w:r>
        <w:rPr>
          <w:rFonts w:ascii="Times New Roman" w:cs="Times New Roman" w:eastAsia="Times New Roman" w:hAnsi="Times New Roman"/>
          <w:sz w:val="12"/>
          <w:szCs w:val="12"/>
          <w:color w:val="auto"/>
        </w:rPr>
        <w:t>, retake possession of the Vessel and, the Charterers agree that the Owners, for such purpose, may put into force and exercise all their rights and entitlements at law and may enter upon any premises belonging to or in the occupation or under the control of the Charterers where the Vessel may be located as well as giving instructions to the Charterers' servants or agents for this purpose</w:t>
      </w:r>
      <w:r>
        <w:rPr>
          <w:rFonts w:ascii="Times New Roman" w:cs="Times New Roman" w:eastAsia="Times New Roman" w:hAnsi="Times New Roman"/>
          <w:sz w:val="12"/>
          <w:szCs w:val="12"/>
          <w:i w:val="1"/>
          <w:iCs w:val="1"/>
          <w:color w:val="auto"/>
        </w:rPr>
        <w: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65" w:name="page366"/>
    <w:bookmarkEnd w:id="36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640" w:hanging="436"/>
        <w:spacing w:after="0" w:line="286" w:lineRule="auto"/>
        <w:tabs>
          <w:tab w:leader="none" w:pos="640" w:val="left"/>
        </w:tabs>
        <w:numPr>
          <w:ilvl w:val="1"/>
          <w:numId w:val="5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i w:val="1"/>
          <w:iCs w:val="1"/>
          <w:color w:val="auto"/>
        </w:rPr>
        <w:t xml:space="preserve">Cumulative rights </w:t>
      </w:r>
      <w:r>
        <w:rPr>
          <w:rFonts w:ascii="Times New Roman" w:cs="Times New Roman" w:eastAsia="Times New Roman" w:hAnsi="Times New Roman"/>
          <w:sz w:val="12"/>
          <w:szCs w:val="12"/>
          <w:color w:val="auto"/>
        </w:rPr>
        <w:t>The rights conferred upon the Owners by the provisions of this Clause 49 are cumulative and in addition to any rights which they may otherwise have in law or in equity or by virtue of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provisions of this Charter.</w:t>
      </w:r>
    </w:p>
    <w:p>
      <w:pPr>
        <w:spacing w:after="0" w:line="103" w:lineRule="exact"/>
        <w:rPr>
          <w:rFonts w:ascii="Times New Roman" w:cs="Times New Roman" w:eastAsia="Times New Roman" w:hAnsi="Times New Roman"/>
          <w:sz w:val="12"/>
          <w:szCs w:val="12"/>
          <w:color w:val="auto"/>
        </w:rPr>
      </w:pPr>
    </w:p>
    <w:p>
      <w:pPr>
        <w:ind w:left="440" w:hanging="434"/>
        <w:spacing w:after="0"/>
        <w:tabs>
          <w:tab w:leader="none" w:pos="440" w:val="left"/>
        </w:tabs>
        <w:numPr>
          <w:ilvl w:val="0"/>
          <w:numId w:val="5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Sub-chartering and assignment</w:t>
      </w:r>
    </w:p>
    <w:p>
      <w:pPr>
        <w:spacing w:after="0" w:line="154" w:lineRule="exact"/>
        <w:rPr>
          <w:rFonts w:ascii="Times New Roman" w:cs="Times New Roman" w:eastAsia="Times New Roman" w:hAnsi="Times New Roman"/>
          <w:sz w:val="12"/>
          <w:szCs w:val="12"/>
          <w:b w:val="1"/>
          <w:bCs w:val="1"/>
          <w:color w:val="auto"/>
        </w:rPr>
      </w:pPr>
    </w:p>
    <w:p>
      <w:pPr>
        <w:ind w:left="640" w:hanging="436"/>
        <w:spacing w:after="0"/>
        <w:tabs>
          <w:tab w:leader="none" w:pos="640"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without the prior written consent of the Owners (such consent not to be unreasonably withheld or delayed):</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the Vessel on demise charter for any period;</w:t>
      </w:r>
    </w:p>
    <w:p>
      <w:pPr>
        <w:spacing w:after="0" w:line="150" w:lineRule="exact"/>
        <w:rPr>
          <w:rFonts w:ascii="Times New Roman" w:cs="Times New Roman" w:eastAsia="Times New Roman" w:hAnsi="Times New Roman"/>
          <w:sz w:val="12"/>
          <w:szCs w:val="12"/>
          <w:color w:val="auto"/>
        </w:rPr>
      </w:pPr>
    </w:p>
    <w:p>
      <w:pPr>
        <w:ind w:left="1060" w:hanging="424"/>
        <w:spacing w:after="0" w:line="279" w:lineRule="auto"/>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consecutive time charter in respect of the Vessel for a term which exceeds, or which by virtue of any optional extension may exceed, twelve (12) months, or which would expire after the end of the Charter Period (except for the Initial Sub-Charter or as may be permitted under any Sub-Charter);</w:t>
      </w:r>
    </w:p>
    <w:p>
      <w:pPr>
        <w:spacing w:after="0" w:line="111"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de-activate or lay up the Vessel; or</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their rights under this Charter.</w:t>
      </w:r>
    </w:p>
    <w:p>
      <w:pPr>
        <w:spacing w:after="0" w:line="150" w:lineRule="exact"/>
        <w:rPr>
          <w:rFonts w:ascii="Times New Roman" w:cs="Times New Roman" w:eastAsia="Times New Roman" w:hAnsi="Times New Roman"/>
          <w:sz w:val="12"/>
          <w:szCs w:val="12"/>
          <w:color w:val="auto"/>
        </w:rPr>
      </w:pPr>
    </w:p>
    <w:p>
      <w:pPr>
        <w:ind w:left="640" w:hanging="436"/>
        <w:spacing w:after="0"/>
        <w:tabs>
          <w:tab w:leader="none" w:pos="640"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acknowledge that the Owners' consent to any sub-bareboat chartering may be subject (amongst other things) to the Owners being satisfied as to the intended flag during such sub-bareboat chartering.</w:t>
      </w:r>
    </w:p>
    <w:p>
      <w:pPr>
        <w:spacing w:after="0" w:line="150" w:lineRule="exact"/>
        <w:rPr>
          <w:rFonts w:ascii="Times New Roman" w:cs="Times New Roman" w:eastAsia="Times New Roman" w:hAnsi="Times New Roman"/>
          <w:sz w:val="12"/>
          <w:szCs w:val="12"/>
          <w:color w:val="auto"/>
        </w:rPr>
      </w:pPr>
    </w:p>
    <w:p>
      <w:pPr>
        <w:jc w:val="both"/>
        <w:ind w:left="640" w:hanging="436"/>
        <w:spacing w:after="0" w:line="257" w:lineRule="auto"/>
        <w:tabs>
          <w:tab w:leader="none" w:pos="640"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anything contained in this Clause 50, the Charterers shall only enter into a Sub-Charter which is for a purpose for which the Vessel is suited and with a Sub-Charterer who is not a Restricted Person and in each case, the Charterers shall assign to the Owners all their earnings arising out of and in connection with any Sub-Charter and, subject to the Charterers' Assignment, all their rights and interest of any Sub-charter (as such term is defined in the Charterers' Assignment) upon such terms and conditions as the Owners may require and the Charterers shall serve a notice on any Sub-Charterer (subject to the Charterers' Assignment) and shall use reasonable commercial endeavors to obtain a written acknowledgement of such earnings assignment from such Sub-Charterer in such form as is required in good faith by the Owners or any Finance Party (as the case may be).</w:t>
      </w:r>
    </w:p>
    <w:p>
      <w:pPr>
        <w:spacing w:after="0" w:line="125" w:lineRule="exact"/>
        <w:rPr>
          <w:rFonts w:ascii="Times New Roman" w:cs="Times New Roman" w:eastAsia="Times New Roman" w:hAnsi="Times New Roman"/>
          <w:sz w:val="12"/>
          <w:szCs w:val="12"/>
          <w:color w:val="auto"/>
        </w:rPr>
      </w:pPr>
    </w:p>
    <w:p>
      <w:pPr>
        <w:ind w:left="640" w:hanging="436"/>
        <w:spacing w:after="0"/>
        <w:tabs>
          <w:tab w:leader="none" w:pos="640"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paragraph (c) above, the Vessel shall not be employed, operated or managed in any manner which:</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contrary to any Sanctions and in particular, the Vessel shall not be used by or to benefit any party which is a target of Sanctions and/or is a Restricted Person or trade to any Restricted Country;</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result or reasonably be expected to result in any Obligor, the Sub-Charterers, or the Owners becoming a Restricted Person; or</w:t>
      </w:r>
    </w:p>
    <w:p>
      <w:pPr>
        <w:spacing w:after="0" w:line="150" w:lineRule="exact"/>
        <w:rPr>
          <w:rFonts w:ascii="Times New Roman" w:cs="Times New Roman" w:eastAsia="Times New Roman" w:hAnsi="Times New Roman"/>
          <w:sz w:val="12"/>
          <w:szCs w:val="12"/>
          <w:color w:val="auto"/>
        </w:rPr>
      </w:pPr>
    </w:p>
    <w:p>
      <w:pPr>
        <w:ind w:left="1060" w:hanging="424"/>
        <w:spacing w:after="0"/>
        <w:tabs>
          <w:tab w:leader="none" w:pos="1060" w:val="left"/>
        </w:tabs>
        <w:numPr>
          <w:ilvl w:val="2"/>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would trigger the operation of any Sanctions limitation or exclusion clause in any insurance documentation.</w:t>
      </w:r>
    </w:p>
    <w:p>
      <w:pPr>
        <w:spacing w:after="0" w:line="150" w:lineRule="exact"/>
        <w:rPr>
          <w:rFonts w:ascii="Times New Roman" w:cs="Times New Roman" w:eastAsia="Times New Roman" w:hAnsi="Times New Roman"/>
          <w:sz w:val="12"/>
          <w:szCs w:val="12"/>
          <w:color w:val="auto"/>
        </w:rPr>
      </w:pPr>
    </w:p>
    <w:p>
      <w:pPr>
        <w:ind w:left="640" w:hanging="436"/>
        <w:spacing w:after="0" w:line="279" w:lineRule="auto"/>
        <w:tabs>
          <w:tab w:leader="none" w:pos="640" w:val="left"/>
        </w:tabs>
        <w:numPr>
          <w:ilvl w:val="1"/>
          <w:numId w:val="5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Charterers' costs, provide the Owners with copies of the Vessel's contracts of employment (including contracts of employment entered into by the Sub-Charterer) and reasonable details relating to performance of such employment contracts every twelve (12) months from the Actual Delivery Date and from time to time, in each case, upon the Owners' written request.</w:t>
      </w:r>
    </w:p>
    <w:p>
      <w:pPr>
        <w:spacing w:after="0" w:line="111"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10795</wp:posOffset>
            </wp:positionV>
            <wp:extent cx="7178040" cy="571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80"/>
          </w:cols>
          <w:pgMar w:left="520" w:top="205" w:right="299" w:bottom="1440" w:gutter="0" w:footer="0" w:header="0"/>
        </w:sectPr>
      </w:pPr>
    </w:p>
    <w:bookmarkStart w:id="366" w:name="page367"/>
    <w:bookmarkEnd w:id="366"/>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80" w:hanging="431"/>
        <w:spacing w:after="0"/>
        <w:tabs>
          <w:tab w:leader="none" w:pos="480" w:val="left"/>
        </w:tabs>
        <w:numPr>
          <w:ilvl w:val="2"/>
          <w:numId w:val="54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Name of Vessel</w:t>
      </w:r>
    </w:p>
    <w:p>
      <w:pPr>
        <w:spacing w:after="0" w:line="138" w:lineRule="exact"/>
        <w:rPr>
          <w:rFonts w:ascii="Times New Roman" w:cs="Times New Roman" w:eastAsia="Times New Roman" w:hAnsi="Times New Roman"/>
          <w:sz w:val="12"/>
          <w:szCs w:val="12"/>
          <w:b w:val="1"/>
          <w:bCs w:val="1"/>
          <w:color w:val="auto"/>
        </w:rPr>
      </w:pPr>
    </w:p>
    <w:p>
      <w:pPr>
        <w:ind w:left="400" w:hanging="396"/>
        <w:spacing w:after="0"/>
        <w:tabs>
          <w:tab w:leader="none" w:pos="400" w:val="left"/>
        </w:tabs>
        <w:numPr>
          <w:ilvl w:val="0"/>
          <w:numId w:val="5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the prior written consent has been given by the Owners (such approval not to be unreasonably withheld or delayed):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3"/>
          <w:numId w:val="5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 of the Vessel may be chosen by the Charterers;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3"/>
          <w:numId w:val="5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may be painted in the colours, display the funnel insignia and fly the house flag as required by the Charterers.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termination of this Charter (other than a Default Termination), the Charterers shall have the right to require the Owners to change the name of the Vessel so that the Charterers can use the name.</w:t>
      </w:r>
    </w:p>
    <w:p>
      <w:pPr>
        <w:spacing w:after="0" w:line="146" w:lineRule="exact"/>
        <w:rPr>
          <w:rFonts w:ascii="Times New Roman" w:cs="Times New Roman" w:eastAsia="Times New Roman" w:hAnsi="Times New Roman"/>
          <w:sz w:val="12"/>
          <w:szCs w:val="12"/>
          <w:color w:val="auto"/>
        </w:rPr>
      </w:pPr>
    </w:p>
    <w:p>
      <w:pPr>
        <w:ind w:left="460" w:hanging="429"/>
        <w:spacing w:after="0"/>
        <w:tabs>
          <w:tab w:leader="none" w:pos="460" w:val="left"/>
        </w:tabs>
        <w:numPr>
          <w:ilvl w:val="1"/>
          <w:numId w:val="54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Transfer of title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Purchase option</w:t>
      </w:r>
    </w:p>
    <w:p>
      <w:pPr>
        <w:spacing w:after="0" w:line="147" w:lineRule="exact"/>
        <w:rPr>
          <w:sz w:val="20"/>
          <w:szCs w:val="20"/>
          <w:color w:val="auto"/>
        </w:rPr>
      </w:pPr>
    </w:p>
    <w:p>
      <w:pPr>
        <w:ind w:left="440" w:hanging="436"/>
        <w:spacing w:after="0" w:line="206" w:lineRule="auto"/>
        <w:tabs>
          <w:tab w:leader="none" w:pos="440" w:val="left"/>
        </w:tabs>
        <w:numPr>
          <w:ilvl w:val="0"/>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from the date falling after and including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 have the option to elect to purchase the Vessel from the Owners for the Purchase Option Price on the Purchase Option Date, subject to satisfaction of the following conditions:</w:t>
      </w:r>
    </w:p>
    <w:p>
      <w:pPr>
        <w:spacing w:after="0" w:line="133"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have notified the Owners by serving an irrevocable written notice at least forty-five (45) days prior to the proposed Purchase Option Date of the Charterers' intention to exercise the option to purchase the Vessel on a Purchase Option Date (the "</w:t>
      </w:r>
      <w:r>
        <w:rPr>
          <w:rFonts w:ascii="Times New Roman" w:cs="Times New Roman" w:eastAsia="Times New Roman" w:hAnsi="Times New Roman"/>
          <w:sz w:val="12"/>
          <w:szCs w:val="12"/>
          <w:b w:val="1"/>
          <w:bCs w:val="1"/>
          <w:color w:val="auto"/>
        </w:rPr>
        <w:t>Purchase Option Notice</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Purchase Option Date is a Hire Payment Date falling on or after the 3</w:t>
      </w:r>
      <w:r>
        <w:rPr>
          <w:rFonts w:ascii="Times New Roman" w:cs="Times New Roman" w:eastAsia="Times New Roman" w:hAnsi="Times New Roman"/>
          <w:sz w:val="19"/>
          <w:szCs w:val="19"/>
          <w:color w:val="auto"/>
          <w:vertAlign w:val="superscript"/>
        </w:rPr>
        <w:t>rd</w:t>
      </w:r>
      <w:r>
        <w:rPr>
          <w:rFonts w:ascii="Times New Roman" w:cs="Times New Roman" w:eastAsia="Times New Roman" w:hAnsi="Times New Roman"/>
          <w:sz w:val="12"/>
          <w:szCs w:val="12"/>
          <w:color w:val="auto"/>
        </w:rPr>
        <w:t xml:space="preserve"> Anniversary;</w:t>
      </w:r>
    </w:p>
    <w:p>
      <w:pPr>
        <w:spacing w:after="0" w:line="74"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Total Loss having occurred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Termination Event having occurred and which is continuing or would occur as a result of such early termination.</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5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Purchase Option Notice, once given, shall be irrevocable and, unless with the Owners approve otherwise in writing, the Charterers shall have absolute obligation to pay the Purchase Option Price on the declared Purchase Option Date. Upon receipt of full payment of the Purchase Option Price on the Purchase Option Date, the Owners shall arrange for the title of the Vessel to be transferred to the Charterers in accordance with paragraphs (d) to (h) below.</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Purchase obligation</w:t>
      </w:r>
    </w:p>
    <w:p>
      <w:pPr>
        <w:spacing w:after="0" w:line="154" w:lineRule="exact"/>
        <w:rPr>
          <w:sz w:val="20"/>
          <w:szCs w:val="20"/>
          <w:color w:val="auto"/>
        </w:rPr>
      </w:pPr>
    </w:p>
    <w:p>
      <w:pPr>
        <w:jc w:val="both"/>
        <w:ind w:left="440" w:hanging="436"/>
        <w:spacing w:after="0" w:line="265" w:lineRule="auto"/>
        <w:tabs>
          <w:tab w:leader="none" w:pos="440" w:val="left"/>
        </w:tabs>
        <w:numPr>
          <w:ilvl w:val="0"/>
          <w:numId w:val="5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the Charterers do not exercise the option to purchase the Vessel prior to the expiry of the Charter Period in accordance with the preceding provisions of this Clause 52, the Charterers shall be obligated to pay the Purchase Obligation Price and purchase the Vessel from the Owners on the last day of the Charter Period in accordance with paragraphs (d) to (h) below against the full payment of the Purchase Obligation Price and all other amounts payable to the Owners under the Transaction Documents.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Transfer of title</w:t>
      </w:r>
    </w:p>
    <w:p>
      <w:pPr>
        <w:spacing w:after="0" w:line="154" w:lineRule="exact"/>
        <w:rPr>
          <w:sz w:val="20"/>
          <w:szCs w:val="20"/>
          <w:color w:val="auto"/>
        </w:rPr>
      </w:pPr>
    </w:p>
    <w:p>
      <w:pPr>
        <w:ind w:left="860" w:hanging="856"/>
        <w:spacing w:after="0"/>
        <w:tabs>
          <w:tab w:leader="none" w:pos="860" w:val="left"/>
        </w:tabs>
        <w:numPr>
          <w:ilvl w:val="0"/>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(as and where applicable) upon the Owners’ receipt in full of the Termination Sum, or</w:t>
      </w:r>
    </w:p>
    <w:p>
      <w:pPr>
        <w:spacing w:after="0" w:line="150" w:lineRule="exact"/>
        <w:rPr>
          <w:rFonts w:ascii="Times New Roman" w:cs="Times New Roman" w:eastAsia="Times New Roman" w:hAnsi="Times New Roman"/>
          <w:sz w:val="12"/>
          <w:szCs w:val="12"/>
          <w:color w:val="auto"/>
        </w:rPr>
      </w:pPr>
    </w:p>
    <w:p>
      <w:pPr>
        <w:ind w:left="860" w:right="20" w:hanging="424"/>
        <w:spacing w:after="0" w:line="279" w:lineRule="auto"/>
        <w:tabs>
          <w:tab w:leader="none" w:pos="860" w:val="left"/>
        </w:tabs>
        <w:numPr>
          <w:ilvl w:val="1"/>
          <w:numId w:val="5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absence of a Termination Event) upon (i) the Owners’ receipt of the full payment of the Purchase Option Price on the Purchase Option Date or (ii) full payment of the Purchase Obligation Price on the last day of the Charter Period,</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67" w:name="page368"/>
    <w:bookmarkEnd w:id="36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jc w:val="both"/>
        <w:ind w:left="440"/>
        <w:spacing w:after="0" w:line="279" w:lineRule="auto"/>
        <w:rPr>
          <w:sz w:val="20"/>
          <w:szCs w:val="20"/>
          <w:color w:val="auto"/>
        </w:rPr>
      </w:pPr>
      <w:r>
        <w:rPr>
          <w:rFonts w:ascii="Times New Roman" w:cs="Times New Roman" w:eastAsia="Times New Roman" w:hAnsi="Times New Roman"/>
          <w:sz w:val="12"/>
          <w:szCs w:val="12"/>
          <w:color w:val="auto"/>
        </w:rPr>
        <w:t>and subject to payment of all Unpaid Sum under the Transaction Documents and Unpaid Sum (as such terms is defined in each Related Charter) under the Related Transaction Documents and the Charterers’ compliance with the other terms and conditions set out in this Clause, the Owners shall do the following:</w:t>
      </w:r>
    </w:p>
    <w:p>
      <w:pPr>
        <w:spacing w:after="0" w:line="111" w:lineRule="exact"/>
        <w:rPr>
          <w:sz w:val="20"/>
          <w:szCs w:val="20"/>
          <w:color w:val="auto"/>
        </w:rPr>
      </w:pPr>
    </w:p>
    <w:p>
      <w:pPr>
        <w:ind w:left="860" w:hanging="424"/>
        <w:spacing w:after="0"/>
        <w:tabs>
          <w:tab w:leader="none" w:pos="860"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the title to and ownership of the Vessel to the Charterers by delivering to the Charterers (in each case at the Charterers' costs):</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and acknowledged, notarised, legalised and/or apostilled (each to the extent compulsorily required by the Charterers' nominated flag state and as applicable) bill of sale; and</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Title Transfer PDA and such other documents as the Charterers may in good faith require to register the Vessel in their name;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5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procure the deletion of any mortgage or prior Encumbrance created by the Owners in relation to the Vessel at the Charterers' cost and provide a copy of the Vessel's certificate of ownership and encumbrance from the registries dated the date of delivery evidencing that the Vessel is free from registered encumbrances and mortgages,</w:t>
      </w:r>
    </w:p>
    <w:p>
      <w:pPr>
        <w:spacing w:after="0" w:line="107" w:lineRule="exact"/>
        <w:rPr>
          <w:sz w:val="20"/>
          <w:szCs w:val="20"/>
          <w:color w:val="auto"/>
        </w:rPr>
      </w:pPr>
    </w:p>
    <w:p>
      <w:pPr>
        <w:jc w:val="both"/>
        <w:ind w:left="440"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provided always </w:t>
      </w:r>
      <w:r>
        <w:rPr>
          <w:rFonts w:ascii="Times New Roman" w:cs="Times New Roman" w:eastAsia="Times New Roman" w:hAnsi="Times New Roman"/>
          <w:sz w:val="12"/>
          <w:szCs w:val="12"/>
          <w:color w:val="auto"/>
        </w:rPr>
        <w:t>that prior to such transfer or deletion (as the case may be), the Owners shall have received the letter of indemnity as referred to in paragraph (g) below from the Charterers and the Charter Guarantor,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and the Charterers shall have performed all their obligations in connection herewith and with the Vessel, including without limitation the full payment of all Unpaid Sums, Taxes, charges, duties, costs and disbursements (including reasonable and documented legal fees) in relation to the Vessel.</w:t>
      </w:r>
    </w:p>
    <w:p>
      <w:pPr>
        <w:spacing w:after="0" w:line="118" w:lineRule="exact"/>
        <w:rPr>
          <w:sz w:val="20"/>
          <w:szCs w:val="20"/>
          <w:color w:val="auto"/>
        </w:rPr>
      </w:pPr>
    </w:p>
    <w:p>
      <w:pPr>
        <w:jc w:val="both"/>
        <w:ind w:left="440" w:hanging="436"/>
        <w:spacing w:after="0" w:line="265" w:lineRule="auto"/>
        <w:tabs>
          <w:tab w:leader="none" w:pos="440"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in accordance with paragraph (d) above shall be made in all respects at the Charterers' expense on an "as is, where is" basis and the Owners shall give the Charterers no representations, warranties, agreements or guarantees whatsoever concerning or in connection with the Vessel, the Insurances, the Vessel's condition, state or class or anything related to the Vessel, expressed or implied, statutory or otherwise save that the Vessel is free of mortgages, liens and encumbrances created by the Owners.</w:t>
      </w:r>
    </w:p>
    <w:p>
      <w:pPr>
        <w:spacing w:after="0" w:line="118"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shall have no responsibility for the registrability of a bill of sale referred to in paragraph (d) above executed by the Owners, as far as such bill of sale is prescribed in forms generally acceptable to the Vessel's registry at the date of execution of such bill of sale.</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prior to the receipt of the bill of sale referred to in paragraph (d) above, furnish the Owners with a letter of indemnity (in a form satisfactory to the Owners in good faith and with a validity period not less than 12 months from delivery of the Vessel evidenced by the duly executed Title Transfer PDA) duly executed by the Charter Guarantor whereby the Charter Guarantor shall state that, among other things, the Owners have and will have no interest, concern or connection with the Vessel after the date of such letter and that the Charter Guarantor shall indemnify the Owners and keep the Owners indemnified against any claims made by any person arising in connection with the Vessel.</w:t>
      </w:r>
    </w:p>
    <w:p>
      <w:pPr>
        <w:spacing w:after="0" w:line="12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chartering of the Vessel is terminated in accordance with this Clause 52, the obligation of the Charterers to pay the Hire shall cease once the Charterers have paid the relevant Purchase Option Price, Purchase Obligation Price, or the Termination Sum (as applicable) and any other sums payable by the Charterers to the Owners as required hereunder.</w:t>
      </w:r>
    </w:p>
    <w:p>
      <w:pPr>
        <w:spacing w:after="0" w:line="3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68" w:name="page369"/>
    <w:bookmarkEnd w:id="36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Early Prepayment Event</w:t>
      </w:r>
    </w:p>
    <w:p>
      <w:pPr>
        <w:spacing w:after="0" w:line="154" w:lineRule="exact"/>
        <w:rPr>
          <w:sz w:val="20"/>
          <w:szCs w:val="20"/>
          <w:color w:val="auto"/>
        </w:rPr>
      </w:pPr>
    </w:p>
    <w:p>
      <w:pPr>
        <w:ind w:left="440" w:hanging="436"/>
        <w:spacing w:after="0"/>
        <w:tabs>
          <w:tab w:leader="none" w:pos="440" w:val="left"/>
        </w:tabs>
        <w:numPr>
          <w:ilvl w:val="0"/>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at any time during the Agreement Term, a Charter Guarantor Change of Control Event occurs, then:</w:t>
      </w:r>
    </w:p>
    <w:p>
      <w:pPr>
        <w:spacing w:after="0" w:line="150"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immediately notify the Owners;</w:t>
      </w:r>
    </w:p>
    <w:p>
      <w:pPr>
        <w:spacing w:after="0" w:line="148" w:lineRule="exact"/>
        <w:rPr>
          <w:rFonts w:ascii="Times New Roman" w:cs="Times New Roman" w:eastAsia="Times New Roman" w:hAnsi="Times New Roman"/>
          <w:sz w:val="12"/>
          <w:szCs w:val="12"/>
          <w:color w:val="auto"/>
        </w:rPr>
      </w:pPr>
    </w:p>
    <w:p>
      <w:pPr>
        <w:jc w:val="both"/>
        <w:ind w:left="840" w:hanging="431"/>
        <w:spacing w:after="0" w:line="261" w:lineRule="auto"/>
        <w:tabs>
          <w:tab w:leader="none" w:pos="840" w:val="left"/>
        </w:tabs>
        <w:numPr>
          <w:ilvl w:val="1"/>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no Total Loss under Clause 53 (</w:t>
      </w:r>
      <w:r>
        <w:rPr>
          <w:rFonts w:ascii="Times New Roman" w:cs="Times New Roman" w:eastAsia="Times New Roman" w:hAnsi="Times New Roman"/>
          <w:sz w:val="12"/>
          <w:szCs w:val="12"/>
          <w:i w:val="1"/>
          <w:iCs w:val="1"/>
          <w:color w:val="auto"/>
        </w:rPr>
        <w:t>Total Loss</w:t>
      </w:r>
      <w:r>
        <w:rPr>
          <w:rFonts w:ascii="Times New Roman" w:cs="Times New Roman" w:eastAsia="Times New Roman" w:hAnsi="Times New Roman"/>
          <w:sz w:val="12"/>
          <w:szCs w:val="12"/>
          <w:color w:val="auto"/>
        </w:rPr>
        <w:t>) having occurred and no Termination Event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 having occurred and being continuing, and regardless of whether the notice referred to in paragraph (A) above has been received by the Owners, the Owners may (but shall not be obliged to) notify the Charterers of its intention to terminate the Charter and require the transfer of title to the Vessel from the Owners to the Charterers in exchange for payment by the Charterers to the Owners of the Termination Sum within 15 days from receipt of such Owners’ notification or on such later date specified by the Owners in writing; and</w:t>
      </w:r>
    </w:p>
    <w:p>
      <w:pPr>
        <w:spacing w:after="0" w:line="121" w:lineRule="exact"/>
        <w:rPr>
          <w:rFonts w:ascii="Times New Roman" w:cs="Times New Roman" w:eastAsia="Times New Roman" w:hAnsi="Times New Roman"/>
          <w:sz w:val="12"/>
          <w:szCs w:val="12"/>
          <w:color w:val="auto"/>
        </w:rPr>
      </w:pPr>
    </w:p>
    <w:p>
      <w:pPr>
        <w:ind w:left="840" w:hanging="431"/>
        <w:spacing w:after="0"/>
        <w:tabs>
          <w:tab w:leader="none" w:pos="840" w:val="left"/>
        </w:tabs>
        <w:numPr>
          <w:ilvl w:val="1"/>
          <w:numId w:val="5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the Termination Sum pursuant to the above.</w:t>
      </w:r>
    </w:p>
    <w:p>
      <w:pPr>
        <w:spacing w:after="0" w:line="150" w:lineRule="exact"/>
        <w:rPr>
          <w:sz w:val="20"/>
          <w:szCs w:val="20"/>
          <w:color w:val="auto"/>
        </w:rPr>
      </w:pPr>
    </w:p>
    <w:p>
      <w:pPr>
        <w:ind w:left="440" w:right="20"/>
        <w:spacing w:after="0" w:line="279" w:lineRule="auto"/>
        <w:rPr>
          <w:sz w:val="20"/>
          <w:szCs w:val="20"/>
          <w:color w:val="auto"/>
        </w:rPr>
      </w:pPr>
      <w:r>
        <w:rPr>
          <w:rFonts w:ascii="Times New Roman" w:cs="Times New Roman" w:eastAsia="Times New Roman" w:hAnsi="Times New Roman"/>
          <w:sz w:val="12"/>
          <w:szCs w:val="12"/>
          <w:color w:val="auto"/>
        </w:rPr>
        <w:t>For the avoidance of doubt, Hire shall in any event continue to be payable for the full period and this Charter shall otherwise continue to be in full force and effect until the Termination Sum has been received in full by the Owners.</w:t>
      </w:r>
    </w:p>
    <w:p>
      <w:pPr>
        <w:spacing w:after="0" w:line="107" w:lineRule="exact"/>
        <w:rPr>
          <w:sz w:val="20"/>
          <w:szCs w:val="20"/>
          <w:color w:val="auto"/>
        </w:rPr>
      </w:pPr>
    </w:p>
    <w:p>
      <w:pPr>
        <w:ind w:left="680" w:hanging="424"/>
        <w:spacing w:after="0"/>
        <w:tabs>
          <w:tab w:leader="none" w:pos="680" w:val="left"/>
        </w:tabs>
        <w:numPr>
          <w:ilvl w:val="1"/>
          <w:numId w:val="55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Total Loss</w:t>
      </w:r>
    </w:p>
    <w:p>
      <w:pPr>
        <w:spacing w:after="0" w:line="154" w:lineRule="exact"/>
        <w:rPr>
          <w:rFonts w:ascii="Times New Roman" w:cs="Times New Roman" w:eastAsia="Times New Roman" w:hAnsi="Times New Roman"/>
          <w:sz w:val="12"/>
          <w:szCs w:val="12"/>
          <w:b w:val="1"/>
          <w:bCs w:val="1"/>
          <w:color w:val="auto"/>
        </w:rPr>
      </w:pPr>
    </w:p>
    <w:p>
      <w:pPr>
        <w:jc w:val="both"/>
        <w:ind w:left="440" w:hanging="436"/>
        <w:spacing w:after="0" w:line="260" w:lineRule="auto"/>
        <w:tabs>
          <w:tab w:leader="none" w:pos="440"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circumstances exist giving rise to a Total Loss, the Charterers shall promptly notify the Owners of the facts of such Total Loss. If the Charterers wish to proceed on the basis of a Total Loss and advise the Owners thereof, the Owners shall agree to the Vessel being treated as a Total Loss for all purposes of this Charter. The Owners shall thereupon abandon the Vessel to the Charterers and/or execute such documents as may be required to enable the Charterers to abandon the Vessel to insurers and claim a Total Loss. Without prejudice to the obligations of the Charterers to pay to the Owners all monies then due or thereafter to become due under this Charter, if the Vessel shall become a Total Loss during the Charter Period, the Charter Period shall end on the Settlement Date.</w:t>
      </w:r>
    </w:p>
    <w:p>
      <w:pPr>
        <w:spacing w:after="0" w:line="12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Vessel becomes a Total Loss during the Charter Period, the Charterers shall, on the Settlement Date, pay to the Owners the amount calculated in accordance with paragraph (c) below.</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the Settlement Date, the Charterers shall pay to the Owners an amount equal to the Termination Sum as at the applicable Termination Payment Date. The foregoing obligations of the Charterers under this paragraph</w:t>
      </w:r>
    </w:p>
    <w:p>
      <w:pPr>
        <w:spacing w:after="0" w:line="28" w:lineRule="exact"/>
        <w:rPr>
          <w:rFonts w:ascii="Times New Roman" w:cs="Times New Roman" w:eastAsia="Times New Roman" w:hAnsi="Times New Roman"/>
          <w:sz w:val="11"/>
          <w:szCs w:val="11"/>
          <w:color w:val="auto"/>
        </w:rPr>
      </w:pPr>
    </w:p>
    <w:p>
      <w:pPr>
        <w:ind w:left="440"/>
        <w:spacing w:after="0" w:line="260" w:lineRule="auto"/>
        <w:rPr>
          <w:rFonts w:ascii="Times New Roman" w:cs="Times New Roman" w:eastAsia="Times New Roman" w:hAnsi="Times New Roman"/>
          <w:sz w:val="11"/>
          <w:szCs w:val="11"/>
          <w:color w:val="auto"/>
        </w:rPr>
      </w:pPr>
      <w:r>
        <w:rPr>
          <w:rFonts w:ascii="Times New Roman" w:cs="Times New Roman" w:eastAsia="Times New Roman" w:hAnsi="Times New Roman"/>
          <w:sz w:val="12"/>
          <w:szCs w:val="12"/>
          <w:color w:val="auto"/>
        </w:rPr>
        <w:t>(c) shall apply regardless of whether or not any moneys are payable under any Insurances in respect of the Vessel, regardless of the amount payable thereunder, regardless of the cause of the Total Loss and regardless of whether or not any of the said compensation shall become payable.</w:t>
      </w:r>
    </w:p>
    <w:p>
      <w:pPr>
        <w:spacing w:after="0" w:line="120" w:lineRule="exact"/>
        <w:rPr>
          <w:rFonts w:ascii="Times New Roman" w:cs="Times New Roman" w:eastAsia="Times New Roman" w:hAnsi="Times New Roman"/>
          <w:sz w:val="11"/>
          <w:szCs w:val="11"/>
          <w:color w:val="auto"/>
        </w:rPr>
      </w:pPr>
    </w:p>
    <w:p>
      <w:pPr>
        <w:ind w:left="440" w:hanging="436"/>
        <w:spacing w:after="0"/>
        <w:tabs>
          <w:tab w:leader="none" w:pos="440"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Total Loss Proceeds shall be paid to such account or accounts as the Owners may direct and shall be applied pursuant to Clause 4.2 (</w:t>
      </w:r>
      <w:r>
        <w:rPr>
          <w:rFonts w:ascii="Times New Roman" w:cs="Times New Roman" w:eastAsia="Times New Roman" w:hAnsi="Times New Roman"/>
          <w:sz w:val="12"/>
          <w:szCs w:val="12"/>
          <w:i w:val="1"/>
          <w:iCs w:val="1"/>
          <w:color w:val="auto"/>
        </w:rPr>
        <w:t>Application of Transaction Documents Proceeds</w:t>
      </w:r>
      <w:r>
        <w:rPr>
          <w:rFonts w:ascii="Times New Roman" w:cs="Times New Roman" w:eastAsia="Times New Roman" w:hAnsi="Times New Roman"/>
          <w:sz w:val="12"/>
          <w:szCs w:val="12"/>
          <w:color w:val="auto"/>
        </w:rPr>
        <w:t>) of the Security Trust Deed.</w:t>
      </w:r>
    </w:p>
    <w:p>
      <w:pPr>
        <w:spacing w:after="0" w:line="152"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at the Owners' request, provide satisfactory evidence, in the reasonable opinion of the Owners, as to the date on which the constructive total loss of the Vessel occurred pursuant to the definition of Total Loss.</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5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continue to pay Hire on the days and in the amounts required under this Charter notwithstanding that the Vessel shall become a Total Loss provided always that no further instalments of Hire shall become due and payable after the Charterers have made the payment pursuant to paragraph (c) above.</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69" w:name="page370"/>
    <w:bookmarkEnd w:id="369"/>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1" w:hanging="441"/>
        <w:spacing w:after="0"/>
        <w:tabs>
          <w:tab w:leader="none" w:pos="441" w:val="left"/>
        </w:tabs>
        <w:numPr>
          <w:ilvl w:val="0"/>
          <w:numId w:val="5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Appointment of Approved Manager</w:t>
      </w:r>
    </w:p>
    <w:p>
      <w:pPr>
        <w:spacing w:after="0" w:line="138" w:lineRule="exact"/>
        <w:rPr>
          <w:rFonts w:ascii="Times New Roman" w:cs="Times New Roman" w:eastAsia="Times New Roman" w:hAnsi="Times New Roman"/>
          <w:sz w:val="12"/>
          <w:szCs w:val="12"/>
          <w:b w:val="1"/>
          <w:bCs w:val="1"/>
          <w:color w:val="auto"/>
        </w:rPr>
      </w:pPr>
    </w:p>
    <w:p>
      <w:pPr>
        <w:ind w:left="661" w:right="20" w:hanging="436"/>
        <w:spacing w:after="0" w:line="279" w:lineRule="auto"/>
        <w:tabs>
          <w:tab w:leader="none" w:pos="66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and shall procure the Approved Managers will not appoint anyone other than the Approved Managers as managers or sub-manager of the Vessel without the prior written consent of the Owners (such consent not to be unreasonably withheld or delayed).</w:t>
      </w:r>
    </w:p>
    <w:p>
      <w:pPr>
        <w:spacing w:after="0" w:line="111" w:lineRule="exact"/>
        <w:rPr>
          <w:rFonts w:ascii="Times New Roman" w:cs="Times New Roman" w:eastAsia="Times New Roman" w:hAnsi="Times New Roman"/>
          <w:sz w:val="12"/>
          <w:szCs w:val="12"/>
          <w:color w:val="auto"/>
        </w:rPr>
      </w:pPr>
    </w:p>
    <w:p>
      <w:pPr>
        <w:ind w:left="661" w:hanging="436"/>
        <w:spacing w:after="0"/>
        <w:tabs>
          <w:tab w:leader="none" w:pos="66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ensure that the Vessel is at all times managed by the Approved Managers pursuant to the Ship Management Agreements as approved by the Owners in writing in advance.</w:t>
      </w:r>
    </w:p>
    <w:p>
      <w:pPr>
        <w:spacing w:after="0" w:line="150" w:lineRule="exact"/>
        <w:rPr>
          <w:rFonts w:ascii="Times New Roman" w:cs="Times New Roman" w:eastAsia="Times New Roman" w:hAnsi="Times New Roman"/>
          <w:sz w:val="12"/>
          <w:szCs w:val="12"/>
          <w:color w:val="auto"/>
        </w:rPr>
      </w:pPr>
    </w:p>
    <w:p>
      <w:pPr>
        <w:jc w:val="both"/>
        <w:ind w:left="661" w:hanging="436"/>
        <w:spacing w:after="0" w:line="265" w:lineRule="auto"/>
        <w:tabs>
          <w:tab w:leader="none" w:pos="66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Managers shall provide a Manager's Undertaking (in such form as the Owners may reasonably require) and, unless the Owners approve otherwise, the Manager's Undertaking shall in express terms confirm and undertake (among other things) that all claims of the Approved Managers against the Charterers (other than any Permitted Credit as such term is defined in the relevant Manager's Undertakings) shall be subordinated to the claims of the Owners under the Transaction Documents.</w:t>
      </w:r>
    </w:p>
    <w:p>
      <w:pPr>
        <w:spacing w:after="0" w:line="118"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occurrence of a Termination Event and while the same is continuing, the Owners reserves the right to appoint such other ship management company as replacement for any Approved Manager which the Charterers may appoint.</w:t>
      </w:r>
    </w:p>
    <w:p>
      <w:pPr>
        <w:spacing w:after="0" w:line="107" w:lineRule="exact"/>
        <w:rPr>
          <w:rFonts w:ascii="Times New Roman" w:cs="Times New Roman" w:eastAsia="Times New Roman" w:hAnsi="Times New Roman"/>
          <w:sz w:val="12"/>
          <w:szCs w:val="12"/>
          <w:color w:val="auto"/>
        </w:rPr>
      </w:pPr>
    </w:p>
    <w:p>
      <w:pPr>
        <w:ind w:left="621" w:hanging="423"/>
        <w:spacing w:after="0"/>
        <w:tabs>
          <w:tab w:leader="none" w:pos="621" w:val="left"/>
        </w:tabs>
        <w:numPr>
          <w:ilvl w:val="1"/>
          <w:numId w:val="55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Fees and expenses</w:t>
      </w:r>
    </w:p>
    <w:p>
      <w:pPr>
        <w:spacing w:after="0" w:line="154" w:lineRule="exact"/>
        <w:rPr>
          <w:rFonts w:ascii="Times New Roman" w:cs="Times New Roman" w:eastAsia="Times New Roman" w:hAnsi="Times New Roman"/>
          <w:sz w:val="12"/>
          <w:szCs w:val="12"/>
          <w:b w:val="1"/>
          <w:bCs w:val="1"/>
          <w:color w:val="auto"/>
        </w:rPr>
      </w:pPr>
    </w:p>
    <w:p>
      <w:pPr>
        <w:ind w:left="641" w:hanging="425"/>
        <w:spacing w:after="0" w:line="279" w:lineRule="auto"/>
        <w:tabs>
          <w:tab w:leader="none" w:pos="64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upon signing of this Charter, the Charterers shall pay to the Owners a non-refundable arrangement fee in an amount of US$445,000 (Dollars Four Hundred Forty Five Thousand only), which equals to one percent (1%) of the Original Principle (the "</w:t>
      </w:r>
      <w:r>
        <w:rPr>
          <w:rFonts w:ascii="Times New Roman" w:cs="Times New Roman" w:eastAsia="Times New Roman" w:hAnsi="Times New Roman"/>
          <w:sz w:val="12"/>
          <w:szCs w:val="12"/>
          <w:b w:val="1"/>
          <w:bCs w:val="1"/>
          <w:color w:val="auto"/>
        </w:rPr>
        <w:t>Arrangement Fee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641" w:hanging="416"/>
        <w:spacing w:after="0"/>
        <w:tabs>
          <w:tab w:leader="none" w:pos="64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bear all costs, fees (including documented legal fees) and disbursements reasonably incurred by the Owners and the Charterers in connection with:</w:t>
      </w:r>
    </w:p>
    <w:p>
      <w:pPr>
        <w:spacing w:after="0" w:line="150" w:lineRule="exact"/>
        <w:rPr>
          <w:rFonts w:ascii="Times New Roman" w:cs="Times New Roman" w:eastAsia="Times New Roman" w:hAnsi="Times New Roman"/>
          <w:sz w:val="12"/>
          <w:szCs w:val="12"/>
          <w:color w:val="auto"/>
        </w:rPr>
      </w:pPr>
    </w:p>
    <w:p>
      <w:pPr>
        <w:ind w:left="1061" w:hanging="404"/>
        <w:spacing w:after="0" w:line="279" w:lineRule="auto"/>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preparation and execution of this Charter and the other Transaction Documents or any Related Transaction Documents (in respect of the Related Charter listed in Schedule 3 hereto) and any amendment thereto (in an aggregate amount not exceeding US$100,000);</w:t>
      </w:r>
    </w:p>
    <w:p>
      <w:pPr>
        <w:spacing w:after="0" w:line="111"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delivery of the Vessel under the MOA and this Charter, including, without limitation, the Registration Costs, the initial and annual registration fees and tonnage tax payable to the relevant ship registry;</w:t>
      </w:r>
    </w:p>
    <w:p>
      <w:pPr>
        <w:spacing w:after="0" w:line="150"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remaining terms of this Charter, preparation or procurement of any survey, inspection, Valuation Report, tax or insurance advice;</w:t>
      </w:r>
    </w:p>
    <w:p>
      <w:pPr>
        <w:spacing w:after="0" w:line="148"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exercising their purchase option right pursuant to Clause 52 (</w:t>
      </w:r>
      <w:r>
        <w:rPr>
          <w:rFonts w:ascii="Times New Roman" w:cs="Times New Roman" w:eastAsia="Times New Roman" w:hAnsi="Times New Roman"/>
          <w:sz w:val="12"/>
          <w:szCs w:val="12"/>
          <w:i w:val="1"/>
          <w:iCs w:val="1"/>
          <w:color w:val="auto"/>
        </w:rPr>
        <w:t>Transfer of title</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activities relevant to the transaction contemplated herein, subject to any terms which may be agreed between the Owners and the Charterers in relation to any fees.</w:t>
      </w:r>
    </w:p>
    <w:p>
      <w:pPr>
        <w:spacing w:after="0" w:line="150" w:lineRule="exact"/>
        <w:rPr>
          <w:rFonts w:ascii="Times New Roman" w:cs="Times New Roman" w:eastAsia="Times New Roman" w:hAnsi="Times New Roman"/>
          <w:sz w:val="12"/>
          <w:szCs w:val="12"/>
          <w:color w:val="auto"/>
        </w:rPr>
      </w:pPr>
    </w:p>
    <w:p>
      <w:pPr>
        <w:ind w:left="641" w:hanging="416"/>
        <w:spacing w:after="0"/>
        <w:tabs>
          <w:tab w:leader="none" w:pos="641" w:val="left"/>
        </w:tabs>
        <w:numPr>
          <w:ilvl w:val="2"/>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w:t>
      </w:r>
    </w:p>
    <w:p>
      <w:pPr>
        <w:spacing w:after="0" w:line="150" w:lineRule="exact"/>
        <w:rPr>
          <w:rFonts w:ascii="Times New Roman" w:cs="Times New Roman" w:eastAsia="Times New Roman" w:hAnsi="Times New Roman"/>
          <w:sz w:val="12"/>
          <w:szCs w:val="12"/>
          <w:color w:val="auto"/>
        </w:rPr>
      </w:pPr>
    </w:p>
    <w:p>
      <w:pPr>
        <w:ind w:left="1061" w:hanging="404"/>
        <w:spacing w:after="0"/>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any of the Delivery Costs from time to time; and</w:t>
      </w:r>
    </w:p>
    <w:p>
      <w:pPr>
        <w:spacing w:after="0" w:line="150" w:lineRule="exact"/>
        <w:rPr>
          <w:rFonts w:ascii="Times New Roman" w:cs="Times New Roman" w:eastAsia="Times New Roman" w:hAnsi="Times New Roman"/>
          <w:sz w:val="12"/>
          <w:szCs w:val="12"/>
          <w:color w:val="auto"/>
        </w:rPr>
      </w:pPr>
    </w:p>
    <w:p>
      <w:pPr>
        <w:ind w:left="1061" w:hanging="404"/>
        <w:spacing w:after="0" w:line="279" w:lineRule="auto"/>
        <w:tabs>
          <w:tab w:leader="none" w:pos="1061" w:val="left"/>
        </w:tabs>
        <w:numPr>
          <w:ilvl w:val="3"/>
          <w:numId w:val="5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to the Owners or to its order promptly on the Owners' written demand the amount of all costs and expenses (including legal fees) incurred by the Owners in connection with the enforcement of, or the preservation of any rights under, any Transaction Document.</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10795</wp:posOffset>
            </wp:positionV>
            <wp:extent cx="7178040"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1"/>
          </w:cols>
          <w:pgMar w:left="499" w:top="205" w:right="299" w:bottom="1440" w:gutter="0" w:footer="0" w:header="0"/>
        </w:sectPr>
      </w:pPr>
    </w:p>
    <w:bookmarkStart w:id="370" w:name="page371"/>
    <w:bookmarkEnd w:id="370"/>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500" w:hanging="442"/>
        <w:spacing w:after="0"/>
        <w:tabs>
          <w:tab w:leader="none" w:pos="500" w:val="left"/>
        </w:tabs>
        <w:numPr>
          <w:ilvl w:val="0"/>
          <w:numId w:val="5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Stamp duties and Taxes</w:t>
      </w:r>
    </w:p>
    <w:p>
      <w:pPr>
        <w:spacing w:after="0" w:line="138" w:lineRule="exact"/>
        <w:rPr>
          <w:sz w:val="20"/>
          <w:szCs w:val="20"/>
          <w:color w:val="auto"/>
        </w:rPr>
      </w:pPr>
    </w:p>
    <w:p>
      <w:pPr>
        <w:jc w:val="both"/>
        <w:ind w:left="180"/>
        <w:spacing w:after="0" w:line="265" w:lineRule="auto"/>
        <w:rPr>
          <w:sz w:val="20"/>
          <w:szCs w:val="20"/>
          <w:color w:val="auto"/>
        </w:rPr>
      </w:pPr>
      <w:r>
        <w:rPr>
          <w:rFonts w:ascii="Times New Roman" w:cs="Times New Roman" w:eastAsia="Times New Roman" w:hAnsi="Times New Roman"/>
          <w:sz w:val="12"/>
          <w:szCs w:val="12"/>
          <w:color w:val="auto"/>
        </w:rPr>
        <w:t>The Charterers shall pay promptly but in any event within ten (10) Business Days (or other period as may be agreed by both parties) of demand all stamp, documentary or other like duties and Taxes to which the Charter, the MOA and the other Transaction Documents may be subject or give rise and shall indemnify the Owners within ten (10) Business Days of demand against any and all liabilities directly arising with respect to or resulting from any delay on the part of the Charterers to pay such duties or Taxes.</w:t>
      </w:r>
    </w:p>
    <w:p>
      <w:pPr>
        <w:spacing w:after="0" w:line="115" w:lineRule="exact"/>
        <w:rPr>
          <w:sz w:val="20"/>
          <w:szCs w:val="20"/>
          <w:color w:val="auto"/>
        </w:rPr>
      </w:pPr>
    </w:p>
    <w:p>
      <w:pPr>
        <w:ind w:left="440" w:hanging="436"/>
        <w:spacing w:after="0"/>
        <w:tabs>
          <w:tab w:leader="none" w:pos="440" w:val="left"/>
        </w:tabs>
        <w:numPr>
          <w:ilvl w:val="0"/>
          <w:numId w:val="5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Operational notifiable events</w:t>
      </w:r>
    </w:p>
    <w:p>
      <w:pPr>
        <w:spacing w:after="0" w:line="154" w:lineRule="exact"/>
        <w:rPr>
          <w:rFonts w:ascii="Times New Roman" w:cs="Times New Roman" w:eastAsia="Times New Roman" w:hAnsi="Times New Roman"/>
          <w:sz w:val="12"/>
          <w:szCs w:val="12"/>
          <w:b w:val="1"/>
          <w:bCs w:val="1"/>
          <w:color w:val="auto"/>
        </w:rPr>
      </w:pPr>
    </w:p>
    <w:p>
      <w:pPr>
        <w:ind w:left="620" w:hanging="436"/>
        <w:spacing w:after="0"/>
        <w:tabs>
          <w:tab w:leader="none" w:pos="620" w:val="left"/>
        </w:tabs>
        <w:numPr>
          <w:ilvl w:val="2"/>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are to be advised as soon as possible after the occurrence of any of the following events:</w:t>
      </w:r>
    </w:p>
    <w:p>
      <w:pPr>
        <w:spacing w:after="0" w:line="150" w:lineRule="exact"/>
        <w:rPr>
          <w:rFonts w:ascii="Times New Roman" w:cs="Times New Roman" w:eastAsia="Times New Roman" w:hAnsi="Times New Roman"/>
          <w:sz w:val="12"/>
          <w:szCs w:val="12"/>
          <w:color w:val="auto"/>
        </w:rPr>
      </w:pPr>
    </w:p>
    <w:p>
      <w:pPr>
        <w:ind w:left="1020" w:hanging="404"/>
        <w:spacing w:after="0"/>
        <w:tabs>
          <w:tab w:leader="none" w:pos="102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a material condition of class is applied by the Classification Society which is not promptly complied with taking into account any applicable grace period;</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arrested, confiscated, seized, requisitioned, impounded, forfeited or detained by any government or other competent authorities or any other persons for a period of at least two (2) days;</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a class or flag authority refuses to issue or withdraw trading certification;</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 fire requiring the use of fixed fire systems or collision / grounding provided such events exceed the Threshold Amount;</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Vessel is planned for dry-docking, whether in accordance with Clause 10(g) (Part II) or any Sub-Charter and whether routine or emergency;</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event of any material alteration and/or damage to the Vessel in excess of the Threshold Amount;</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is taken under tow save for any routine towage (including when leaving or entering a port);</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death or serious injury on board; or</w:t>
      </w:r>
    </w:p>
    <w:p>
      <w:pPr>
        <w:spacing w:after="0" w:line="150" w:lineRule="exact"/>
        <w:rPr>
          <w:rFonts w:ascii="Times New Roman" w:cs="Times New Roman" w:eastAsia="Times New Roman" w:hAnsi="Times New Roman"/>
          <w:sz w:val="12"/>
          <w:szCs w:val="12"/>
          <w:color w:val="auto"/>
        </w:rPr>
      </w:pPr>
    </w:p>
    <w:p>
      <w:pPr>
        <w:ind w:left="1040" w:hanging="424"/>
        <w:spacing w:after="0"/>
        <w:tabs>
          <w:tab w:leader="none" w:pos="1040" w:val="left"/>
        </w:tabs>
        <w:numPr>
          <w:ilvl w:val="3"/>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Incident provided such incident has a Material Adverse Effect.</w:t>
      </w:r>
    </w:p>
    <w:p>
      <w:pPr>
        <w:spacing w:after="0" w:line="150" w:lineRule="exact"/>
        <w:rPr>
          <w:rFonts w:ascii="Times New Roman" w:cs="Times New Roman" w:eastAsia="Times New Roman" w:hAnsi="Times New Roman"/>
          <w:sz w:val="12"/>
          <w:szCs w:val="12"/>
          <w:color w:val="auto"/>
        </w:rPr>
      </w:pPr>
    </w:p>
    <w:p>
      <w:pPr>
        <w:ind w:left="620" w:hanging="436"/>
        <w:spacing w:after="0"/>
        <w:tabs>
          <w:tab w:leader="none" w:pos="620" w:val="left"/>
        </w:tabs>
        <w:numPr>
          <w:ilvl w:val="2"/>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upon the Owners' written request, supply to the Owners annual in-house full ship inspection report by the end of each calendar year.</w:t>
      </w:r>
    </w:p>
    <w:p>
      <w:pPr>
        <w:spacing w:after="0" w:line="146" w:lineRule="exact"/>
        <w:rPr>
          <w:rFonts w:ascii="Times New Roman" w:cs="Times New Roman" w:eastAsia="Times New Roman" w:hAnsi="Times New Roman"/>
          <w:sz w:val="12"/>
          <w:szCs w:val="12"/>
          <w:color w:val="auto"/>
        </w:rPr>
      </w:pPr>
    </w:p>
    <w:p>
      <w:pPr>
        <w:ind w:left="540" w:hanging="428"/>
        <w:spacing w:after="0"/>
        <w:tabs>
          <w:tab w:leader="none" w:pos="540" w:val="left"/>
        </w:tabs>
        <w:numPr>
          <w:ilvl w:val="1"/>
          <w:numId w:val="55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indemnities</w:t>
      </w:r>
    </w:p>
    <w:p>
      <w:pPr>
        <w:spacing w:after="0" w:line="152" w:lineRule="exact"/>
        <w:rPr>
          <w:rFonts w:ascii="Times New Roman" w:cs="Times New Roman" w:eastAsia="Times New Roman" w:hAnsi="Times New Roman"/>
          <w:sz w:val="12"/>
          <w:szCs w:val="12"/>
          <w:b w:val="1"/>
          <w:bCs w:val="1"/>
          <w:color w:val="auto"/>
        </w:rPr>
      </w:pPr>
    </w:p>
    <w:p>
      <w:pPr>
        <w:jc w:val="both"/>
        <w:ind w:left="620" w:hanging="436"/>
        <w:spacing w:after="0" w:line="257" w:lineRule="auto"/>
        <w:tabs>
          <w:tab w:leader="none" w:pos="620" w:val="left"/>
        </w:tabs>
        <w:numPr>
          <w:ilvl w:val="2"/>
          <w:numId w:val="5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of the transactions contemplated hereby are consummated, the Charterers shall, in addition to the provisions under Clause 17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(Part II) of this Charter, indemnify, protect, defend and hold harmless the Owners, the Security Trustee and the Finance Parties and their respective officers, directors, agents and employees (collectively, the "</w:t>
      </w:r>
      <w:r>
        <w:rPr>
          <w:rFonts w:ascii="Times New Roman" w:cs="Times New Roman" w:eastAsia="Times New Roman" w:hAnsi="Times New Roman"/>
          <w:sz w:val="12"/>
          <w:szCs w:val="12"/>
          <w:b w:val="1"/>
          <w:bCs w:val="1"/>
          <w:color w:val="auto"/>
        </w:rPr>
        <w:t>Indemnitees</w:t>
      </w:r>
      <w:r>
        <w:rPr>
          <w:rFonts w:ascii="Times New Roman" w:cs="Times New Roman" w:eastAsia="Times New Roman" w:hAnsi="Times New Roman"/>
          <w:sz w:val="12"/>
          <w:szCs w:val="12"/>
          <w:color w:val="auto"/>
        </w:rPr>
        <w:t>") (without duplication with any payment or insurance proceeds paid to the Indemnitees) throughout the Agreement Term from, against and in respect of, any and all liabilities, obligations, losses, damages, penalties, fines, documented fees, claims, actions, proceedings, judgement, order or other sanction, lien, salvage, general average, suits, documented costs, expenses and disbursements, including reasonable legal fees and expenses, of whatsoever kind and nature, other than taxes imposed on the overall gross income of the Indemnitees, (collectively, the "</w:t>
      </w:r>
      <w:r>
        <w:rPr>
          <w:rFonts w:ascii="Times New Roman" w:cs="Times New Roman" w:eastAsia="Times New Roman" w:hAnsi="Times New Roman"/>
          <w:sz w:val="12"/>
          <w:szCs w:val="12"/>
          <w:b w:val="1"/>
          <w:bCs w:val="1"/>
          <w:color w:val="auto"/>
        </w:rPr>
        <w:t>Expenses</w:t>
      </w:r>
      <w:r>
        <w:rPr>
          <w:rFonts w:ascii="Times New Roman" w:cs="Times New Roman" w:eastAsia="Times New Roman" w:hAnsi="Times New Roman"/>
          <w:sz w:val="12"/>
          <w:szCs w:val="12"/>
          <w:color w:val="auto"/>
        </w:rPr>
        <w:t>"), imposed on, suffered or incurred by or asserted against any Indemnitee, in any way relating to, resulting from or arising out of or in connection with, in each case, directly or indirectly, any one or more of the following:</w:t>
      </w:r>
    </w:p>
    <w:p>
      <w:pPr>
        <w:spacing w:after="0" w:line="123"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wp:posOffset>
            </wp:positionH>
            <wp:positionV relativeFrom="paragraph">
              <wp:posOffset>10795</wp:posOffset>
            </wp:positionV>
            <wp:extent cx="7178040" cy="571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60"/>
          </w:cols>
          <w:pgMar w:left="540" w:top="205" w:right="299" w:bottom="1440" w:gutter="0" w:footer="0" w:header="0"/>
        </w:sectPr>
      </w:pPr>
    </w:p>
    <w:bookmarkStart w:id="371" w:name="page372"/>
    <w:bookmarkEnd w:id="371"/>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24" w:hanging="424"/>
        <w:spacing w:after="0"/>
        <w:tabs>
          <w:tab w:leader="none" w:pos="424"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and any other Transaction Documents and any amendment, supplement or modification thereof or thereto pursuant to the terms of this Charter or requested by the Charterers;</w:t>
      </w:r>
    </w:p>
    <w:p>
      <w:pPr>
        <w:spacing w:after="0" w:line="138"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Vessel or any part thereof, including with respect to:</w:t>
      </w:r>
    </w:p>
    <w:p>
      <w:pPr>
        <w:spacing w:after="0" w:line="150" w:lineRule="exact"/>
        <w:rPr>
          <w:rFonts w:ascii="Times New Roman" w:cs="Times New Roman" w:eastAsia="Times New Roman" w:hAnsi="Times New Roman"/>
          <w:sz w:val="12"/>
          <w:szCs w:val="12"/>
          <w:color w:val="auto"/>
        </w:rPr>
      </w:pPr>
    </w:p>
    <w:p>
      <w:pPr>
        <w:jc w:val="both"/>
        <w:ind w:left="864" w:hanging="432"/>
        <w:spacing w:after="0" w:line="265" w:lineRule="auto"/>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manufacture, design, possession, use or non-use, operation, maintenance, testing, repair, overhaul, condition, alteration, modification, addition, improvement, storage, seaworthiness, replacement, repair of the Vessel or any part (including, in each case, latent or other defects, whether or not discoverable and any claim for patent, trademark, or copyright infringement and all liabilities, obligations, losses, damages and claims in any way relating to or arising out of spillage of cargo or fuel, out of injury to persons, properties or the environment or strict liability in tort);</w:t>
      </w:r>
    </w:p>
    <w:p>
      <w:pPr>
        <w:spacing w:after="0" w:line="11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or penalty arising out of violations of applicable law by the Charterers, the Sub-Charterers or any other sub-charterers;</w:t>
      </w:r>
    </w:p>
    <w:p>
      <w:pPr>
        <w:spacing w:after="0" w:line="150"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death or property damage of shippers or others;</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liens in respect of the Vessel or any part thereof including, without limitation, liens arising out of or in connection with any cargo claims (whether or not such claims arose prior to or during the Charter Period) but excluding any liens arising out of or in connection with a direct act or omission of the Owners;</w:t>
      </w:r>
    </w:p>
    <w:p>
      <w:pPr>
        <w:spacing w:after="0" w:line="111"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registration and/or tonnage fees (whether periodic or not) in respect of the Vessel payable to any registry of ships and any service fees payable to any service provider in relation to maintaining such registration at any registry of ships; or</w:t>
      </w:r>
    </w:p>
    <w:p>
      <w:pPr>
        <w:spacing w:after="0" w:line="111"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claims in relation to any loss or damage to cargo on board the Vessel during the Charter Period; or</w:t>
      </w:r>
    </w:p>
    <w:p>
      <w:pPr>
        <w:spacing w:after="0" w:line="150" w:lineRule="exact"/>
        <w:rPr>
          <w:rFonts w:ascii="Times New Roman" w:cs="Times New Roman" w:eastAsia="Times New Roman" w:hAnsi="Times New Roman"/>
          <w:sz w:val="12"/>
          <w:szCs w:val="12"/>
          <w:color w:val="auto"/>
        </w:rPr>
      </w:pPr>
    </w:p>
    <w:p>
      <w:pPr>
        <w:ind w:left="864" w:hanging="432"/>
        <w:spacing w:after="0" w:line="279" w:lineRule="auto"/>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expenses suffered or incurred by the Owners which arise under or in connection with any applicable Environmental Law or any applicable Sanctions or any claim or penalty arising out of Sanctions or violations of applicable law by any of the Obligors, or any Sub-charterers;</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breach of or failure to perform or observe, or any other non-compliance with, any covenant or agreement or other obligation to be performed by the Charterers under any Transaction Document to which it is a party or the falsity of any representation or warranty of the Charterers in any Transaction Document to which it is a party or the occurrence of any Termination Event;</w:t>
      </w:r>
    </w:p>
    <w:p>
      <w:pPr>
        <w:spacing w:after="0" w:line="111" w:lineRule="exact"/>
        <w:rPr>
          <w:rFonts w:ascii="Times New Roman" w:cs="Times New Roman" w:eastAsia="Times New Roman" w:hAnsi="Times New Roman"/>
          <w:sz w:val="12"/>
          <w:szCs w:val="12"/>
          <w:color w:val="auto"/>
        </w:rPr>
      </w:pPr>
    </w:p>
    <w:p>
      <w:pPr>
        <w:ind w:left="424" w:hanging="424"/>
        <w:spacing w:after="0" w:line="279" w:lineRule="auto"/>
        <w:tabs>
          <w:tab w:leader="none" w:pos="424"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preventing or attempting to prevent the arrest, confiscation, seizure, taking and execution, requisition, impounding, forfeiture or detention of the Vessel, or in securing or attempting to secure the release of the Vessel in connection with the exercise of the rights of a holder of a lien created by the Charterers;</w:t>
      </w:r>
    </w:p>
    <w:p>
      <w:pPr>
        <w:spacing w:after="0" w:line="111" w:lineRule="exact"/>
        <w:rPr>
          <w:rFonts w:ascii="Times New Roman" w:cs="Times New Roman" w:eastAsia="Times New Roman" w:hAnsi="Times New Roman"/>
          <w:sz w:val="12"/>
          <w:szCs w:val="12"/>
          <w:color w:val="auto"/>
        </w:rPr>
      </w:pPr>
    </w:p>
    <w:p>
      <w:pPr>
        <w:ind w:left="424" w:hanging="424"/>
        <w:spacing w:after="0"/>
        <w:tabs>
          <w:tab w:leader="none" w:pos="424" w:val="left"/>
        </w:tabs>
        <w:numPr>
          <w:ilvl w:val="0"/>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incurred or suffered by the Owners in:</w:t>
      </w:r>
    </w:p>
    <w:p>
      <w:pPr>
        <w:spacing w:after="0" w:line="148"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procuring the delivery of the Vessel to the Charterers under Clause 35 (</w:t>
      </w:r>
      <w:r>
        <w:rPr>
          <w:rFonts w:ascii="Times New Roman" w:cs="Times New Roman" w:eastAsia="Times New Roman" w:hAnsi="Times New Roman"/>
          <w:sz w:val="12"/>
          <w:szCs w:val="12"/>
          <w:i w:val="1"/>
          <w:iCs w:val="1"/>
          <w:color w:val="auto"/>
        </w:rPr>
        <w:t>Delivery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64" w:hanging="432"/>
        <w:spacing w:after="0"/>
        <w:tabs>
          <w:tab w:leader="none" w:pos="864" w:val="left"/>
        </w:tabs>
        <w:numPr>
          <w:ilvl w:val="1"/>
          <w:numId w:val="5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non-delivery to or acceptance by the Charterers of the Vessel under this Charter;</w:t>
      </w:r>
    </w:p>
    <w:p>
      <w:pPr>
        <w:spacing w:after="0" w:line="150" w:lineRule="exact"/>
        <w:rPr>
          <w:sz w:val="20"/>
          <w:szCs w:val="20"/>
          <w:color w:val="auto"/>
        </w:rPr>
      </w:pPr>
    </w:p>
    <w:p>
      <w:pPr>
        <w:ind w:left="4724"/>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-548005</wp:posOffset>
            </wp:positionH>
            <wp:positionV relativeFrom="paragraph">
              <wp:posOffset>10795</wp:posOffset>
            </wp:positionV>
            <wp:extent cx="7178040"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444"/>
          </w:cols>
          <w:pgMar w:left="1156" w:top="205" w:right="299" w:bottom="1440" w:gutter="0" w:footer="0" w:header="0"/>
        </w:sectPr>
      </w:pPr>
    </w:p>
    <w:bookmarkStart w:id="372" w:name="page373"/>
    <w:bookmarkEnd w:id="372"/>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1530" w:hanging="432"/>
        <w:spacing w:after="0"/>
        <w:tabs>
          <w:tab w:leader="none" w:pos="1530" w:val="left"/>
        </w:tabs>
        <w:numPr>
          <w:ilvl w:val="4"/>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recovering possession of the Vessel following termination of this Charter under Clause 49 (</w:t>
      </w:r>
      <w:r>
        <w:rPr>
          <w:rFonts w:ascii="Times New Roman" w:cs="Times New Roman" w:eastAsia="Times New Roman" w:hAnsi="Times New Roman"/>
          <w:sz w:val="12"/>
          <w:szCs w:val="12"/>
          <w:i w:val="1"/>
          <w:iCs w:val="1"/>
          <w:color w:val="auto"/>
        </w:rPr>
        <w:t>Termination Events</w:t>
      </w:r>
      <w:r>
        <w:rPr>
          <w:rFonts w:ascii="Times New Roman" w:cs="Times New Roman" w:eastAsia="Times New Roman" w:hAnsi="Times New Roman"/>
          <w:sz w:val="12"/>
          <w:szCs w:val="12"/>
          <w:color w:val="auto"/>
        </w:rPr>
        <w:t>);</w:t>
      </w:r>
    </w:p>
    <w:p>
      <w:pPr>
        <w:spacing w:after="0" w:line="138" w:lineRule="exact"/>
        <w:rPr>
          <w:rFonts w:ascii="Times New Roman" w:cs="Times New Roman" w:eastAsia="Times New Roman" w:hAnsi="Times New Roman"/>
          <w:sz w:val="12"/>
          <w:szCs w:val="12"/>
          <w:color w:val="auto"/>
        </w:rPr>
      </w:pPr>
    </w:p>
    <w:p>
      <w:pPr>
        <w:ind w:left="1530" w:hanging="432"/>
        <w:spacing w:after="0"/>
        <w:tabs>
          <w:tab w:leader="none" w:pos="1530" w:val="left"/>
        </w:tabs>
        <w:numPr>
          <w:ilvl w:val="4"/>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taking redelivery of the Vessel at the expiry of the Charter Period;</w:t>
      </w:r>
    </w:p>
    <w:p>
      <w:pPr>
        <w:spacing w:after="0" w:line="150" w:lineRule="exact"/>
        <w:rPr>
          <w:rFonts w:ascii="Times New Roman" w:cs="Times New Roman" w:eastAsia="Times New Roman" w:hAnsi="Times New Roman"/>
          <w:sz w:val="12"/>
          <w:szCs w:val="12"/>
          <w:color w:val="auto"/>
        </w:rPr>
      </w:pPr>
    </w:p>
    <w:p>
      <w:pPr>
        <w:ind w:left="1530" w:hanging="432"/>
        <w:spacing w:after="0"/>
        <w:tabs>
          <w:tab w:leader="none" w:pos="1530" w:val="left"/>
        </w:tabs>
        <w:numPr>
          <w:ilvl w:val="4"/>
          <w:numId w:val="5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Registration Costs;</w:t>
      </w:r>
    </w:p>
    <w:p>
      <w:pPr>
        <w:spacing w:after="0" w:line="150" w:lineRule="exact"/>
        <w:rPr>
          <w:rFonts w:ascii="Times New Roman" w:cs="Times New Roman" w:eastAsia="Times New Roman" w:hAnsi="Times New Roman"/>
          <w:sz w:val="12"/>
          <w:szCs w:val="12"/>
          <w:color w:val="auto"/>
        </w:rPr>
      </w:pPr>
    </w:p>
    <w:p>
      <w:pPr>
        <w:ind w:left="1090" w:hanging="424"/>
        <w:spacing w:after="0"/>
        <w:tabs>
          <w:tab w:leader="none" w:pos="1090" w:val="left"/>
        </w:tabs>
        <w:numPr>
          <w:ilvl w:val="3"/>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from the Master or officers of the Vessel or the Charterers' agents signing bills of lading or other documents;</w:t>
      </w:r>
    </w:p>
    <w:p>
      <w:pPr>
        <w:spacing w:after="0" w:line="150" w:lineRule="exact"/>
        <w:rPr>
          <w:rFonts w:ascii="Times New Roman" w:cs="Times New Roman" w:eastAsia="Times New Roman" w:hAnsi="Times New Roman"/>
          <w:sz w:val="12"/>
          <w:szCs w:val="12"/>
          <w:color w:val="auto"/>
        </w:rPr>
      </w:pPr>
    </w:p>
    <w:p>
      <w:pPr>
        <w:ind w:left="1090" w:hanging="424"/>
        <w:spacing w:after="0"/>
        <w:tabs>
          <w:tab w:leader="none" w:pos="1090" w:val="left"/>
        </w:tabs>
        <w:numPr>
          <w:ilvl w:val="3"/>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w:t>
      </w:r>
    </w:p>
    <w:p>
      <w:pPr>
        <w:spacing w:after="0" w:line="150" w:lineRule="exact"/>
        <w:rPr>
          <w:rFonts w:ascii="Times New Roman" w:cs="Times New Roman" w:eastAsia="Times New Roman" w:hAnsi="Times New Roman"/>
          <w:sz w:val="12"/>
          <w:szCs w:val="12"/>
          <w:color w:val="auto"/>
        </w:rPr>
      </w:pPr>
    </w:p>
    <w:p>
      <w:pPr>
        <w:ind w:left="1530" w:hanging="432"/>
        <w:spacing w:after="0"/>
        <w:tabs>
          <w:tab w:leader="none" w:pos="1530" w:val="left"/>
        </w:tabs>
        <w:numPr>
          <w:ilvl w:val="4"/>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arrest, seizure, taking into custody or other detention by any court or other tribunal or by any governmental entity; or</w:t>
      </w:r>
    </w:p>
    <w:p>
      <w:pPr>
        <w:spacing w:after="0" w:line="150" w:lineRule="exact"/>
        <w:rPr>
          <w:rFonts w:ascii="Times New Roman" w:cs="Times New Roman" w:eastAsia="Times New Roman" w:hAnsi="Times New Roman"/>
          <w:sz w:val="12"/>
          <w:szCs w:val="12"/>
          <w:color w:val="auto"/>
        </w:rPr>
      </w:pPr>
    </w:p>
    <w:p>
      <w:pPr>
        <w:jc w:val="both"/>
        <w:ind w:left="1530" w:hanging="432"/>
        <w:spacing w:after="0" w:line="265" w:lineRule="auto"/>
        <w:tabs>
          <w:tab w:leader="none" w:pos="1530" w:val="left"/>
        </w:tabs>
        <w:numPr>
          <w:ilvl w:val="4"/>
          <w:numId w:val="5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subjection to distress by reason of any process, claim, exercise of any rights conferred by a lien or by any other action whatsoever, of the Vessel which are expended, suffered or incurred as a result of or in connection with any claim or against, or liability of, the Charterers or any other member of the Charter Group, together with any documented costs and expenses or other outgoings which may be paid or incurred by the Owners in releasing the Vessel from any such arrest, seizure, custody, detention or distress.</w:t>
      </w:r>
    </w:p>
    <w:p>
      <w:pPr>
        <w:spacing w:after="0" w:line="118" w:lineRule="exact"/>
        <w:rPr>
          <w:rFonts w:ascii="Times New Roman" w:cs="Times New Roman" w:eastAsia="Times New Roman" w:hAnsi="Times New Roman"/>
          <w:sz w:val="12"/>
          <w:szCs w:val="12"/>
          <w:color w:val="auto"/>
        </w:rPr>
      </w:pPr>
    </w:p>
    <w:p>
      <w:pPr>
        <w:jc w:val="both"/>
        <w:ind w:left="670" w:hanging="436"/>
        <w:spacing w:after="0" w:line="260" w:lineRule="auto"/>
        <w:tabs>
          <w:tab w:leader="none" w:pos="670" w:val="left"/>
        </w:tabs>
        <w:numPr>
          <w:ilvl w:val="2"/>
          <w:numId w:val="5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pay to the Owners promptly on the Owners written demand within ten (10) Business Days the amount of all documented costs and expenses (including legal fees) incurred by the Owners in connection with the enforcement of, or the preservation of any rights under, any Transaction Document including (without limitation) (i) any documented losses, costs and expenses which the Owners may from time to time sustain, incur or become liable for by reason of the Owners being deemed by any court or authority to be an operator, or in any way concerned in the operation, of the Vessel and (ii) collecting and recovering the proceeds of any claim under any of the Insurances.</w:t>
      </w:r>
    </w:p>
    <w:p>
      <w:pPr>
        <w:spacing w:after="0" w:line="122" w:lineRule="exact"/>
        <w:rPr>
          <w:rFonts w:ascii="Times New Roman" w:cs="Times New Roman" w:eastAsia="Times New Roman" w:hAnsi="Times New Roman"/>
          <w:sz w:val="12"/>
          <w:szCs w:val="12"/>
          <w:color w:val="auto"/>
        </w:rPr>
      </w:pPr>
    </w:p>
    <w:p>
      <w:pPr>
        <w:jc w:val="both"/>
        <w:ind w:left="670" w:hanging="436"/>
        <w:spacing w:after="0" w:line="265" w:lineRule="auto"/>
        <w:tabs>
          <w:tab w:leader="none" w:pos="670" w:val="left"/>
        </w:tabs>
        <w:numPr>
          <w:ilvl w:val="2"/>
          <w:numId w:val="5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right to damages or other claim which either party may, at any time, have against the other hereunder, it is hereby agreed and declared that the indemnities of the Owners by the Charterers contained in this Charter shall continue to have full force and effect notwithstanding any termination, cancellation or expiration of this Charter for a further period of 12 months following such termination, cancellation or expiration.</w:t>
      </w:r>
    </w:p>
    <w:p>
      <w:pPr>
        <w:spacing w:after="0" w:line="114" w:lineRule="exact"/>
        <w:rPr>
          <w:rFonts w:ascii="Times New Roman" w:cs="Times New Roman" w:eastAsia="Times New Roman" w:hAnsi="Times New Roman"/>
          <w:sz w:val="12"/>
          <w:szCs w:val="12"/>
          <w:color w:val="auto"/>
        </w:rPr>
      </w:pPr>
    </w:p>
    <w:p>
      <w:pPr>
        <w:ind w:left="430" w:hanging="430"/>
        <w:spacing w:after="0"/>
        <w:tabs>
          <w:tab w:leader="none" w:pos="430" w:val="left"/>
        </w:tabs>
        <w:numPr>
          <w:ilvl w:val="0"/>
          <w:numId w:val="5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Further assurances and undertakings</w:t>
      </w:r>
    </w:p>
    <w:p>
      <w:pPr>
        <w:spacing w:after="0" w:line="154" w:lineRule="exact"/>
        <w:rPr>
          <w:rFonts w:ascii="Times New Roman" w:cs="Times New Roman" w:eastAsia="Times New Roman" w:hAnsi="Times New Roman"/>
          <w:sz w:val="12"/>
          <w:szCs w:val="12"/>
          <w:b w:val="1"/>
          <w:bCs w:val="1"/>
          <w:color w:val="auto"/>
        </w:rPr>
      </w:pPr>
    </w:p>
    <w:p>
      <w:pPr>
        <w:ind w:left="670" w:hanging="436"/>
        <w:spacing w:after="0" w:line="279" w:lineRule="auto"/>
        <w:tabs>
          <w:tab w:leader="none" w:pos="670" w:val="left"/>
        </w:tabs>
        <w:numPr>
          <w:ilvl w:val="2"/>
          <w:numId w:val="5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and shall procure each of the other Obligor will, make all applications and execute all other documents and do all other acts and things as may be necessary to implement and to carry out their obligations under, and the intent of, this Charter.</w:t>
      </w:r>
    </w:p>
    <w:p>
      <w:pPr>
        <w:spacing w:after="0" w:line="111" w:lineRule="exact"/>
        <w:rPr>
          <w:rFonts w:ascii="Times New Roman" w:cs="Times New Roman" w:eastAsia="Times New Roman" w:hAnsi="Times New Roman"/>
          <w:sz w:val="12"/>
          <w:szCs w:val="12"/>
          <w:color w:val="auto"/>
        </w:rPr>
      </w:pPr>
    </w:p>
    <w:p>
      <w:pPr>
        <w:ind w:left="670" w:hanging="436"/>
        <w:spacing w:after="0"/>
        <w:tabs>
          <w:tab w:leader="none" w:pos="670" w:val="left"/>
        </w:tabs>
        <w:numPr>
          <w:ilvl w:val="2"/>
          <w:numId w:val="5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act in good faith to each other in respect of any dealings or matters under, or in connection with, this Charter.</w:t>
      </w:r>
    </w:p>
    <w:p>
      <w:pPr>
        <w:spacing w:after="0" w:line="146" w:lineRule="exact"/>
        <w:rPr>
          <w:rFonts w:ascii="Times New Roman" w:cs="Times New Roman" w:eastAsia="Times New Roman" w:hAnsi="Times New Roman"/>
          <w:sz w:val="12"/>
          <w:szCs w:val="12"/>
          <w:color w:val="auto"/>
        </w:rPr>
      </w:pPr>
    </w:p>
    <w:p>
      <w:pPr>
        <w:ind w:left="630" w:hanging="432"/>
        <w:spacing w:after="0"/>
        <w:tabs>
          <w:tab w:leader="none" w:pos="630" w:val="left"/>
        </w:tabs>
        <w:numPr>
          <w:ilvl w:val="1"/>
          <w:numId w:val="55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Cumulative rights</w:t>
      </w:r>
    </w:p>
    <w:p>
      <w:pPr>
        <w:spacing w:after="0" w:line="154" w:lineRule="exact"/>
        <w:rPr>
          <w:sz w:val="20"/>
          <w:szCs w:val="20"/>
          <w:color w:val="auto"/>
        </w:rPr>
      </w:pPr>
    </w:p>
    <w:p>
      <w:pPr>
        <w:ind w:left="230"/>
        <w:spacing w:after="0"/>
        <w:rPr>
          <w:sz w:val="20"/>
          <w:szCs w:val="20"/>
          <w:color w:val="auto"/>
        </w:rPr>
      </w:pPr>
      <w:r>
        <w:rPr>
          <w:rFonts w:ascii="Times New Roman" w:cs="Times New Roman" w:eastAsia="Times New Roman" w:hAnsi="Times New Roman"/>
          <w:sz w:val="12"/>
          <w:szCs w:val="12"/>
          <w:color w:val="auto"/>
        </w:rPr>
        <w:t>The rights, powers and remedies provided in this Charter are cumulative and not exclusive of any rights, powers or remedies at law or in equity unless specifically otherwise stated.</w:t>
      </w:r>
    </w:p>
    <w:p>
      <w:pPr>
        <w:spacing w:after="0" w:line="146" w:lineRule="exact"/>
        <w:rPr>
          <w:sz w:val="20"/>
          <w:szCs w:val="20"/>
          <w:color w:val="auto"/>
        </w:rPr>
      </w:pPr>
    </w:p>
    <w:p>
      <w:pPr>
        <w:ind w:left="910" w:hanging="424"/>
        <w:spacing w:after="0"/>
        <w:tabs>
          <w:tab w:leader="none" w:pos="910" w:val="left"/>
        </w:tabs>
        <w:numPr>
          <w:ilvl w:val="0"/>
          <w:numId w:val="56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waiver</w:t>
      </w:r>
    </w:p>
    <w:p>
      <w:pPr>
        <w:spacing w:after="0" w:line="154" w:lineRule="exact"/>
        <w:rPr>
          <w:sz w:val="20"/>
          <w:szCs w:val="20"/>
          <w:color w:val="auto"/>
        </w:rPr>
      </w:pPr>
    </w:p>
    <w:p>
      <w:pPr>
        <w:ind w:left="230"/>
        <w:spacing w:after="0" w:line="279" w:lineRule="auto"/>
        <w:rPr>
          <w:sz w:val="20"/>
          <w:szCs w:val="20"/>
          <w:color w:val="auto"/>
        </w:rPr>
      </w:pPr>
      <w:r>
        <w:rPr>
          <w:rFonts w:ascii="Times New Roman" w:cs="Times New Roman" w:eastAsia="Times New Roman" w:hAnsi="Times New Roman"/>
          <w:sz w:val="12"/>
          <w:szCs w:val="12"/>
          <w:color w:val="auto"/>
        </w:rPr>
        <w:t>No delay, failure or forbearance by a party to exercise (in whole or in part) any right, power or remedy under, or in connection with, this Charter will operate as a waiver. No waiver of any breach of any provision of this Charter will be effective unless that waiver is in writing and signed by the party against whom that waiver is claimed. No waiver of any breach will be, or be deemed to be, a waiver of any other or subsequent breach.</w:t>
      </w:r>
    </w:p>
    <w:p>
      <w:pPr>
        <w:spacing w:after="0" w:line="111" w:lineRule="exact"/>
        <w:rPr>
          <w:sz w:val="20"/>
          <w:szCs w:val="20"/>
          <w:color w:val="auto"/>
        </w:rPr>
      </w:pPr>
    </w:p>
    <w:p>
      <w:pPr>
        <w:jc w:val="center"/>
        <w:ind w:right="190"/>
        <w:spacing w:after="0"/>
        <w:rPr>
          <w:sz w:val="20"/>
          <w:szCs w:val="20"/>
          <w:color w:val="auto"/>
        </w:rPr>
      </w:pP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10795</wp:posOffset>
            </wp:positionV>
            <wp:extent cx="717804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10"/>
          </w:cols>
          <w:pgMar w:left="490" w:top="205" w:right="299" w:bottom="1440" w:gutter="0" w:footer="0" w:header="0"/>
        </w:sectPr>
      </w:pPr>
    </w:p>
    <w:bookmarkStart w:id="373" w:name="page374"/>
    <w:bookmarkEnd w:id="373"/>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440" w:hanging="434"/>
        <w:spacing w:after="0"/>
        <w:tabs>
          <w:tab w:leader="none" w:pos="440" w:val="left"/>
        </w:tabs>
        <w:numPr>
          <w:ilvl w:val="0"/>
          <w:numId w:val="56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Entire agreement</w:t>
      </w:r>
    </w:p>
    <w:p>
      <w:pPr>
        <w:spacing w:after="0" w:line="154" w:lineRule="exact"/>
        <w:rPr>
          <w:rFonts w:ascii="Times New Roman" w:cs="Times New Roman" w:eastAsia="Times New Roman" w:hAnsi="Times New Roman"/>
          <w:sz w:val="12"/>
          <w:szCs w:val="12"/>
          <w:b w:val="1"/>
          <w:bCs w:val="1"/>
          <w:color w:val="auto"/>
        </w:rPr>
      </w:pPr>
    </w:p>
    <w:p>
      <w:pPr>
        <w:ind w:left="460" w:hanging="436"/>
        <w:spacing w:after="0" w:line="279" w:lineRule="auto"/>
        <w:tabs>
          <w:tab w:leader="none" w:pos="460" w:val="left"/>
        </w:tabs>
        <w:numPr>
          <w:ilvl w:val="1"/>
          <w:numId w:val="5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for the other Transaction Documents and the Quiet Enjoyment Letter, this Charter contains all the understandings and agreements of whatsoever kind and nature existing between the parties in respect of this Charter, the rights, interests, undertakings agreements and obligations of the parties to this Charter and shall supersede all previous and contemporaneous negotiations and agreements.</w:t>
      </w:r>
    </w:p>
    <w:p>
      <w:pPr>
        <w:spacing w:after="0" w:line="111" w:lineRule="exact"/>
        <w:rPr>
          <w:rFonts w:ascii="Times New Roman" w:cs="Times New Roman" w:eastAsia="Times New Roman" w:hAnsi="Times New Roman"/>
          <w:sz w:val="12"/>
          <w:szCs w:val="12"/>
          <w:color w:val="auto"/>
        </w:rPr>
      </w:pPr>
    </w:p>
    <w:p>
      <w:pPr>
        <w:ind w:left="460" w:hanging="436"/>
        <w:spacing w:after="0"/>
        <w:tabs>
          <w:tab w:leader="none" w:pos="460" w:val="left"/>
        </w:tabs>
        <w:numPr>
          <w:ilvl w:val="1"/>
          <w:numId w:val="5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Charter may not be amended, altered or modified except by a written instrument executed by each of the parties to this Charter.</w:t>
      </w:r>
    </w:p>
    <w:p>
      <w:pPr>
        <w:spacing w:after="0" w:line="146" w:lineRule="exact"/>
        <w:rPr>
          <w:sz w:val="20"/>
          <w:szCs w:val="20"/>
          <w:color w:val="auto"/>
        </w:rPr>
      </w:pPr>
    </w:p>
    <w:p>
      <w:pPr>
        <w:ind w:left="740" w:hanging="428"/>
        <w:spacing w:after="0"/>
        <w:tabs>
          <w:tab w:leader="none" w:pos="740" w:val="left"/>
        </w:tabs>
        <w:numPr>
          <w:ilvl w:val="0"/>
          <w:numId w:val="5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Invalidity</w:t>
      </w:r>
    </w:p>
    <w:p>
      <w:pPr>
        <w:spacing w:after="0" w:line="154" w:lineRule="exact"/>
        <w:rPr>
          <w:sz w:val="20"/>
          <w:szCs w:val="20"/>
          <w:color w:val="auto"/>
        </w:rPr>
      </w:pPr>
    </w:p>
    <w:p>
      <w:pPr>
        <w:jc w:val="both"/>
        <w:ind w:left="20"/>
        <w:spacing w:after="0" w:line="265" w:lineRule="auto"/>
        <w:rPr>
          <w:sz w:val="20"/>
          <w:szCs w:val="20"/>
          <w:color w:val="auto"/>
        </w:rPr>
      </w:pPr>
      <w:r>
        <w:rPr>
          <w:rFonts w:ascii="Times New Roman" w:cs="Times New Roman" w:eastAsia="Times New Roman" w:hAnsi="Times New Roman"/>
          <w:sz w:val="12"/>
          <w:szCs w:val="12"/>
          <w:color w:val="auto"/>
        </w:rPr>
        <w:t>If any term or provision of this Charter or the application thereof to any person or circumstances shall to any extent be invalid or unenforceable the remainder of this Charter or application of such term or provision to persons or circumstances (other than those as to which it is already invalid or unenforceable) shall (to the extent that such invalidity or unenforceability does not materially affect the operation of this Charter) not be affected thereby and each term and provision of this Charter shall be valid and be enforceable to the fullest extent permitted by law.</w:t>
      </w:r>
    </w:p>
    <w:p>
      <w:pPr>
        <w:spacing w:after="0" w:line="115" w:lineRule="exact"/>
        <w:rPr>
          <w:sz w:val="20"/>
          <w:szCs w:val="20"/>
          <w:color w:val="auto"/>
        </w:rPr>
      </w:pPr>
    </w:p>
    <w:p>
      <w:pPr>
        <w:ind w:left="440" w:hanging="425"/>
        <w:spacing w:after="0"/>
        <w:tabs>
          <w:tab w:leader="none" w:pos="440" w:val="left"/>
        </w:tabs>
        <w:numPr>
          <w:ilvl w:val="0"/>
          <w:numId w:val="5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English language</w:t>
      </w:r>
    </w:p>
    <w:p>
      <w:pPr>
        <w:spacing w:after="0" w:line="154" w:lineRule="exact"/>
        <w:rPr>
          <w:sz w:val="20"/>
          <w:szCs w:val="20"/>
          <w:color w:val="auto"/>
        </w:rPr>
      </w:pPr>
    </w:p>
    <w:p>
      <w:pPr>
        <w:ind w:left="20"/>
        <w:spacing w:after="0" w:line="279" w:lineRule="auto"/>
        <w:rPr>
          <w:sz w:val="20"/>
          <w:szCs w:val="20"/>
          <w:color w:val="auto"/>
        </w:rPr>
      </w:pPr>
      <w:r>
        <w:rPr>
          <w:rFonts w:ascii="Times New Roman" w:cs="Times New Roman" w:eastAsia="Times New Roman" w:hAnsi="Times New Roman"/>
          <w:sz w:val="12"/>
          <w:szCs w:val="12"/>
          <w:color w:val="auto"/>
        </w:rPr>
        <w:t>All notices, communications and financial statements and reports under or in connection with this Charter and the other Transaction Documents shall be in English language or, if in any other language, shall be accompanied by a translation into English. In the event of any conflict between the English text and the text in any other language, the English text shall prevail.</w:t>
      </w:r>
    </w:p>
    <w:p>
      <w:pPr>
        <w:spacing w:after="0" w:line="107" w:lineRule="exact"/>
        <w:rPr>
          <w:sz w:val="20"/>
          <w:szCs w:val="20"/>
          <w:color w:val="auto"/>
        </w:rPr>
      </w:pPr>
    </w:p>
    <w:p>
      <w:pPr>
        <w:ind w:left="500" w:hanging="440"/>
        <w:spacing w:after="0"/>
        <w:tabs>
          <w:tab w:leader="none" w:pos="500" w:val="left"/>
        </w:tabs>
        <w:numPr>
          <w:ilvl w:val="0"/>
          <w:numId w:val="56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 partnership</w:t>
      </w:r>
    </w:p>
    <w:p>
      <w:pPr>
        <w:spacing w:after="0" w:line="154" w:lineRule="exact"/>
        <w:rPr>
          <w:sz w:val="20"/>
          <w:szCs w:val="20"/>
          <w:color w:val="auto"/>
        </w:rPr>
      </w:pPr>
    </w:p>
    <w:p>
      <w:pPr>
        <w:ind w:left="20" w:right="20"/>
        <w:spacing w:after="0" w:line="279" w:lineRule="auto"/>
        <w:rPr>
          <w:sz w:val="20"/>
          <w:szCs w:val="20"/>
          <w:color w:val="auto"/>
        </w:rPr>
      </w:pPr>
      <w:r>
        <w:rPr>
          <w:rFonts w:ascii="Times New Roman" w:cs="Times New Roman" w:eastAsia="Times New Roman" w:hAnsi="Times New Roman"/>
          <w:sz w:val="12"/>
          <w:szCs w:val="12"/>
          <w:color w:val="auto"/>
        </w:rPr>
        <w:t>Nothing in this Charter creates, constitutes or evidences any partnership, joint venture, agency, trust or employer/employee relationship between the parties, and neither party may make, or allow to be made any representation that any such relationship exists between the parties. Neither party shall have the authority to act for, or incur any obligation on behalf of, the other party, except as expressly provided in this Charter.</w:t>
      </w:r>
    </w:p>
    <w:p>
      <w:pPr>
        <w:spacing w:after="0" w:line="107" w:lineRule="exact"/>
        <w:rPr>
          <w:sz w:val="20"/>
          <w:szCs w:val="20"/>
          <w:color w:val="auto"/>
        </w:rPr>
      </w:pPr>
    </w:p>
    <w:p>
      <w:pPr>
        <w:ind w:left="960" w:hanging="423"/>
        <w:spacing w:after="0"/>
        <w:tabs>
          <w:tab w:leader="none" w:pos="960" w:val="left"/>
        </w:tabs>
        <w:numPr>
          <w:ilvl w:val="1"/>
          <w:numId w:val="5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Notices</w:t>
      </w:r>
    </w:p>
    <w:p>
      <w:pPr>
        <w:spacing w:after="0" w:line="154" w:lineRule="exact"/>
        <w:rPr>
          <w:rFonts w:ascii="Times New Roman" w:cs="Times New Roman" w:eastAsia="Times New Roman" w:hAnsi="Times New Roman"/>
          <w:sz w:val="12"/>
          <w:szCs w:val="12"/>
          <w:b w:val="1"/>
          <w:bCs w:val="1"/>
          <w:color w:val="auto"/>
        </w:rPr>
      </w:pPr>
    </w:p>
    <w:p>
      <w:pPr>
        <w:ind w:left="440" w:hanging="416"/>
        <w:spacing w:after="0"/>
        <w:tabs>
          <w:tab w:leader="none" w:pos="440" w:val="left"/>
        </w:tabs>
        <w:numPr>
          <w:ilvl w:val="0"/>
          <w:numId w:val="5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Owners under this Charter shall be sent in writing by courier, registered letter or email and addressed to:</w:t>
      </w:r>
    </w:p>
    <w:p>
      <w:pPr>
        <w:sectPr>
          <w:pgSz w:w="11900" w:h="16838" w:orient="portrait"/>
          <w:cols w:equalWidth="0" w:num="1">
            <w:col w:w="10900"/>
          </w:cols>
          <w:pgMar w:left="700" w:top="205" w:right="299" w:bottom="1440" w:gutter="0" w:footer="0" w:header="0"/>
        </w:sectPr>
      </w:pPr>
    </w:p>
    <w:p>
      <w:pPr>
        <w:spacing w:after="0" w:line="1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1"/>
          <w:szCs w:val="11"/>
          <w:color w:val="auto"/>
        </w:rPr>
        <w:t>Address:</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3F, Building No.8, Beijing Friendship Hotel, Haidian District, Beijing, 100873, China</w:t>
      </w:r>
    </w:p>
    <w:p>
      <w:pPr>
        <w:spacing w:after="0" w:line="162" w:lineRule="exact"/>
        <w:rPr>
          <w:sz w:val="20"/>
          <w:szCs w:val="20"/>
          <w:color w:val="auto"/>
        </w:rPr>
      </w:pPr>
    </w:p>
    <w:p>
      <w:pPr>
        <w:sectPr>
          <w:pgSz w:w="11900" w:h="16838" w:orient="portrait"/>
          <w:cols w:equalWidth="0" w:num="2">
            <w:col w:w="860" w:space="260"/>
            <w:col w:w="9780"/>
          </w:cols>
          <w:pgMar w:left="700" w:top="205" w:right="2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1"/>
          <w:szCs w:val="11"/>
          <w:color w:val="auto"/>
        </w:rPr>
        <w:t>Email: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 Zhao Qing / Zhu Xin</w:t>
      </w:r>
    </w:p>
    <w:p>
      <w:pPr>
        <w:spacing w:after="0" w:line="162" w:lineRule="exact"/>
        <w:rPr>
          <w:sz w:val="20"/>
          <w:szCs w:val="20"/>
          <w:color w:val="auto"/>
        </w:rPr>
      </w:pPr>
    </w:p>
    <w:p>
      <w:pPr>
        <w:sectPr>
          <w:pgSz w:w="11900" w:h="16838" w:orient="portrait"/>
          <w:cols w:equalWidth="0" w:num="2">
            <w:col w:w="760" w:space="360"/>
            <w:col w:w="9780"/>
          </w:cols>
          <w:pgMar w:left="700" w:top="205" w:right="2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1"/>
          <w:szCs w:val="11"/>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fangzhaoqing@msfl.com.cn / zhuxin@msfl.com.cn</w:t>
      </w:r>
    </w:p>
    <w:p>
      <w:pPr>
        <w:spacing w:after="0" w:line="162" w:lineRule="exact"/>
        <w:rPr>
          <w:sz w:val="20"/>
          <w:szCs w:val="20"/>
          <w:color w:val="auto"/>
        </w:rPr>
      </w:pPr>
    </w:p>
    <w:p>
      <w:pPr>
        <w:sectPr>
          <w:pgSz w:w="11900" w:h="16838" w:orient="portrait"/>
          <w:cols w:equalWidth="0" w:num="2">
            <w:col w:w="920" w:space="200"/>
            <w:col w:w="9780"/>
          </w:cols>
          <w:pgMar w:left="700" w:top="205" w:right="29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2"/>
          <w:szCs w:val="12"/>
          <w:color w:val="auto"/>
        </w:rPr>
        <w:t>or to such other address or email address as the Owners may notify to the Charterers in accordance with this Clause 66.</w:t>
      </w:r>
    </w:p>
    <w:p>
      <w:pPr>
        <w:spacing w:after="0" w:line="150" w:lineRule="exact"/>
        <w:rPr>
          <w:sz w:val="20"/>
          <w:szCs w:val="20"/>
          <w:color w:val="auto"/>
        </w:rPr>
      </w:pPr>
    </w:p>
    <w:p>
      <w:pPr>
        <w:ind w:left="440" w:right="3860" w:hanging="416"/>
        <w:spacing w:after="0" w:line="500" w:lineRule="auto"/>
        <w:tabs>
          <w:tab w:leader="none" w:pos="435" w:val="left"/>
        </w:tabs>
        <w:numPr>
          <w:ilvl w:val="0"/>
          <w:numId w:val="5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notices to be given to the Charterers under this Charter shall be sent in writing by courier, registered letter or email and addressed to: Address: 3-5 Menandrou street, Kifissia, Athens, 14561</w:t>
      </w:r>
    </w:p>
    <w:p>
      <w:pPr>
        <w:spacing w:after="0" w:line="1"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Email: legalconfidential@technomar.gr</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Tel: +30 2106233670</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Attention: Mrs. Maria Danezi</w:t>
      </w:r>
    </w:p>
    <w:p>
      <w:pPr>
        <w:spacing w:after="0" w:line="150" w:lineRule="exact"/>
        <w:rPr>
          <w:rFonts w:ascii="Times New Roman" w:cs="Times New Roman" w:eastAsia="Times New Roman" w:hAnsi="Times New Roman"/>
          <w:sz w:val="12"/>
          <w:szCs w:val="12"/>
          <w:color w:val="auto"/>
        </w:rPr>
      </w:pPr>
    </w:p>
    <w:p>
      <w:pPr>
        <w:ind w:left="44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or to such other address, phone number or email address as the Charterers may notify to the Owners in accordance with this Clause 66.</w:t>
      </w:r>
    </w:p>
    <w:p>
      <w:pPr>
        <w:spacing w:after="0" w:line="15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-258445</wp:posOffset>
            </wp:positionH>
            <wp:positionV relativeFrom="paragraph">
              <wp:posOffset>10795</wp:posOffset>
            </wp:positionV>
            <wp:extent cx="7178040" cy="571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00"/>
          </w:cols>
          <w:pgMar w:left="700" w:top="205" w:right="299" w:bottom="1440" w:gutter="0" w:footer="0" w:header="0"/>
          <w:type w:val="continuous"/>
        </w:sectPr>
      </w:pPr>
    </w:p>
    <w:bookmarkStart w:id="374" w:name="page375"/>
    <w:bookmarkEnd w:id="374"/>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661" w:hanging="436"/>
        <w:spacing w:after="0" w:line="279" w:lineRule="auto"/>
        <w:tabs>
          <w:tab w:leader="none" w:pos="661"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notice shall be deemed to have reached the party to whom it was addressed, when dispatched and acknowledged received (in case of a facsimile or an email) or when delivered (in case of courier or a registered letter). A notice or other such communication received on a non-working day or after business hours in the place of receipt shall be deemed to be served on the next following working day in such place.</w:t>
      </w:r>
    </w:p>
    <w:p>
      <w:pPr>
        <w:spacing w:after="0" w:line="111"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by one party to another under or in connection with the Transaction Documents may be made or delivered by electronic mail or other electronic means (including, without limitation, by way of posting to a secure website) if those two parties:</w:t>
      </w:r>
    </w:p>
    <w:p>
      <w:pPr>
        <w:spacing w:after="0" w:line="111"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1"/>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1081" w:hanging="424"/>
        <w:spacing w:after="0"/>
        <w:tabs>
          <w:tab w:leader="none" w:pos="1081" w:val="left"/>
        </w:tabs>
        <w:numPr>
          <w:ilvl w:val="1"/>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to be made between an Obligor and the Owners may only be made in that way to the extent that those two parties agree that, unless and until notified to the contrary, this is to be an accepted form of communication or delivery.</w:t>
      </w:r>
    </w:p>
    <w:p>
      <w:pPr>
        <w:spacing w:after="0" w:line="111" w:lineRule="exact"/>
        <w:rPr>
          <w:rFonts w:ascii="Times New Roman" w:cs="Times New Roman" w:eastAsia="Times New Roman" w:hAnsi="Times New Roman"/>
          <w:sz w:val="12"/>
          <w:szCs w:val="12"/>
          <w:color w:val="auto"/>
        </w:rPr>
      </w:pPr>
    </w:p>
    <w:p>
      <w:pPr>
        <w:ind w:left="661" w:hanging="436"/>
        <w:spacing w:after="0" w:line="279" w:lineRule="auto"/>
        <w:tabs>
          <w:tab w:leader="none" w:pos="661"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(d) above made or delivered by one party to another will be effective only when actually received (or made available) in readable form and in the case of any electronic communication or document made or delivered by a party to the Owners only if it is addressed in such a manner as the Owners shall specify for this purpose.</w:t>
      </w:r>
    </w:p>
    <w:p>
      <w:pPr>
        <w:spacing w:after="0" w:line="111" w:lineRule="exact"/>
        <w:rPr>
          <w:rFonts w:ascii="Times New Roman" w:cs="Times New Roman" w:eastAsia="Times New Roman" w:hAnsi="Times New Roman"/>
          <w:sz w:val="12"/>
          <w:szCs w:val="12"/>
          <w:color w:val="auto"/>
        </w:rPr>
      </w:pPr>
    </w:p>
    <w:p>
      <w:pPr>
        <w:ind w:left="661" w:right="20" w:hanging="436"/>
        <w:spacing w:after="0" w:line="279" w:lineRule="auto"/>
        <w:tabs>
          <w:tab w:leader="none" w:pos="661" w:val="left"/>
        </w:tabs>
        <w:numPr>
          <w:ilvl w:val="0"/>
          <w:numId w:val="5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or document which becomes effective, in accordance with paragraph (iv) above, after 5:00 p.m. in the place in which the party to whom the relevant communication or document is sent or made available has its address for the purpose of this.</w:t>
      </w:r>
    </w:p>
    <w:p>
      <w:pPr>
        <w:spacing w:after="0" w:line="107" w:lineRule="exact"/>
        <w:rPr>
          <w:sz w:val="20"/>
          <w:szCs w:val="20"/>
          <w:color w:val="auto"/>
        </w:rPr>
      </w:pPr>
    </w:p>
    <w:p>
      <w:pPr>
        <w:ind w:left="1001" w:hanging="434"/>
        <w:spacing w:after="0"/>
        <w:tabs>
          <w:tab w:leader="none" w:pos="1001" w:val="left"/>
        </w:tabs>
        <w:numPr>
          <w:ilvl w:val="0"/>
          <w:numId w:val="56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Conflicts</w:t>
      </w:r>
    </w:p>
    <w:p>
      <w:pPr>
        <w:spacing w:after="0" w:line="152" w:lineRule="exact"/>
        <w:rPr>
          <w:sz w:val="20"/>
          <w:szCs w:val="20"/>
          <w:color w:val="auto"/>
        </w:rPr>
      </w:pPr>
    </w:p>
    <w:p>
      <w:pPr>
        <w:ind w:left="221"/>
        <w:spacing w:after="0" w:line="283" w:lineRule="auto"/>
        <w:rPr>
          <w:sz w:val="20"/>
          <w:szCs w:val="20"/>
          <w:color w:val="auto"/>
        </w:rPr>
      </w:pPr>
      <w:r>
        <w:rPr>
          <w:rFonts w:ascii="Times New Roman" w:cs="Times New Roman" w:eastAsia="Times New Roman" w:hAnsi="Times New Roman"/>
          <w:sz w:val="12"/>
          <w:szCs w:val="12"/>
          <w:color w:val="auto"/>
        </w:rPr>
        <w:t>Unless stated otherwise, in the event of there being any conflict between the provisions of Clauses 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(Part II) to 31 (</w:t>
      </w:r>
      <w:r>
        <w:rPr>
          <w:rFonts w:ascii="Times New Roman" w:cs="Times New Roman" w:eastAsia="Times New Roman" w:hAnsi="Times New Roman"/>
          <w:sz w:val="12"/>
          <w:szCs w:val="12"/>
          <w:i w:val="1"/>
          <w:iCs w:val="1"/>
          <w:color w:val="auto"/>
        </w:rPr>
        <w:t>Notices</w:t>
      </w:r>
      <w:r>
        <w:rPr>
          <w:rFonts w:ascii="Times New Roman" w:cs="Times New Roman" w:eastAsia="Times New Roman" w:hAnsi="Times New Roman"/>
          <w:sz w:val="12"/>
          <w:szCs w:val="12"/>
          <w:color w:val="auto"/>
        </w:rPr>
        <w:t>) (Part II) and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the provisions of Clauses 32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76 (</w:t>
      </w:r>
      <w:r>
        <w:rPr>
          <w:rFonts w:ascii="Times New Roman" w:cs="Times New Roman" w:eastAsia="Times New Roman" w:hAnsi="Times New Roman"/>
          <w:sz w:val="12"/>
          <w:szCs w:val="12"/>
          <w:i w:val="1"/>
          <w:iCs w:val="1"/>
          <w:color w:val="auto"/>
        </w:rPr>
        <w:t>Assignment and Transfer</w:t>
      </w:r>
      <w:r>
        <w:rPr>
          <w:rFonts w:ascii="Times New Roman" w:cs="Times New Roman" w:eastAsia="Times New Roman" w:hAnsi="Times New Roman"/>
          <w:sz w:val="12"/>
          <w:szCs w:val="12"/>
          <w:color w:val="auto"/>
        </w:rPr>
        <w:t>) shall prevail.</w:t>
      </w:r>
    </w:p>
    <w:p>
      <w:pPr>
        <w:spacing w:after="0" w:line="105" w:lineRule="exact"/>
        <w:rPr>
          <w:sz w:val="20"/>
          <w:szCs w:val="20"/>
          <w:color w:val="auto"/>
        </w:rPr>
      </w:pPr>
    </w:p>
    <w:p>
      <w:pPr>
        <w:ind w:left="441" w:hanging="441"/>
        <w:spacing w:after="0"/>
        <w:tabs>
          <w:tab w:leader="none" w:pos="441" w:val="left"/>
        </w:tabs>
        <w:numPr>
          <w:ilvl w:val="0"/>
          <w:numId w:val="57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Survival of Charterers' obligations</w:t>
      </w:r>
    </w:p>
    <w:p>
      <w:pPr>
        <w:spacing w:after="0" w:line="154" w:lineRule="exact"/>
        <w:rPr>
          <w:sz w:val="20"/>
          <w:szCs w:val="20"/>
          <w:color w:val="auto"/>
        </w:rPr>
      </w:pPr>
    </w:p>
    <w:p>
      <w:pPr>
        <w:jc w:val="both"/>
        <w:ind w:left="221"/>
        <w:spacing w:after="0" w:line="265" w:lineRule="auto"/>
        <w:rPr>
          <w:sz w:val="20"/>
          <w:szCs w:val="20"/>
          <w:color w:val="auto"/>
        </w:rPr>
      </w:pPr>
      <w:r>
        <w:rPr>
          <w:rFonts w:ascii="Times New Roman" w:cs="Times New Roman" w:eastAsia="Times New Roman" w:hAnsi="Times New Roman"/>
          <w:sz w:val="12"/>
          <w:szCs w:val="12"/>
          <w:color w:val="auto"/>
        </w:rPr>
        <w:t>The termination of this Charter for any cause whatsoever shall not affect the rights of the Owners under the Transaction Documents to recover from the Charterers any money due to the Owners in consequence thereof pursuant and subject to the terms hereof and all other rights of the Owners (including but not limited to any rights, benefits or indemnities which are provided to continue after the termination of this Charter, always subject to any applicable validity limitation stipulated in the relevant provisions of this Charter) are reserved hereunder pursuant and subject to the terms hereof.</w:t>
      </w:r>
    </w:p>
    <w:p>
      <w:pPr>
        <w:spacing w:after="0" w:line="115" w:lineRule="exact"/>
        <w:rPr>
          <w:sz w:val="20"/>
          <w:szCs w:val="20"/>
          <w:color w:val="auto"/>
        </w:rPr>
      </w:pPr>
    </w:p>
    <w:p>
      <w:pPr>
        <w:ind w:left="741" w:hanging="426"/>
        <w:spacing w:after="0"/>
        <w:tabs>
          <w:tab w:leader="none" w:pos="741" w:val="left"/>
        </w:tabs>
        <w:numPr>
          <w:ilvl w:val="0"/>
          <w:numId w:val="57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sz w:val="20"/>
          <w:szCs w:val="20"/>
          <w:color w:val="auto"/>
        </w:rPr>
      </w:pPr>
    </w:p>
    <w:p>
      <w:pPr>
        <w:ind w:left="221" w:right="20"/>
        <w:spacing w:after="0" w:line="279" w:lineRule="auto"/>
        <w:rPr>
          <w:sz w:val="20"/>
          <w:szCs w:val="20"/>
          <w:color w:val="auto"/>
        </w:rPr>
      </w:pPr>
      <w:r>
        <w:rPr>
          <w:rFonts w:ascii="Times New Roman" w:cs="Times New Roman" w:eastAsia="Times New Roman" w:hAnsi="Times New Roman"/>
          <w:sz w:val="12"/>
          <w:szCs w:val="12"/>
          <w:color w:val="auto"/>
        </w:rPr>
        <w:t>This Charter may be executed in any number of counterparts and any single counterpart or set of counterparts signed, in either case, by all the parties hereto shall be deemed to constitute a full and original agreement for all purposes.</w:t>
      </w:r>
    </w:p>
    <w:p>
      <w:pPr>
        <w:spacing w:after="0" w:line="11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10795</wp:posOffset>
            </wp:positionV>
            <wp:extent cx="7178040" cy="571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101"/>
          </w:cols>
          <w:pgMar w:left="499" w:top="205" w:right="299" w:bottom="1440" w:gutter="0" w:footer="0" w:header="0"/>
        </w:sectPr>
      </w:pPr>
    </w:p>
    <w:bookmarkStart w:id="375" w:name="page376"/>
    <w:bookmarkEnd w:id="375"/>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3" w:lineRule="exact"/>
        <w:rPr>
          <w:sz w:val="20"/>
          <w:szCs w:val="20"/>
          <w:color w:val="auto"/>
        </w:rPr>
      </w:pPr>
    </w:p>
    <w:p>
      <w:pPr>
        <w:ind w:left="488" w:hanging="434"/>
        <w:spacing w:after="0"/>
        <w:tabs>
          <w:tab w:leader="none" w:pos="488" w:val="left"/>
        </w:tabs>
        <w:numPr>
          <w:ilvl w:val="1"/>
          <w:numId w:val="5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Parties Act</w:t>
      </w:r>
    </w:p>
    <w:p>
      <w:pPr>
        <w:spacing w:after="0" w:line="154" w:lineRule="exact"/>
        <w:rPr>
          <w:rFonts w:ascii="Times New Roman" w:cs="Times New Roman" w:eastAsia="Times New Roman" w:hAnsi="Times New Roman"/>
          <w:sz w:val="12"/>
          <w:szCs w:val="12"/>
          <w:b w:val="1"/>
          <w:bCs w:val="1"/>
          <w:color w:val="auto"/>
        </w:rPr>
      </w:pPr>
    </w:p>
    <w:p>
      <w:pPr>
        <w:jc w:val="both"/>
        <w:ind w:left="508" w:hanging="436"/>
        <w:spacing w:after="0" w:line="265" w:lineRule="auto"/>
        <w:tabs>
          <w:tab w:leader="none" w:pos="508" w:val="left"/>
        </w:tabs>
        <w:numPr>
          <w:ilvl w:val="2"/>
          <w:numId w:val="5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an Indemnitee or a Finance Party from time to time and is not a party to this Charter shall be entitled to enforce such terms of this Charter as provided for in this Charter in relation to the obligations of the Charterers to such Indemnitee or (as the case may be) Finance Party, subject to the provisions of Clause 30 (</w:t>
      </w:r>
      <w:r>
        <w:rPr>
          <w:rFonts w:ascii="Times New Roman" w:cs="Times New Roman" w:eastAsia="Times New Roman" w:hAnsi="Times New Roman"/>
          <w:sz w:val="12"/>
          <w:szCs w:val="12"/>
          <w:i w:val="1"/>
          <w:iCs w:val="1"/>
          <w:color w:val="auto"/>
        </w:rPr>
        <w:t>Dispute Resolution</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Arbitration</w:t>
      </w:r>
      <w:r>
        <w:rPr>
          <w:rFonts w:ascii="Times New Roman" w:cs="Times New Roman" w:eastAsia="Times New Roman" w:hAnsi="Times New Roman"/>
          <w:sz w:val="12"/>
          <w:szCs w:val="12"/>
          <w:color w:val="auto"/>
        </w:rPr>
        <w:t>) and the Third Parties Act. The Third Parties Act applies to this Charter as set out in this Clause 70.</w:t>
      </w:r>
    </w:p>
    <w:p>
      <w:pPr>
        <w:spacing w:after="0" w:line="118" w:lineRule="exact"/>
        <w:rPr>
          <w:rFonts w:ascii="Times New Roman" w:cs="Times New Roman" w:eastAsia="Times New Roman" w:hAnsi="Times New Roman"/>
          <w:sz w:val="12"/>
          <w:szCs w:val="12"/>
          <w:color w:val="auto"/>
        </w:rPr>
      </w:pPr>
    </w:p>
    <w:p>
      <w:pPr>
        <w:ind w:left="508" w:hanging="436"/>
        <w:spacing w:after="0"/>
        <w:tabs>
          <w:tab w:leader="none" w:pos="508" w:val="left"/>
        </w:tabs>
        <w:numPr>
          <w:ilvl w:val="2"/>
          <w:numId w:val="5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as provided above, a person who is not a party to this Charter has no right under the Third Parties Act to enforce or to enjoy the benefit of any term of this Charter.</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Waiver of immunity</w:t>
      </w:r>
    </w:p>
    <w:p>
      <w:pPr>
        <w:spacing w:after="0" w:line="154" w:lineRule="exact"/>
        <w:rPr>
          <w:rFonts w:ascii="Times New Roman" w:cs="Times New Roman" w:eastAsia="Times New Roman" w:hAnsi="Times New Roman"/>
          <w:sz w:val="12"/>
          <w:szCs w:val="12"/>
          <w:b w:val="1"/>
          <w:bCs w:val="1"/>
          <w:color w:val="auto"/>
        </w:rPr>
      </w:pPr>
    </w:p>
    <w:p>
      <w:pPr>
        <w:jc w:val="both"/>
        <w:ind w:left="508" w:hanging="436"/>
        <w:spacing w:after="0" w:line="265" w:lineRule="auto"/>
        <w:tabs>
          <w:tab w:leader="none" w:pos="508" w:val="left"/>
        </w:tabs>
        <w:numPr>
          <w:ilvl w:val="2"/>
          <w:numId w:val="5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the parties may in any jurisdiction claim for themselves or their assets or revenues immunity from any proceedings, suit, execution, attachment (whether in aid of execution, before judgment or otherwise) or other legal process and to the extent that such immunity (whether or not claimed) may be attributed in any such jurisdiction to the parties or their assets or revenues, the parties agree not to claim and irrevocably waive such immunity to the full extent permitted by the laws of such jurisdiction.</w:t>
      </w:r>
    </w:p>
    <w:p>
      <w:pPr>
        <w:spacing w:after="0" w:line="118" w:lineRule="exact"/>
        <w:rPr>
          <w:rFonts w:ascii="Times New Roman" w:cs="Times New Roman" w:eastAsia="Times New Roman" w:hAnsi="Times New Roman"/>
          <w:sz w:val="12"/>
          <w:szCs w:val="12"/>
          <w:color w:val="auto"/>
        </w:rPr>
      </w:pPr>
    </w:p>
    <w:p>
      <w:pPr>
        <w:jc w:val="both"/>
        <w:ind w:left="508" w:hanging="436"/>
        <w:spacing w:after="0" w:line="265" w:lineRule="auto"/>
        <w:tabs>
          <w:tab w:leader="none" w:pos="508" w:val="left"/>
        </w:tabs>
        <w:numPr>
          <w:ilvl w:val="2"/>
          <w:numId w:val="5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consent generally in respect of any proceedings to the giving of any relief and the issue of any process in connection with such proceedings including (without limitation) the making, enforcement or execution against any property whatsoever (irrespective of its use or intended use) of any order or judgment which is made or given in such proceedings. The Parties agree that in any proceedings in England this waiver shall have the fullest scope permitted by the English State Immunity Act 1978 and that this waiver is intended to be irrevocable for the purposes of such Act.</w:t>
      </w:r>
    </w:p>
    <w:p>
      <w:pPr>
        <w:spacing w:after="0" w:line="114" w:lineRule="exact"/>
        <w:rPr>
          <w:rFonts w:ascii="Times New Roman" w:cs="Times New Roman" w:eastAsia="Times New Roman" w:hAnsi="Times New Roman"/>
          <w:sz w:val="12"/>
          <w:szCs w:val="12"/>
          <w:color w:val="auto"/>
        </w:rPr>
      </w:pPr>
    </w:p>
    <w:p>
      <w:pPr>
        <w:ind w:left="968" w:hanging="428"/>
        <w:spacing w:after="0"/>
        <w:tabs>
          <w:tab w:leader="none" w:pos="968" w:val="left"/>
        </w:tabs>
        <w:numPr>
          <w:ilvl w:val="3"/>
          <w:numId w:val="57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FATCA</w:t>
      </w:r>
    </w:p>
    <w:p>
      <w:pPr>
        <w:spacing w:after="0" w:line="154" w:lineRule="exact"/>
        <w:rPr>
          <w:sz w:val="20"/>
          <w:szCs w:val="20"/>
          <w:color w:val="auto"/>
        </w:rPr>
      </w:pPr>
    </w:p>
    <w:p>
      <w:pPr>
        <w:ind w:left="508" w:hanging="436"/>
        <w:spacing w:after="0"/>
        <w:tabs>
          <w:tab w:leader="none" w:pos="508" w:val="left"/>
        </w:tabs>
        <w:numPr>
          <w:ilvl w:val="0"/>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(d)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808" w:hanging="317"/>
        <w:spacing w:after="0"/>
        <w:tabs>
          <w:tab w:leader="none" w:pos="808" w:val="left"/>
        </w:tabs>
        <w:numPr>
          <w:ilvl w:val="1"/>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288" w:hanging="372"/>
        <w:spacing w:after="0"/>
        <w:tabs>
          <w:tab w:leader="none" w:pos="1288" w:val="left"/>
        </w:tabs>
        <w:numPr>
          <w:ilvl w:val="2"/>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288" w:hanging="372"/>
        <w:spacing w:after="0"/>
        <w:tabs>
          <w:tab w:leader="none" w:pos="1288" w:val="left"/>
        </w:tabs>
        <w:numPr>
          <w:ilvl w:val="2"/>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w:t>
      </w:r>
    </w:p>
    <w:p>
      <w:pPr>
        <w:spacing w:after="0" w:line="150" w:lineRule="exact"/>
        <w:rPr>
          <w:rFonts w:ascii="Times New Roman" w:cs="Times New Roman" w:eastAsia="Times New Roman" w:hAnsi="Times New Roman"/>
          <w:sz w:val="12"/>
          <w:szCs w:val="12"/>
          <w:color w:val="auto"/>
        </w:rPr>
      </w:pPr>
    </w:p>
    <w:p>
      <w:pPr>
        <w:ind w:left="908" w:hanging="422"/>
        <w:spacing w:after="0" w:line="279" w:lineRule="auto"/>
        <w:tabs>
          <w:tab w:leader="none" w:pos="908" w:val="left"/>
        </w:tabs>
        <w:numPr>
          <w:ilvl w:val="1"/>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11" w:lineRule="exact"/>
        <w:rPr>
          <w:rFonts w:ascii="Times New Roman" w:cs="Times New Roman" w:eastAsia="Times New Roman" w:hAnsi="Times New Roman"/>
          <w:sz w:val="12"/>
          <w:szCs w:val="12"/>
          <w:color w:val="auto"/>
        </w:rPr>
      </w:pPr>
    </w:p>
    <w:p>
      <w:pPr>
        <w:ind w:left="908" w:hanging="422"/>
        <w:spacing w:after="0" w:line="279" w:lineRule="auto"/>
        <w:tabs>
          <w:tab w:leader="none" w:pos="908" w:val="left"/>
        </w:tabs>
        <w:numPr>
          <w:ilvl w:val="1"/>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508" w:right="20" w:hanging="436"/>
        <w:spacing w:after="0" w:line="279" w:lineRule="auto"/>
        <w:tabs>
          <w:tab w:leader="none" w:pos="508" w:val="left"/>
        </w:tabs>
        <w:numPr>
          <w:ilvl w:val="0"/>
          <w:numId w:val="5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paragraph (b)(i) above that it is a FATCA Exempt Party and it subsequently becomes aware that it is not or has ceased to be a FATCA Exempt Party, that Party shall notify that other Party reasonably promptly.</w:t>
      </w:r>
    </w:p>
    <w:p>
      <w:pPr>
        <w:spacing w:after="0" w:line="111" w:lineRule="exact"/>
        <w:rPr>
          <w:sz w:val="20"/>
          <w:szCs w:val="20"/>
          <w:color w:val="auto"/>
        </w:rPr>
      </w:pPr>
    </w:p>
    <w:p>
      <w:pPr>
        <w:jc w:val="center"/>
        <w:ind w:right="352"/>
        <w:spacing w:after="0"/>
        <w:rPr>
          <w:sz w:val="20"/>
          <w:szCs w:val="20"/>
          <w:color w:val="auto"/>
        </w:rPr>
      </w:pP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10795</wp:posOffset>
            </wp:positionV>
            <wp:extent cx="7178040" cy="571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948"/>
          </w:cols>
          <w:pgMar w:left="652" w:top="205" w:right="299" w:bottom="1440" w:gutter="0" w:footer="0" w:header="0"/>
        </w:sectPr>
      </w:pPr>
    </w:p>
    <w:bookmarkStart w:id="376" w:name="page377"/>
    <w:bookmarkEnd w:id="376"/>
    <w:p>
      <w:pPr>
        <w:jc w:val="right"/>
        <w:spacing w:after="0"/>
        <w:rPr>
          <w:sz w:val="20"/>
          <w:szCs w:val="20"/>
          <w:color w:val="auto"/>
        </w:rPr>
      </w:pPr>
      <w:r>
        <w:rPr>
          <w:rFonts w:ascii="Arial" w:cs="Arial" w:eastAsia="Arial" w:hAnsi="Arial"/>
          <w:sz w:val="10"/>
          <w:szCs w:val="10"/>
          <w:b w:val="1"/>
          <w:bCs w:val="1"/>
          <w:color w:val="auto"/>
        </w:rPr>
        <w:t>SYDNEY EXPRESS</w:t>
      </w:r>
    </w:p>
    <w:p>
      <w:pPr>
        <w:jc w:val="right"/>
        <w:spacing w:after="0" w:line="227" w:lineRule="auto"/>
        <w:rPr>
          <w:sz w:val="20"/>
          <w:szCs w:val="20"/>
          <w:color w:val="auto"/>
        </w:rPr>
      </w:pPr>
      <w:r>
        <w:rPr>
          <w:rFonts w:ascii="Arial" w:cs="Arial" w:eastAsia="Arial" w:hAnsi="Arial"/>
          <w:sz w:val="10"/>
          <w:szCs w:val="10"/>
          <w:b w:val="1"/>
          <w:bCs w:val="1"/>
          <w:color w:val="auto"/>
        </w:rPr>
        <w:t>Bareboat Charter Additional Clauses</w:t>
      </w:r>
    </w:p>
    <w:p>
      <w:pPr>
        <w:ind w:left="440" w:hanging="436"/>
        <w:spacing w:after="0"/>
        <w:tabs>
          <w:tab w:leader="none" w:pos="440"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oblige the Owners to do anything, and paragraph (b)(iii) above shall not oblige any other Party to do anything, which would or might in its reasonable opinion constitute a breach of:</w:t>
      </w:r>
    </w:p>
    <w:p>
      <w:pPr>
        <w:spacing w:after="0" w:line="147"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9"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4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paragraph (b)(i) or (ii) above (including, for the avoidance of doubt, where paragraph (d) above applies), then such Party shall be treated for the purposes of this Charter and the other Transaction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Obligor may make any FATCA Deduction it is required by FATCA to make, and any payment required in connection with that FATCA Deduction, no Party or Obligor shall be required to increase any payment in respect of which it makes such a FATCA Deduction or otherwise compensate the recipient of the payment for that FATCA Deduction.</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or Obligor (if applicable) shall promptly, upon becoming aware that it must make a FATCA Deduction (or that there is any change in the rate or the basis of such FATCA Deduction) notify the Party or Obligor (if applicable) to whom it is making the payment.</w:t>
      </w:r>
    </w:p>
    <w:p>
      <w:pPr>
        <w:spacing w:after="0" w:line="111" w:lineRule="exact"/>
        <w:rPr>
          <w:rFonts w:ascii="Times New Roman" w:cs="Times New Roman" w:eastAsia="Times New Roman" w:hAnsi="Times New Roman"/>
          <w:sz w:val="12"/>
          <w:szCs w:val="12"/>
          <w:color w:val="auto"/>
        </w:rPr>
      </w:pPr>
    </w:p>
    <w:p>
      <w:pPr>
        <w:ind w:left="420" w:right="6140" w:hanging="416"/>
        <w:spacing w:after="0" w:line="497" w:lineRule="auto"/>
        <w:tabs>
          <w:tab w:leader="none" w:pos="433" w:val="left"/>
        </w:tabs>
        <w:numPr>
          <w:ilvl w:val="0"/>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this Clause 72, the following terms shall have the following meanings: "</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United States Internal Revenue Code of 1986, as amended.</w:t>
      </w:r>
    </w:p>
    <w:p>
      <w:pPr>
        <w:ind w:left="4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920" w:hanging="502"/>
        <w:spacing w:after="0"/>
        <w:tabs>
          <w:tab w:leader="none" w:pos="920"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through 1474 of the Code or any associated regulations;</w:t>
      </w:r>
    </w:p>
    <w:p>
      <w:pPr>
        <w:spacing w:after="0" w:line="78" w:lineRule="exact"/>
        <w:rPr>
          <w:rFonts w:ascii="Times New Roman" w:cs="Times New Roman" w:eastAsia="Times New Roman" w:hAnsi="Times New Roman"/>
          <w:sz w:val="12"/>
          <w:szCs w:val="12"/>
          <w:color w:val="auto"/>
        </w:rPr>
      </w:pPr>
    </w:p>
    <w:p>
      <w:pPr>
        <w:ind w:left="920" w:right="20" w:hanging="502"/>
        <w:spacing w:after="0" w:line="279" w:lineRule="auto"/>
        <w:tabs>
          <w:tab w:leader="none" w:pos="920"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(i) above; or</w:t>
      </w:r>
    </w:p>
    <w:p>
      <w:pPr>
        <w:spacing w:after="0" w:line="39" w:lineRule="exact"/>
        <w:rPr>
          <w:rFonts w:ascii="Times New Roman" w:cs="Times New Roman" w:eastAsia="Times New Roman" w:hAnsi="Times New Roman"/>
          <w:sz w:val="12"/>
          <w:szCs w:val="12"/>
          <w:color w:val="auto"/>
        </w:rPr>
      </w:pPr>
    </w:p>
    <w:p>
      <w:pPr>
        <w:ind w:left="920" w:hanging="502"/>
        <w:spacing w:after="0" w:line="279" w:lineRule="auto"/>
        <w:tabs>
          <w:tab w:leader="none" w:pos="920" w:val="left"/>
        </w:tabs>
        <w:numPr>
          <w:ilvl w:val="1"/>
          <w:numId w:val="5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(i) or (ii) above with the US Internal Revenue Service, the US government or any governmental or taxation authority in any other jurisdiction.</w:t>
      </w:r>
    </w:p>
    <w:p>
      <w:pPr>
        <w:spacing w:after="0" w:line="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this Charter or the other Transaction Documents required by FATCA.</w:t>
      </w:r>
    </w:p>
    <w:p>
      <w:pPr>
        <w:spacing w:after="0" w:line="1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ind w:left="460" w:hanging="429"/>
        <w:spacing w:after="0"/>
        <w:tabs>
          <w:tab w:leader="none" w:pos="460" w:val="left"/>
        </w:tabs>
        <w:numPr>
          <w:ilvl w:val="0"/>
          <w:numId w:val="57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Charter and any non-contractual obligations arising out of or in connection with it shall in all respect be governed by and construed in accordance with English law.</w:t>
      </w:r>
    </w:p>
    <w:p>
      <w:pPr>
        <w:spacing w:after="0" w:line="146" w:lineRule="exact"/>
        <w:rPr>
          <w:sz w:val="20"/>
          <w:szCs w:val="20"/>
          <w:color w:val="auto"/>
        </w:rPr>
      </w:pPr>
    </w:p>
    <w:p>
      <w:pPr>
        <w:ind w:left="620" w:hanging="427"/>
        <w:spacing w:after="0"/>
        <w:tabs>
          <w:tab w:leader="none" w:pos="620" w:val="left"/>
        </w:tabs>
        <w:numPr>
          <w:ilvl w:val="1"/>
          <w:numId w:val="57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Arbitration</w:t>
      </w:r>
    </w:p>
    <w:p>
      <w:pPr>
        <w:spacing w:after="0" w:line="154" w:lineRule="exact"/>
        <w:rPr>
          <w:rFonts w:ascii="Times New Roman" w:cs="Times New Roman" w:eastAsia="Times New Roman" w:hAnsi="Times New Roman"/>
          <w:sz w:val="12"/>
          <w:szCs w:val="12"/>
          <w:b w:val="1"/>
          <w:bCs w:val="1"/>
          <w:color w:val="auto"/>
        </w:rPr>
      </w:pPr>
    </w:p>
    <w:p>
      <w:pPr>
        <w:ind w:left="440" w:hanging="436"/>
        <w:spacing w:after="0" w:line="279" w:lineRule="auto"/>
        <w:tabs>
          <w:tab w:leader="none" w:pos="440" w:val="left"/>
        </w:tabs>
        <w:numPr>
          <w:ilvl w:val="0"/>
          <w:numId w:val="5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dispute arising out of or in connection with this Charter shall be referred to arbitration in London in accordance with the Arbitration Act 1996 or any statutory modification or re-enactment thereof save to the extent necessary to give effect to the provisions of this Clause.</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77" w:name="page378"/>
    <w:bookmarkEnd w:id="377"/>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440" w:hanging="436"/>
        <w:spacing w:after="0"/>
        <w:tabs>
          <w:tab w:leader="none" w:pos="440" w:val="left"/>
        </w:tabs>
        <w:numPr>
          <w:ilvl w:val="0"/>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arbitration shall be conducted in accordance with the London Maritime Arbitrators Association (LMAA) Terms current at the time when the arbitration proceedings are commenced.</w:t>
      </w:r>
    </w:p>
    <w:p>
      <w:pPr>
        <w:spacing w:after="0" w:line="150" w:lineRule="exact"/>
        <w:rPr>
          <w:rFonts w:ascii="Times New Roman" w:cs="Times New Roman" w:eastAsia="Times New Roman" w:hAnsi="Times New Roman"/>
          <w:sz w:val="12"/>
          <w:szCs w:val="12"/>
          <w:color w:val="auto"/>
        </w:rPr>
      </w:pPr>
    </w:p>
    <w:p>
      <w:pPr>
        <w:jc w:val="both"/>
        <w:ind w:left="440" w:hanging="436"/>
        <w:spacing w:after="0" w:line="257" w:lineRule="auto"/>
        <w:tabs>
          <w:tab w:leader="none" w:pos="440" w:val="left"/>
        </w:tabs>
        <w:numPr>
          <w:ilvl w:val="0"/>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reference shall be to three arbitrators, one to be appointed by each party and the third, subject to the provisions of the LMAA Terms, by the two so appointed. A party wishing to refer a dispute to arbitration shall appoint its arbitrator and send notice of such appointment in writing to the other party requiring the other party to appoint its own arbitrator within fourteen (14) calendar days of that notice and stating that it will appoint its arbitrator as sole arbitrator unless the other party appoints its own arbitrator and gives notice that it has done so within the fourteen (14) days specified. If the other party does not appoint its own arbitrator and give notice that it has done so within the fourteen (14) days specified, the party referring a dispute to arbitration may, without the requirement of any further prior notice to the other party, appoint its arbitrator as sole arbitrator and shall advise the other party accordingly. The award of a sole arbitrator shall be binding on both Parties as if the sole arbitrator had been appointed by agreement.</w:t>
      </w:r>
    </w:p>
    <w:p>
      <w:pPr>
        <w:spacing w:after="0" w:line="125"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cases where neither the claim nor any counterclaim exceeds the sum of US$100,000 the arbitration shall be conducted in accordance with the LMAA Small Claims Procedure current at the time when the arbitration proceedings are commenced.</w:t>
      </w:r>
    </w:p>
    <w:p>
      <w:pPr>
        <w:spacing w:after="0" w:line="107" w:lineRule="exact"/>
        <w:rPr>
          <w:rFonts w:ascii="Times New Roman" w:cs="Times New Roman" w:eastAsia="Times New Roman" w:hAnsi="Times New Roman"/>
          <w:sz w:val="12"/>
          <w:szCs w:val="12"/>
          <w:color w:val="auto"/>
        </w:rPr>
      </w:pPr>
    </w:p>
    <w:p>
      <w:pPr>
        <w:ind w:left="480" w:hanging="431"/>
        <w:spacing w:after="0"/>
        <w:tabs>
          <w:tab w:leader="none" w:pos="480" w:val="left"/>
        </w:tabs>
        <w:numPr>
          <w:ilvl w:val="1"/>
          <w:numId w:val="57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Confidentiality</w:t>
      </w:r>
    </w:p>
    <w:p>
      <w:pPr>
        <w:spacing w:after="0" w:line="154" w:lineRule="exact"/>
        <w:rPr>
          <w:sz w:val="20"/>
          <w:szCs w:val="20"/>
          <w:color w:val="auto"/>
        </w:rPr>
      </w:pPr>
    </w:p>
    <w:p>
      <w:pPr>
        <w:ind w:left="440" w:hanging="436"/>
        <w:spacing w:after="0"/>
        <w:tabs>
          <w:tab w:leader="none" w:pos="440" w:val="left"/>
        </w:tabs>
        <w:numPr>
          <w:ilvl w:val="0"/>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shall maintain the information provided in connection with the Transaction Documents strictly confidential and agree to disclose to no person other than:</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board of directors, employees (only on a need to know basis), and shareholders, professional advisors (including the legal and accounting advisors and auditors) and rating agencies;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may be required to be disclosed under applicable law or regulations or for the purpose of legal proceedings;</w:t>
      </w:r>
    </w:p>
    <w:p>
      <w:pPr>
        <w:spacing w:after="0" w:line="146" w:lineRule="exact"/>
        <w:rPr>
          <w:rFonts w:ascii="Times New Roman" w:cs="Times New Roman" w:eastAsia="Times New Roman" w:hAnsi="Times New Roman"/>
          <w:sz w:val="12"/>
          <w:szCs w:val="12"/>
          <w:color w:val="auto"/>
        </w:rPr>
      </w:pPr>
    </w:p>
    <w:p>
      <w:pPr>
        <w:jc w:val="both"/>
        <w:ind w:left="860" w:hanging="424"/>
        <w:spacing w:after="0" w:line="262" w:lineRule="auto"/>
        <w:tabs>
          <w:tab w:leader="none" w:pos="860" w:val="left"/>
        </w:tabs>
        <w:numPr>
          <w:ilvl w:val="1"/>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Owners, (1) to any of its Affiliate (more than one of them, collectively, the “</w:t>
      </w:r>
      <w:r>
        <w:rPr>
          <w:rFonts w:ascii="Times New Roman" w:cs="Times New Roman" w:eastAsia="Times New Roman" w:hAnsi="Times New Roman"/>
          <w:sz w:val="12"/>
          <w:szCs w:val="12"/>
          <w:b w:val="1"/>
          <w:bCs w:val="1"/>
          <w:color w:val="auto"/>
        </w:rPr>
        <w:t>Permitted Parties</w:t>
      </w:r>
      <w:r>
        <w:rPr>
          <w:rFonts w:ascii="Times New Roman" w:cs="Times New Roman" w:eastAsia="Times New Roman" w:hAnsi="Times New Roman"/>
          <w:sz w:val="12"/>
          <w:szCs w:val="12"/>
          <w:color w:val="auto"/>
        </w:rPr>
        <w:t>”), any Finance Party or other actual or potential financier providing funding for the acquisition or refinancing of the Vessel (provided the same have entered into similar confidentiality arrangements), (2) to professional advisers, auditors, insurers or insurance brokers and service providers of the Permitted Parties who are under a duty of confidentiality to the Permitted Parties and (3) as required by any law or any government, quasi-government, administrative, regulatory or supervisory body or authority, court or tribunal with jurisdiction over any of the Permitted Parties;</w:t>
      </w:r>
    </w:p>
    <w:p>
      <w:pPr>
        <w:spacing w:after="0" w:line="12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Charterers, to any Sub-Charterers (but subject always to paragraph (b) below) in respect of obtaining any consent required under the terms of any relevant Sub-Charter;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Approved Managers, the classification society and flag authorities, in each case as may be necessary in connection with the transactions contemplated hereunder; and</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5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which is a classification society or other entity which the Owners, any of their Affiliates or a Finance Party has engaged to make the calculations necessary to enable the Owners, any of their Affiliates or a Finance Party to comply with their reporting obligations under the Poseidon Principles.</w:t>
      </w:r>
    </w:p>
    <w:p>
      <w:pPr>
        <w:spacing w:after="0" w:line="11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205" w:right="299" w:bottom="1440" w:gutter="0" w:footer="0" w:header="0"/>
        </w:sectPr>
      </w:pPr>
    </w:p>
    <w:bookmarkStart w:id="378" w:name="page379"/>
    <w:bookmarkEnd w:id="378"/>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267" w:lineRule="exact"/>
        <w:rPr>
          <w:sz w:val="20"/>
          <w:szCs w:val="20"/>
          <w:color w:val="auto"/>
        </w:rPr>
      </w:pPr>
    </w:p>
    <w:p>
      <w:pPr>
        <w:ind w:left="580" w:right="20" w:hanging="436"/>
        <w:spacing w:after="0" w:line="279" w:lineRule="auto"/>
        <w:tabs>
          <w:tab w:leader="none" w:pos="580" w:val="left"/>
        </w:tabs>
        <w:numPr>
          <w:ilvl w:val="2"/>
          <w:numId w:val="5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disclosure by each Party shall be subject to the prior written consent of the other Party, provided that the Charterers may disclose any information provided in connection with the Transaction Documents to their subcontractors and any Sub-Charterers, in each case subject to the procurement of a confidentiality undertaking (in form and substance satisfactory to the Owners) from such sub-contractor or Sub-Charterers.</w:t>
      </w:r>
    </w:p>
    <w:p>
      <w:pPr>
        <w:spacing w:after="0" w:line="107" w:lineRule="exact"/>
        <w:rPr>
          <w:rFonts w:ascii="Times New Roman" w:cs="Times New Roman" w:eastAsia="Times New Roman" w:hAnsi="Times New Roman"/>
          <w:sz w:val="12"/>
          <w:szCs w:val="12"/>
          <w:color w:val="auto"/>
        </w:rPr>
      </w:pPr>
    </w:p>
    <w:p>
      <w:pPr>
        <w:ind w:left="440" w:hanging="440"/>
        <w:spacing w:after="0"/>
        <w:tabs>
          <w:tab w:leader="none" w:pos="440" w:val="left"/>
        </w:tabs>
        <w:numPr>
          <w:ilvl w:val="0"/>
          <w:numId w:val="5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Assignment and Transfer</w:t>
      </w:r>
    </w:p>
    <w:p>
      <w:pPr>
        <w:spacing w:after="0" w:line="154" w:lineRule="exact"/>
        <w:rPr>
          <w:rFonts w:ascii="Times New Roman" w:cs="Times New Roman" w:eastAsia="Times New Roman" w:hAnsi="Times New Roman"/>
          <w:sz w:val="12"/>
          <w:szCs w:val="12"/>
          <w:b w:val="1"/>
          <w:bCs w:val="1"/>
          <w:color w:val="auto"/>
        </w:rPr>
      </w:pPr>
    </w:p>
    <w:p>
      <w:pPr>
        <w:ind w:left="580" w:hanging="436"/>
        <w:spacing w:after="0" w:line="279" w:lineRule="auto"/>
        <w:tabs>
          <w:tab w:leader="none" w:pos="580" w:val="left"/>
        </w:tabs>
        <w:numPr>
          <w:ilvl w:val="2"/>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Charterers shall not be permitted to assign or transfer any of their rights or obligations under this Charter without the Owners’ written approval. The Owners shall have the right to assign or transfer any or all of their rights under this Charter in accordance with the provisions of Clause 5 of the Security Trust Deed.</w:t>
      </w:r>
    </w:p>
    <w:p>
      <w:pPr>
        <w:spacing w:after="0" w:line="109" w:lineRule="exact"/>
        <w:rPr>
          <w:rFonts w:ascii="Times New Roman" w:cs="Times New Roman" w:eastAsia="Times New Roman" w:hAnsi="Times New Roman"/>
          <w:sz w:val="12"/>
          <w:szCs w:val="12"/>
          <w:color w:val="auto"/>
        </w:rPr>
      </w:pPr>
    </w:p>
    <w:p>
      <w:pPr>
        <w:ind w:left="580" w:right="20" w:hanging="436"/>
        <w:spacing w:after="0" w:line="283" w:lineRule="auto"/>
        <w:tabs>
          <w:tab w:leader="none" w:pos="580" w:val="left"/>
        </w:tabs>
        <w:numPr>
          <w:ilvl w:val="2"/>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the generality of Clause 48(m)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the Charterer undertakes to execute, provide or procure the execution or provision (as the case may be) of such further information or document as is necessary to effect the assignment and/or transfer referred to in sub-paragraph (a) above.</w:t>
      </w:r>
    </w:p>
    <w:p>
      <w:pPr>
        <w:spacing w:after="0" w:line="104" w:lineRule="exact"/>
        <w:rPr>
          <w:rFonts w:ascii="Times New Roman" w:cs="Times New Roman" w:eastAsia="Times New Roman" w:hAnsi="Times New Roman"/>
          <w:sz w:val="12"/>
          <w:szCs w:val="12"/>
          <w:color w:val="auto"/>
        </w:rPr>
      </w:pPr>
    </w:p>
    <w:p>
      <w:pPr>
        <w:ind w:left="540" w:hanging="441"/>
        <w:spacing w:after="0"/>
        <w:tabs>
          <w:tab w:leader="none" w:pos="540" w:val="left"/>
        </w:tabs>
        <w:numPr>
          <w:ilvl w:val="1"/>
          <w:numId w:val="58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Financing Charter</w:t>
      </w:r>
    </w:p>
    <w:p>
      <w:pPr>
        <w:spacing w:after="0" w:line="154" w:lineRule="exact"/>
        <w:rPr>
          <w:rFonts w:ascii="Times New Roman" w:cs="Times New Roman" w:eastAsia="Times New Roman" w:hAnsi="Times New Roman"/>
          <w:sz w:val="12"/>
          <w:szCs w:val="12"/>
          <w:b w:val="1"/>
          <w:bCs w:val="1"/>
          <w:color w:val="auto"/>
        </w:rPr>
      </w:pPr>
    </w:p>
    <w:p>
      <w:pPr>
        <w:jc w:val="both"/>
        <w:ind w:left="560" w:hanging="425"/>
        <w:spacing w:after="0" w:line="260" w:lineRule="auto"/>
        <w:tabs>
          <w:tab w:leader="none" w:pos="560" w:val="left"/>
        </w:tabs>
        <w:numPr>
          <w:ilvl w:val="2"/>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Owners and the Charterers hereto acknowledge and agree that this Charter shall be construed as a "financing charter" for all purposes under the Liberian Maritime Law, and this Charter is intended to be treated as a preferred mortgage over the whole of the Vessel in favour of the Owners under any provision of law now existing or hereafter coming into force in the Republic of Liberia. The Charterers grant to the Owners, and the Owners retain as security for the payment and performance of all the Obligors their respective obligations under and in connection with the Transaction Documents, whether now or hereafter incurred, all of the Charterers’ interest in and to the whole of the Vessel. The Charterers shall cause this Charter to be recorded in accordance with said Law.</w:t>
      </w:r>
    </w:p>
    <w:p>
      <w:pPr>
        <w:spacing w:after="0" w:line="122" w:lineRule="exact"/>
        <w:rPr>
          <w:rFonts w:ascii="Times New Roman" w:cs="Times New Roman" w:eastAsia="Times New Roman" w:hAnsi="Times New Roman"/>
          <w:sz w:val="12"/>
          <w:szCs w:val="12"/>
          <w:color w:val="auto"/>
        </w:rPr>
      </w:pPr>
    </w:p>
    <w:p>
      <w:pPr>
        <w:jc w:val="both"/>
        <w:ind w:left="560" w:hanging="425"/>
        <w:spacing w:after="0" w:line="265" w:lineRule="auto"/>
        <w:tabs>
          <w:tab w:leader="none" w:pos="560" w:val="left"/>
        </w:tabs>
        <w:numPr>
          <w:ilvl w:val="2"/>
          <w:numId w:val="5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recording this Charter as a Financing Charter under the laws of the Republic of Liberia, the maximum aggregate of the nominal amount of all charter hire payments, termination payments, purchase or put option amounts payable, or which may become payable, is United States Dollars Forty Four Million Five Hundred Thousand (US$44,500,000), plus interest, liabilities, indemnities, costs, expenses, fees and performance of the Charterers’ covenants.</w:t>
      </w:r>
    </w:p>
    <w:p>
      <w:pPr>
        <w:spacing w:after="0" w:line="25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[Execution page and scheduled to follow]</w:t>
      </w:r>
    </w:p>
    <w:p>
      <w:pPr>
        <w:spacing w:after="0" w:line="15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10795</wp:posOffset>
            </wp:positionV>
            <wp:extent cx="7178040" cy="571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020"/>
          </w:cols>
          <w:pgMar w:left="580" w:top="205" w:right="299" w:bottom="1440" w:gutter="0" w:footer="0" w:header="0"/>
        </w:sectPr>
      </w:pPr>
    </w:p>
    <w:bookmarkStart w:id="379" w:name="page380"/>
    <w:bookmarkEnd w:id="379"/>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PROTOCOL OF DELIVERY AND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It is hereby certified that pursuant to a bareboat charter dated ___________________ and made between </w:t>
      </w:r>
      <w:r>
        <w:rPr>
          <w:rFonts w:ascii="Times New Roman" w:cs="Times New Roman" w:eastAsia="Times New Roman" w:hAnsi="Times New Roman"/>
          <w:sz w:val="12"/>
          <w:szCs w:val="12"/>
          <w:b w:val="1"/>
          <w:bCs w:val="1"/>
          <w:color w:val="auto"/>
        </w:rPr>
        <w:t>OCEAN RAINBOW SHIPPING LIMITED</w:t>
      </w:r>
      <w:r>
        <w:rPr>
          <w:rFonts w:ascii="Times New Roman" w:cs="Times New Roman" w:eastAsia="Times New Roman" w:hAnsi="Times New Roman"/>
          <w:sz w:val="12"/>
          <w:szCs w:val="12"/>
          <w:color w:val="auto"/>
        </w:rPr>
        <w:t>, a company incorporated and existing under the laws the laws of the Hong Kong</w:t>
      </w:r>
    </w:p>
    <w:p>
      <w:pPr>
        <w:spacing w:after="0" w:line="42" w:lineRule="exact"/>
        <w:rPr>
          <w:sz w:val="20"/>
          <w:szCs w:val="20"/>
          <w:color w:val="auto"/>
        </w:rPr>
      </w:pPr>
    </w:p>
    <w:p>
      <w:pPr>
        <w:jc w:val="both"/>
        <w:spacing w:after="0" w:line="325" w:lineRule="auto"/>
        <w:rPr>
          <w:sz w:val="20"/>
          <w:szCs w:val="20"/>
          <w:color w:val="auto"/>
        </w:rPr>
      </w:pPr>
      <w:r>
        <w:rPr>
          <w:rFonts w:ascii="Times New Roman" w:cs="Times New Roman" w:eastAsia="Times New Roman" w:hAnsi="Times New Roman"/>
          <w:sz w:val="12"/>
          <w:szCs w:val="12"/>
          <w:color w:val="auto"/>
        </w:rPr>
        <w:t>Special Administrative Region of the People’s Republic of China and having its registered office at Units 904-907, 9/F, Dah Sing Financial Centre, 248 Queen's Road East,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xml:space="preserve">") as owner and </w:t>
      </w:r>
      <w:r>
        <w:rPr>
          <w:rFonts w:ascii="Times New Roman" w:cs="Times New Roman" w:eastAsia="Times New Roman" w:hAnsi="Times New Roman"/>
          <w:sz w:val="12"/>
          <w:szCs w:val="12"/>
          <w:b w:val="1"/>
          <w:bCs w:val="1"/>
          <w:color w:val="auto"/>
        </w:rPr>
        <w:t>GLOBAL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SHIP LEASE 78 LLC</w:t>
      </w:r>
      <w:r>
        <w:rPr>
          <w:rFonts w:ascii="Times New Roman" w:cs="Times New Roman" w:eastAsia="Times New Roman" w:hAnsi="Times New Roman"/>
          <w:sz w:val="12"/>
          <w:szCs w:val="12"/>
          <w:color w:val="auto"/>
        </w:rPr>
        <w:t>, a limited liability company incorporated and existing under the laws of the Republic of Liberia and having its registered office at 80 Broad Street, Monrovia, Liberia (the "</w:t>
      </w:r>
      <w:r>
        <w:rPr>
          <w:rFonts w:ascii="Times New Roman" w:cs="Times New Roman" w:eastAsia="Times New Roman" w:hAnsi="Times New Roman"/>
          <w:sz w:val="12"/>
          <w:szCs w:val="12"/>
          <w:b w:val="1"/>
          <w:bCs w:val="1"/>
          <w:color w:val="auto"/>
        </w:rPr>
        <w:t>Bareboat Charterer</w:t>
      </w:r>
      <w:r>
        <w:rPr>
          <w:rFonts w:ascii="Times New Roman" w:cs="Times New Roman" w:eastAsia="Times New Roman" w:hAnsi="Times New Roman"/>
          <w:sz w:val="12"/>
          <w:szCs w:val="12"/>
          <w:color w:val="auto"/>
        </w:rPr>
        <w:t>") as bareboat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charterer (as may be amended and supplemented from time to time, the "</w:t>
      </w:r>
      <w:r>
        <w:rPr>
          <w:rFonts w:ascii="Times New Roman" w:cs="Times New Roman" w:eastAsia="Times New Roman" w:hAnsi="Times New Roman"/>
          <w:sz w:val="12"/>
          <w:szCs w:val="12"/>
          <w:b w:val="1"/>
          <w:bCs w:val="1"/>
          <w:color w:val="auto"/>
        </w:rPr>
        <w:t>Bareboat Charter</w:t>
      </w:r>
      <w:r>
        <w:rPr>
          <w:rFonts w:ascii="Times New Roman" w:cs="Times New Roman" w:eastAsia="Times New Roman" w:hAnsi="Times New Roman"/>
          <w:sz w:val="12"/>
          <w:szCs w:val="12"/>
          <w:color w:val="auto"/>
        </w:rPr>
        <w:t>") in respect of one (1) bulk carrier named "</w:t>
      </w:r>
      <w:r>
        <w:rPr>
          <w:rFonts w:ascii="Times New Roman" w:cs="Times New Roman" w:eastAsia="Times New Roman" w:hAnsi="Times New Roman"/>
          <w:sz w:val="12"/>
          <w:szCs w:val="12"/>
          <w:b w:val="1"/>
          <w:bCs w:val="1"/>
          <w:color w:val="auto"/>
        </w:rPr>
        <w:t>SYDNEY EXPRESS</w:t>
      </w:r>
      <w:r>
        <w:rPr>
          <w:rFonts w:ascii="Times New Roman" w:cs="Times New Roman" w:eastAsia="Times New Roman" w:hAnsi="Times New Roman"/>
          <w:sz w:val="12"/>
          <w:szCs w:val="12"/>
          <w:color w:val="auto"/>
        </w:rPr>
        <w:t xml:space="preserve">" with IMO Number </w:t>
      </w:r>
      <w:r>
        <w:rPr>
          <w:rFonts w:ascii="Times New Roman" w:cs="Times New Roman" w:eastAsia="Times New Roman" w:hAnsi="Times New Roman"/>
          <w:sz w:val="12"/>
          <w:szCs w:val="12"/>
          <w:b w:val="1"/>
          <w:bCs w:val="1"/>
          <w:color w:val="auto"/>
        </w:rPr>
        <w:t>9723265</w:t>
      </w:r>
      <w:r>
        <w:rPr>
          <w:rFonts w:ascii="Times New Roman" w:cs="Times New Roman" w:eastAsia="Times New Roman" w:hAnsi="Times New Roman"/>
          <w:sz w:val="12"/>
          <w:szCs w:val="12"/>
          <w:color w:val="auto"/>
        </w:rPr>
        <w:t xml:space="preserve"> (the "</w:t>
      </w:r>
      <w:r>
        <w:rPr>
          <w:rFonts w:ascii="Times New Roman" w:cs="Times New Roman" w:eastAsia="Times New Roman" w:hAnsi="Times New Roman"/>
          <w:sz w:val="12"/>
          <w:szCs w:val="12"/>
          <w:b w:val="1"/>
          <w:bCs w:val="1"/>
          <w:color w:val="auto"/>
        </w:rPr>
        <w:t>Vessel</w:t>
      </w:r>
      <w:r>
        <w:rPr>
          <w:rFonts w:ascii="Times New Roman" w:cs="Times New Roman" w:eastAsia="Times New Roman" w:hAnsi="Times New Roman"/>
          <w:sz w:val="12"/>
          <w:szCs w:val="12"/>
          <w:color w:val="auto"/>
        </w:rPr>
        <w:t>"), the Vessel is delivered for charter by the Owner to the Bareboat Charterer, and accepted by the Bareboat Charterer from the Owner at __________ hours (Beijing time) on the date hereof in accordance with the terms and conditions of the Bareboat Charter.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WITNESS WHEREOF, the Owner and the Bareboat Charterer have caused this PROTOCOL OF DELIVERY AND ACCEPTANCE to be executed by their duly authorised representative on this _______ day of _____________ .</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RAINBOW SHIPPING LIMITED</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GLOBAL SHIP LEASE 78 LLC</w:t>
            </w:r>
          </w:p>
        </w:tc>
      </w:tr>
      <w:tr>
        <w:trPr>
          <w:trHeight w:val="279"/>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3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Title:</w:t>
            </w:r>
          </w:p>
        </w:tc>
      </w:tr>
      <w:tr>
        <w:trPr>
          <w:trHeight w:val="486"/>
        </w:trPr>
        <w:tc>
          <w:tcPr>
            <w:tcW w:w="39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2"/>
                <w:szCs w:val="12"/>
                <w:color w:val="auto"/>
              </w:rPr>
              <w:t>69</w:t>
            </w:r>
          </w:p>
        </w:tc>
      </w:tr>
    </w:tbl>
    <w:p>
      <w:pPr>
        <w:sectPr>
          <w:pgSz w:w="11900" w:h="16838" w:orient="portrait"/>
          <w:cols w:equalWidth="0" w:num="1">
            <w:col w:w="11300"/>
          </w:cols>
          <w:pgMar w:left="300" w:top="205" w:right="299" w:bottom="1440" w:gutter="0" w:footer="0" w:header="0"/>
        </w:sectPr>
      </w:pPr>
    </w:p>
    <w:bookmarkStart w:id="380" w:name="page381"/>
    <w:bookmarkEnd w:id="380"/>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FORM OF TITLE TRANSFER PROTOCOL OF DELIVERY AND ACCEPTANCE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PROTOCOL OF DELIVERY AND ACCEPTANCE</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"[VESSEL NAME]"</w:t>
      </w:r>
    </w:p>
    <w:p>
      <w:pPr>
        <w:spacing w:after="0" w:line="24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color w:val="auto"/>
        </w:rPr>
        <w:t xml:space="preserve">OCEAN RAINBOW SHIPPING LIMITED </w:t>
      </w:r>
      <w:r>
        <w:rPr>
          <w:rFonts w:ascii="Times New Roman" w:cs="Times New Roman" w:eastAsia="Times New Roman" w:hAnsi="Times New Roman"/>
          <w:sz w:val="12"/>
          <w:szCs w:val="12"/>
          <w:color w:val="auto"/>
        </w:rPr>
        <w:t>of [</w:t>
      </w:r>
      <w:r>
        <w:rPr>
          <w:rFonts w:ascii="Times New Roman" w:cs="Times New Roman" w:eastAsia="Times New Roman" w:hAnsi="Times New Roman"/>
          <w:sz w:val="12"/>
          <w:szCs w:val="12"/>
          <w:i w:val="1"/>
          <w:iCs w:val="1"/>
          <w:color w:val="auto"/>
        </w:rPr>
        <w:t>registered address</w:t>
      </w:r>
      <w:r>
        <w:rPr>
          <w:rFonts w:ascii="Times New Roman" w:cs="Times New Roman" w:eastAsia="Times New Roman" w:hAnsi="Times New Roman"/>
          <w:sz w:val="12"/>
          <w:szCs w:val="12"/>
          <w:color w:val="auto"/>
        </w:rPr>
        <w:t>], Hong Kong, China (the "</w:t>
      </w:r>
      <w:r>
        <w:rPr>
          <w:rFonts w:ascii="Times New Roman" w:cs="Times New Roman" w:eastAsia="Times New Roman" w:hAnsi="Times New Roman"/>
          <w:sz w:val="12"/>
          <w:szCs w:val="12"/>
          <w:b w:val="1"/>
          <w:bCs w:val="1"/>
          <w:color w:val="auto"/>
        </w:rPr>
        <w:t>Owners</w:t>
      </w:r>
      <w:r>
        <w:rPr>
          <w:rFonts w:ascii="Times New Roman" w:cs="Times New Roman" w:eastAsia="Times New Roman" w:hAnsi="Times New Roman"/>
          <w:sz w:val="12"/>
          <w:szCs w:val="12"/>
          <w:color w:val="auto"/>
        </w:rPr>
        <w:t>") deliver to</w:t>
      </w:r>
      <w:r>
        <w:rPr>
          <w:rFonts w:ascii="Times New Roman" w:cs="Times New Roman" w:eastAsia="Times New Roman" w:hAnsi="Times New Roman"/>
          <w:sz w:val="12"/>
          <w:szCs w:val="12"/>
          <w:b w:val="1"/>
          <w:bCs w:val="1"/>
          <w:color w:val="auto"/>
        </w:rPr>
        <w:t xml:space="preserve"> GLOBAL SHIP LEASE 78 LLC </w:t>
      </w:r>
      <w:r>
        <w:rPr>
          <w:rFonts w:ascii="Times New Roman" w:cs="Times New Roman" w:eastAsia="Times New Roman" w:hAnsi="Times New Roman"/>
          <w:sz w:val="12"/>
          <w:szCs w:val="12"/>
          <w:color w:val="auto"/>
        </w:rPr>
        <w:t>of 80 Broad Street, Monrovia, Liberia (the "</w:t>
      </w:r>
      <w:r>
        <w:rPr>
          <w:rFonts w:ascii="Times New Roman" w:cs="Times New Roman" w:eastAsia="Times New Roman" w:hAnsi="Times New Roman"/>
          <w:sz w:val="12"/>
          <w:szCs w:val="12"/>
          <w:b w:val="1"/>
          <w:bCs w:val="1"/>
          <w:color w:val="auto"/>
        </w:rPr>
        <w:t>Bareboat Charterers</w:t>
      </w:r>
      <w:r>
        <w:rPr>
          <w:rFonts w:ascii="Times New Roman" w:cs="Times New Roman" w:eastAsia="Times New Roman" w:hAnsi="Times New Roman"/>
          <w:sz w:val="12"/>
          <w:szCs w:val="12"/>
          <w:color w:val="auto"/>
        </w:rPr>
        <w:t>") the Vessel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described below and the Bareboat Charterers accept delivery of, title and risk to the Vessel pursuant to the terms and conditions of the bareboat charterer dated [●] (as may be amended and supplemented from time to time) and made between (1) the Owners and (2) the Bareboat Charterers.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Name of Vessel:</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Flag:</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Place of Registration:</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IMO Number:</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Gross Registered Tonnage:</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Net Registered Tonnage:</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Dated:</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_____________________ 20[●]</w:t>
            </w:r>
          </w:p>
        </w:tc>
      </w:tr>
      <w:tr>
        <w:trPr>
          <w:trHeight w:val="288"/>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At:</w:t>
            </w:r>
          </w:p>
        </w:tc>
        <w:tc>
          <w:tcPr>
            <w:tcW w:w="7360" w:type="dxa"/>
            <w:vAlign w:val="bottom"/>
          </w:tcPr>
          <w:p>
            <w:pPr>
              <w:ind w:left="1700"/>
              <w:spacing w:after="0"/>
              <w:rPr>
                <w:sz w:val="20"/>
                <w:szCs w:val="20"/>
                <w:color w:val="auto"/>
              </w:rPr>
            </w:pPr>
            <w:r>
              <w:rPr>
                <w:rFonts w:ascii="Times New Roman" w:cs="Times New Roman" w:eastAsia="Times New Roman" w:hAnsi="Times New Roman"/>
                <w:sz w:val="12"/>
                <w:szCs w:val="12"/>
                <w:color w:val="auto"/>
              </w:rPr>
              <w:t>_____________ hours (Beijing time)</w:t>
            </w:r>
          </w:p>
        </w:tc>
      </w:tr>
      <w:tr>
        <w:trPr>
          <w:trHeight w:val="468"/>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b w:val="1"/>
                <w:bCs w:val="1"/>
                <w:color w:val="auto"/>
              </w:rPr>
              <w:t>OCEAN RAINBOW SHIPPING LIMITED</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b w:val="1"/>
                <w:bCs w:val="1"/>
                <w:color w:val="auto"/>
              </w:rPr>
              <w:t>GLOBAL SHIP LEASE 78 LLC</w:t>
            </w:r>
          </w:p>
        </w:tc>
      </w:tr>
      <w:tr>
        <w:trPr>
          <w:trHeight w:val="279"/>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by:</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by:</w:t>
            </w:r>
          </w:p>
        </w:tc>
      </w:tr>
      <w:tr>
        <w:trPr>
          <w:trHeight w:val="567"/>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________________________________</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________________________________</w:t>
            </w:r>
          </w:p>
        </w:tc>
      </w:tr>
      <w:tr>
        <w:trPr>
          <w:trHeight w:val="261"/>
        </w:trPr>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Name:</w:t>
            </w:r>
          </w:p>
        </w:tc>
        <w:tc>
          <w:tcPr>
            <w:tcW w:w="736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Name:</w:t>
            </w:r>
          </w:p>
        </w:tc>
      </w:tr>
      <w:tr>
        <w:trPr>
          <w:trHeight w:val="261"/>
        </w:trPr>
        <w:tc>
          <w:tcPr>
            <w:tcW w:w="394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Title:</w:t>
            </w:r>
          </w:p>
        </w:tc>
        <w:tc>
          <w:tcPr>
            <w:tcW w:w="736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Title:</w:t>
            </w:r>
          </w:p>
        </w:tc>
      </w:tr>
      <w:tr>
        <w:trPr>
          <w:trHeight w:val="468"/>
        </w:trPr>
        <w:tc>
          <w:tcPr>
            <w:tcW w:w="3940" w:type="dxa"/>
            <w:vAlign w:val="bottom"/>
            <w:tcBorders>
              <w:bottom w:val="single" w:sz="8" w:color="auto"/>
            </w:tcBorders>
          </w:tcPr>
          <w:p>
            <w:pPr>
              <w:spacing w:after="0"/>
              <w:rPr>
                <w:sz w:val="24"/>
                <w:szCs w:val="24"/>
                <w:color w:val="auto"/>
              </w:rPr>
            </w:pPr>
          </w:p>
        </w:tc>
        <w:tc>
          <w:tcPr>
            <w:tcW w:w="7360" w:type="dxa"/>
            <w:vAlign w:val="bottom"/>
            <w:tcBorders>
              <w:bottom w:val="single" w:sz="8" w:color="auto"/>
            </w:tcBorders>
          </w:tcPr>
          <w:p>
            <w:pPr>
              <w:ind w:left="1640"/>
              <w:spacing w:after="0"/>
              <w:rPr>
                <w:sz w:val="20"/>
                <w:szCs w:val="20"/>
                <w:color w:val="auto"/>
              </w:rPr>
            </w:pPr>
            <w:r>
              <w:rPr>
                <w:rFonts w:ascii="Times New Roman" w:cs="Times New Roman" w:eastAsia="Times New Roman" w:hAnsi="Times New Roman"/>
                <w:sz w:val="12"/>
                <w:szCs w:val="12"/>
                <w:color w:val="auto"/>
              </w:rPr>
              <w:t>70</w:t>
            </w:r>
          </w:p>
        </w:tc>
      </w:tr>
    </w:tbl>
    <w:p>
      <w:pPr>
        <w:sectPr>
          <w:pgSz w:w="11900" w:h="16838" w:orient="portrait"/>
          <w:cols w:equalWidth="0" w:num="1">
            <w:col w:w="11300"/>
          </w:cols>
          <w:pgMar w:left="300" w:top="205" w:right="299" w:bottom="1440" w:gutter="0" w:footer="0" w:header="0"/>
        </w:sectPr>
      </w:pPr>
    </w:p>
    <w:bookmarkStart w:id="381" w:name="page382"/>
    <w:bookmarkEnd w:id="381"/>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15"/>
        </w:trPr>
        <w:tc>
          <w:tcPr>
            <w:tcW w:w="29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29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SYDNEY EXPRESS</w:t>
            </w:r>
          </w:p>
        </w:tc>
      </w:tr>
      <w:tr>
        <w:trPr>
          <w:trHeight w:val="131"/>
        </w:trPr>
        <w:tc>
          <w:tcPr>
            <w:tcW w:w="2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294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Bareboat Charter Additional Clauses</w:t>
            </w:r>
          </w:p>
        </w:tc>
      </w:tr>
      <w:tr>
        <w:trPr>
          <w:trHeight w:val="257"/>
        </w:trPr>
        <w:tc>
          <w:tcPr>
            <w:tcW w:w="29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rPr>
              <w:t>SCHEDULE 3</w:t>
            </w:r>
          </w:p>
        </w:tc>
        <w:tc>
          <w:tcPr>
            <w:tcW w:w="29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59"/>
        </w:trPr>
        <w:tc>
          <w:tcPr>
            <w:tcW w:w="2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300" w:type="dxa"/>
            <w:vAlign w:val="bottom"/>
          </w:tcPr>
          <w:p>
            <w:pPr>
              <w:jc w:val="center"/>
              <w:ind w:right="1120"/>
              <w:spacing w:after="0"/>
              <w:rPr>
                <w:sz w:val="20"/>
                <w:szCs w:val="20"/>
                <w:color w:val="auto"/>
              </w:rPr>
            </w:pPr>
            <w:r>
              <w:rPr>
                <w:rFonts w:ascii="Times New Roman" w:cs="Times New Roman" w:eastAsia="Times New Roman" w:hAnsi="Times New Roman"/>
                <w:sz w:val="12"/>
                <w:szCs w:val="12"/>
                <w:b w:val="1"/>
                <w:bCs w:val="1"/>
                <w:color w:val="auto"/>
                <w:w w:val="98"/>
              </w:rPr>
              <w:t>RELATED CHARTER AND RELEVANT INFORMATION</w:t>
            </w:r>
          </w:p>
        </w:tc>
        <w:tc>
          <w:tcPr>
            <w:tcW w:w="29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88"/>
        </w:trPr>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3"/>
        </w:trPr>
        <w:tc>
          <w:tcPr>
            <w:tcW w:w="2960" w:type="dxa"/>
            <w:vAlign w:val="bottom"/>
            <w:tcBorders>
              <w:left w:val="single" w:sz="8" w:color="auto"/>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Name of Ship</w:t>
            </w:r>
          </w:p>
        </w:tc>
        <w:tc>
          <w:tcPr>
            <w:tcW w:w="1120" w:type="dxa"/>
            <w:vAlign w:val="bottom"/>
            <w:tcBorders>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IMO Number</w:t>
            </w:r>
          </w:p>
        </w:tc>
        <w:tc>
          <w:tcPr>
            <w:tcW w:w="4300" w:type="dxa"/>
            <w:vAlign w:val="bottom"/>
            <w:tcBorders>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9"/>
              </w:rPr>
              <w:t>Related Owners</w:t>
            </w:r>
          </w:p>
        </w:tc>
        <w:tc>
          <w:tcPr>
            <w:tcW w:w="2920" w:type="dxa"/>
            <w:vAlign w:val="bottom"/>
            <w:tcBorders>
              <w:bottom w:val="single" w:sz="8" w:color="auto"/>
              <w:right w:val="single" w:sz="8" w:color="auto"/>
            </w:tcBorders>
            <w:shd w:val="clear" w:color="auto" w:fill="BFBFBF"/>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w w:val="98"/>
              </w:rPr>
              <w:t>Related Charterers</w:t>
            </w:r>
          </w:p>
        </w:tc>
        <w:tc>
          <w:tcPr>
            <w:tcW w:w="20" w:type="dxa"/>
            <w:vAlign w:val="bottom"/>
          </w:tcPr>
          <w:p>
            <w:pPr>
              <w:spacing w:after="0"/>
              <w:rPr>
                <w:sz w:val="11"/>
                <w:szCs w:val="11"/>
                <w:color w:val="auto"/>
              </w:rPr>
            </w:pP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6"/>
              </w:rPr>
              <w:t>CZECH</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9723241</w:t>
            </w:r>
          </w:p>
        </w:tc>
        <w:tc>
          <w:tcPr>
            <w:tcW w:w="43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DANCE SHIPPING LIMITED</w:t>
            </w:r>
          </w:p>
        </w:tc>
        <w:tc>
          <w:tcPr>
            <w:tcW w:w="2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76 LLC</w:t>
            </w:r>
          </w:p>
        </w:tc>
        <w:tc>
          <w:tcPr>
            <w:tcW w:w="20" w:type="dxa"/>
            <w:vAlign w:val="bottom"/>
          </w:tcPr>
          <w:p>
            <w:pPr>
              <w:spacing w:after="0"/>
              <w:rPr>
                <w:sz w:val="11"/>
                <w:szCs w:val="11"/>
                <w:color w:val="auto"/>
              </w:rPr>
            </w:pP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BREMERHAVEN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9723253</w:t>
            </w:r>
          </w:p>
        </w:tc>
        <w:tc>
          <w:tcPr>
            <w:tcW w:w="43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JING SHIPPING LIMITED</w:t>
            </w:r>
          </w:p>
        </w:tc>
        <w:tc>
          <w:tcPr>
            <w:tcW w:w="2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77 LLC</w:t>
            </w:r>
          </w:p>
        </w:tc>
        <w:tc>
          <w:tcPr>
            <w:tcW w:w="20" w:type="dxa"/>
            <w:vAlign w:val="bottom"/>
          </w:tcPr>
          <w:p>
            <w:pPr>
              <w:spacing w:after="0"/>
              <w:rPr>
                <w:sz w:val="11"/>
                <w:szCs w:val="11"/>
                <w:color w:val="auto"/>
              </w:rPr>
            </w:pPr>
          </w:p>
        </w:tc>
      </w:tr>
      <w:tr>
        <w:trPr>
          <w:trHeight w:val="133"/>
        </w:trPr>
        <w:tc>
          <w:tcPr>
            <w:tcW w:w="2960" w:type="dxa"/>
            <w:vAlign w:val="bottom"/>
            <w:tcBorders>
              <w:left w:val="single" w:sz="8" w:color="auto"/>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ISTANBUL EXPRESS</w:t>
            </w:r>
          </w:p>
        </w:tc>
        <w:tc>
          <w:tcPr>
            <w:tcW w:w="11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9"/>
              </w:rPr>
              <w:t>9723277</w:t>
            </w:r>
          </w:p>
        </w:tc>
        <w:tc>
          <w:tcPr>
            <w:tcW w:w="430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rPr>
              <w:t>OCEAN TIANXIU SHIPPING LIMITED</w:t>
            </w:r>
          </w:p>
        </w:tc>
        <w:tc>
          <w:tcPr>
            <w:tcW w:w="2920" w:type="dxa"/>
            <w:vAlign w:val="bottom"/>
            <w:tcBorders>
              <w:bottom w:val="single" w:sz="8" w:color="auto"/>
              <w:right w:val="single" w:sz="8" w:color="auto"/>
            </w:tcBorders>
          </w:tcPr>
          <w:p>
            <w:pPr>
              <w:jc w:val="center"/>
              <w:spacing w:after="0" w:line="133" w:lineRule="exact"/>
              <w:rPr>
                <w:sz w:val="20"/>
                <w:szCs w:val="20"/>
                <w:color w:val="auto"/>
              </w:rPr>
            </w:pPr>
            <w:r>
              <w:rPr>
                <w:rFonts w:ascii="Times New Roman" w:cs="Times New Roman" w:eastAsia="Times New Roman" w:hAnsi="Times New Roman"/>
                <w:sz w:val="12"/>
                <w:szCs w:val="12"/>
                <w:color w:val="auto"/>
                <w:w w:val="98"/>
              </w:rPr>
              <w:t>GLOBAL SHIP LEASE 79 LLC</w:t>
            </w:r>
          </w:p>
        </w:tc>
        <w:tc>
          <w:tcPr>
            <w:tcW w:w="20" w:type="dxa"/>
            <w:vAlign w:val="bottom"/>
          </w:tcPr>
          <w:p>
            <w:pPr>
              <w:spacing w:after="0"/>
              <w:rPr>
                <w:sz w:val="11"/>
                <w:szCs w:val="11"/>
                <w:color w:val="auto"/>
              </w:rPr>
            </w:pPr>
          </w:p>
        </w:tc>
      </w:tr>
      <w:tr>
        <w:trPr>
          <w:trHeight w:val="295"/>
        </w:trPr>
        <w:tc>
          <w:tcPr>
            <w:tcW w:w="29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center"/>
              <w:ind w:right="1120"/>
              <w:spacing w:after="0"/>
              <w:rPr>
                <w:sz w:val="20"/>
                <w:szCs w:val="20"/>
                <w:color w:val="auto"/>
              </w:rPr>
            </w:pPr>
            <w:r>
              <w:rPr>
                <w:rFonts w:ascii="Times New Roman" w:cs="Times New Roman" w:eastAsia="Times New Roman" w:hAnsi="Times New Roman"/>
                <w:sz w:val="12"/>
                <w:szCs w:val="12"/>
                <w:color w:val="auto"/>
                <w:w w:val="99"/>
              </w:rPr>
              <w:t>71</w:t>
            </w:r>
          </w:p>
        </w:tc>
        <w:tc>
          <w:tcPr>
            <w:tcW w:w="2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00"/>
          </w:cols>
          <w:pgMar w:left="300" w:top="198" w:right="299" w:bottom="1440" w:gutter="0" w:footer="0" w:header="0"/>
        </w:sectPr>
      </w:pPr>
    </w:p>
    <w:bookmarkStart w:id="382" w:name="page383"/>
    <w:bookmarkEnd w:id="382"/>
    <w:p>
      <w:pPr>
        <w:jc w:val="right"/>
        <w:spacing w:after="0"/>
        <w:rPr>
          <w:sz w:val="20"/>
          <w:szCs w:val="20"/>
          <w:color w:val="auto"/>
        </w:rPr>
      </w:pPr>
      <w:r>
        <w:rPr>
          <w:rFonts w:ascii="Arial" w:cs="Arial" w:eastAsia="Arial" w:hAnsi="Arial"/>
          <w:sz w:val="10"/>
          <w:szCs w:val="10"/>
          <w:b w:val="1"/>
          <w:bCs w:val="1"/>
          <w:color w:val="auto"/>
        </w:rPr>
        <w:t>SYDNEY EXPRESS</w:t>
      </w:r>
    </w:p>
    <w:p>
      <w:pPr>
        <w:spacing w:after="0" w:line="3" w:lineRule="exact"/>
        <w:rPr>
          <w:sz w:val="20"/>
          <w:szCs w:val="20"/>
          <w:color w:val="auto"/>
        </w:rPr>
      </w:pPr>
    </w:p>
    <w:p>
      <w:pPr>
        <w:jc w:val="right"/>
        <w:spacing w:after="0"/>
        <w:rPr>
          <w:sz w:val="20"/>
          <w:szCs w:val="20"/>
          <w:color w:val="auto"/>
        </w:rPr>
      </w:pPr>
      <w:r>
        <w:rPr>
          <w:rFonts w:ascii="Arial" w:cs="Arial" w:eastAsia="Arial" w:hAnsi="Arial"/>
          <w:sz w:val="10"/>
          <w:szCs w:val="10"/>
          <w:b w:val="1"/>
          <w:bCs w:val="1"/>
          <w:color w:val="auto"/>
        </w:rPr>
        <w:t>Bareboat Charter Additional Clauses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7600" w:type="dxa"/>
            <w:vAlign w:val="bottom"/>
            <w:gridSpan w:val="3"/>
          </w:tcPr>
          <w:p>
            <w:pPr>
              <w:jc w:val="center"/>
              <w:ind w:right="3700"/>
              <w:spacing w:after="0"/>
              <w:rPr>
                <w:sz w:val="20"/>
                <w:szCs w:val="20"/>
                <w:color w:val="auto"/>
              </w:rPr>
            </w:pPr>
            <w:r>
              <w:rPr>
                <w:rFonts w:ascii="Times New Roman" w:cs="Times New Roman" w:eastAsia="Times New Roman" w:hAnsi="Times New Roman"/>
                <w:sz w:val="12"/>
                <w:szCs w:val="12"/>
                <w:b w:val="1"/>
                <w:bCs w:val="1"/>
                <w:color w:val="auto"/>
                <w:w w:val="98"/>
              </w:rPr>
              <w:t>SIGNATURE PAGE</w:t>
            </w:r>
          </w:p>
        </w:tc>
      </w:tr>
      <w:tr>
        <w:trPr>
          <w:trHeight w:val="450"/>
        </w:trPr>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THE OWNER</w:t>
            </w:r>
          </w:p>
        </w:tc>
        <w:tc>
          <w:tcPr>
            <w:tcW w:w="7600" w:type="dxa"/>
            <w:vAlign w:val="bottom"/>
            <w:gridSpan w:val="3"/>
          </w:tcPr>
          <w:p>
            <w:pPr>
              <w:ind w:left="2260"/>
              <w:spacing w:after="0"/>
              <w:rPr>
                <w:sz w:val="20"/>
                <w:szCs w:val="20"/>
                <w:color w:val="auto"/>
              </w:rPr>
            </w:pPr>
            <w:r>
              <w:rPr>
                <w:rFonts w:ascii="Times New Roman" w:cs="Times New Roman" w:eastAsia="Times New Roman" w:hAnsi="Times New Roman"/>
                <w:sz w:val="12"/>
                <w:szCs w:val="12"/>
                <w:b w:val="1"/>
                <w:bCs w:val="1"/>
                <w:color w:val="auto"/>
              </w:rPr>
              <w:t>THE BAREBOAT CHARTERER</w:t>
            </w:r>
          </w:p>
        </w:tc>
      </w:tr>
      <w:tr>
        <w:trPr>
          <w:trHeight w:val="171"/>
        </w:trPr>
        <w:tc>
          <w:tcPr>
            <w:tcW w:w="60" w:type="dxa"/>
            <w:vAlign w:val="bottom"/>
          </w:tcPr>
          <w:p>
            <w:pPr>
              <w:spacing w:after="0"/>
              <w:rPr>
                <w:sz w:val="14"/>
                <w:szCs w:val="1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OCEAN RAINBOW SHIPPING LIMITED</w:t>
            </w:r>
          </w:p>
        </w:tc>
        <w:tc>
          <w:tcPr>
            <w:tcW w:w="7600" w:type="dxa"/>
            <w:vAlign w:val="bottom"/>
            <w:gridSpan w:val="3"/>
          </w:tcPr>
          <w:p>
            <w:pPr>
              <w:ind w:left="2260"/>
              <w:spacing w:after="0"/>
              <w:rPr>
                <w:sz w:val="20"/>
                <w:szCs w:val="20"/>
                <w:color w:val="auto"/>
              </w:rPr>
            </w:pPr>
            <w:r>
              <w:rPr>
                <w:rFonts w:ascii="Times New Roman" w:cs="Times New Roman" w:eastAsia="Times New Roman" w:hAnsi="Times New Roman"/>
                <w:sz w:val="12"/>
                <w:szCs w:val="12"/>
                <w:b w:val="1"/>
                <w:bCs w:val="1"/>
                <w:color w:val="auto"/>
              </w:rPr>
              <w:t>GLOBAL SHIP LEASE 78 LLC</w:t>
            </w:r>
          </w:p>
        </w:tc>
      </w:tr>
      <w:tr>
        <w:trPr>
          <w:trHeight w:val="279"/>
        </w:trPr>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by:</w:t>
            </w:r>
          </w:p>
        </w:tc>
        <w:tc>
          <w:tcPr>
            <w:tcW w:w="7600" w:type="dxa"/>
            <w:vAlign w:val="bottom"/>
            <w:gridSpan w:val="3"/>
          </w:tcPr>
          <w:p>
            <w:pPr>
              <w:ind w:left="2260"/>
              <w:spacing w:after="0"/>
              <w:rPr>
                <w:sz w:val="20"/>
                <w:szCs w:val="20"/>
                <w:color w:val="auto"/>
              </w:rPr>
            </w:pPr>
            <w:r>
              <w:rPr>
                <w:rFonts w:ascii="Times New Roman" w:cs="Times New Roman" w:eastAsia="Times New Roman" w:hAnsi="Times New Roman"/>
                <w:sz w:val="12"/>
                <w:szCs w:val="12"/>
                <w:color w:val="auto"/>
              </w:rPr>
              <w:t>by:</w:t>
            </w:r>
          </w:p>
        </w:tc>
      </w:tr>
      <w:tr>
        <w:trPr>
          <w:trHeight w:val="729"/>
        </w:trPr>
        <w:tc>
          <w:tcPr>
            <w:tcW w:w="60" w:type="dxa"/>
            <w:vAlign w:val="bottom"/>
          </w:tcPr>
          <w:p>
            <w:pPr>
              <w:spacing w:after="0"/>
              <w:rPr>
                <w:sz w:val="24"/>
                <w:szCs w:val="24"/>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 Huang Mei                              </w:t>
            </w:r>
          </w:p>
        </w:tc>
        <w:tc>
          <w:tcPr>
            <w:tcW w:w="7600" w:type="dxa"/>
            <w:vAlign w:val="bottom"/>
            <w:gridSpan w:val="3"/>
          </w:tcPr>
          <w:p>
            <w:pPr>
              <w:ind w:left="2260"/>
              <w:spacing w:after="0"/>
              <w:rPr>
                <w:sz w:val="20"/>
                <w:szCs w:val="20"/>
                <w:color w:val="auto"/>
              </w:rPr>
            </w:pPr>
            <w:r>
              <w:rPr>
                <w:rFonts w:ascii="Times New Roman" w:cs="Times New Roman" w:eastAsia="Times New Roman" w:hAnsi="Times New Roman"/>
                <w:sz w:val="12"/>
                <w:szCs w:val="12"/>
                <w:color w:val="auto"/>
              </w:rPr>
              <w:t>/s/ Aglaia Lida Papadi                              </w:t>
            </w:r>
          </w:p>
        </w:tc>
      </w:tr>
      <w:tr>
        <w:trPr>
          <w:trHeight w:val="20"/>
        </w:trPr>
        <w:tc>
          <w:tcPr>
            <w:tcW w:w="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r>
      <w:tr>
        <w:trPr>
          <w:trHeight w:val="268"/>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Name: HUANG MEI</w:t>
            </w:r>
          </w:p>
        </w:tc>
        <w:tc>
          <w:tcPr>
            <w:tcW w:w="7600" w:type="dxa"/>
            <w:vAlign w:val="bottom"/>
            <w:gridSpan w:val="3"/>
          </w:tcPr>
          <w:p>
            <w:pPr>
              <w:ind w:left="2200"/>
              <w:spacing w:after="0"/>
              <w:rPr>
                <w:sz w:val="20"/>
                <w:szCs w:val="20"/>
                <w:color w:val="auto"/>
              </w:rPr>
            </w:pPr>
            <w:r>
              <w:rPr>
                <w:rFonts w:ascii="Times New Roman" w:cs="Times New Roman" w:eastAsia="Times New Roman" w:hAnsi="Times New Roman"/>
                <w:sz w:val="12"/>
                <w:szCs w:val="12"/>
                <w:color w:val="auto"/>
              </w:rPr>
              <w:t>Name: Aglaia Lida Papadi</w:t>
            </w:r>
          </w:p>
        </w:tc>
      </w:tr>
      <w:tr>
        <w:trPr>
          <w:trHeight w:val="270"/>
        </w:trPr>
        <w:tc>
          <w:tcPr>
            <w:tcW w:w="60" w:type="dxa"/>
            <w:vAlign w:val="bottom"/>
          </w:tcPr>
          <w:p>
            <w:pPr>
              <w:spacing w:after="0"/>
              <w:rPr>
                <w:sz w:val="23"/>
                <w:szCs w:val="23"/>
                <w:color w:val="auto"/>
              </w:rPr>
            </w:pPr>
          </w:p>
        </w:tc>
        <w:tc>
          <w:tcPr>
            <w:tcW w:w="36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Title: Director</w:t>
            </w:r>
          </w:p>
        </w:tc>
        <w:tc>
          <w:tcPr>
            <w:tcW w:w="7600" w:type="dxa"/>
            <w:vAlign w:val="bottom"/>
            <w:gridSpan w:val="3"/>
          </w:tcPr>
          <w:p>
            <w:pPr>
              <w:ind w:left="2260"/>
              <w:spacing w:after="0"/>
              <w:rPr>
                <w:sz w:val="20"/>
                <w:szCs w:val="20"/>
                <w:color w:val="auto"/>
              </w:rPr>
            </w:pPr>
            <w:r>
              <w:rPr>
                <w:rFonts w:ascii="Times New Roman" w:cs="Times New Roman" w:eastAsia="Times New Roman" w:hAnsi="Times New Roman"/>
                <w:sz w:val="12"/>
                <w:szCs w:val="12"/>
                <w:color w:val="auto"/>
              </w:rPr>
              <w:t>Title: Attorney-in-fact</w:t>
            </w:r>
          </w:p>
        </w:tc>
      </w:tr>
      <w:tr>
        <w:trPr>
          <w:trHeight w:val="306"/>
        </w:trPr>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2"/>
                <w:szCs w:val="12"/>
                <w:color w:val="auto"/>
              </w:rPr>
              <w:t>72</w:t>
            </w:r>
          </w:p>
        </w:tc>
        <w:tc>
          <w:tcPr>
            <w:tcW w:w="15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205" w:right="299" w:bottom="1440" w:gutter="0" w:footer="0" w:header="0"/>
        </w:sectPr>
      </w:pPr>
    </w:p>
    <w:bookmarkStart w:id="383" w:name="page384"/>
    <w:bookmarkEnd w:id="38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84" w:name="page385"/>
    <w:bookmarkEnd w:id="384"/>
    <w:p>
      <w:pPr>
        <w:jc w:val="right"/>
        <w:spacing w:after="0"/>
        <w:rPr>
          <w:sz w:val="20"/>
          <w:szCs w:val="20"/>
          <w:color w:val="auto"/>
        </w:rPr>
      </w:pPr>
      <w:r>
        <w:rPr>
          <w:rFonts w:ascii="Times New Roman" w:cs="Times New Roman" w:eastAsia="Times New Roman" w:hAnsi="Times New Roman"/>
          <w:sz w:val="12"/>
          <w:szCs w:val="12"/>
          <w:b w:val="1"/>
          <w:bCs w:val="1"/>
          <w:color w:val="auto"/>
        </w:rPr>
        <w:t>Exhibit 4.19</w:t>
      </w:r>
    </w:p>
    <w:p>
      <w:pPr>
        <w:spacing w:after="0" w:line="12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2"/>
          <w:szCs w:val="12"/>
          <w:b w:val="1"/>
          <w:bCs w:val="1"/>
          <w:color w:val="auto"/>
        </w:rPr>
        <w:t xml:space="preserve">Dated </w:t>
      </w:r>
      <w:r>
        <w:rPr>
          <w:rFonts w:ascii="Times New Roman" w:cs="Times New Roman" w:eastAsia="Times New Roman" w:hAnsi="Times New Roman"/>
          <w:sz w:val="12"/>
          <w:szCs w:val="12"/>
          <w:b w:val="1"/>
          <w:bCs w:val="1"/>
          <w:u w:val="single" w:color="auto"/>
          <w:color w:val="auto"/>
        </w:rPr>
        <w:t>   26  </w:t>
      </w:r>
      <w:r>
        <w:rPr>
          <w:rFonts w:ascii="Times New Roman" w:cs="Times New Roman" w:eastAsia="Times New Roman" w:hAnsi="Times New Roman"/>
          <w:sz w:val="12"/>
          <w:szCs w:val="12"/>
          <w:b w:val="1"/>
          <w:bCs w:val="1"/>
          <w:color w:val="auto"/>
        </w:rPr>
        <w:t>  March 2025</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US$85,000,000</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TERM LOAN FACILITY</w:t>
      </w:r>
    </w:p>
    <w:p>
      <w:pPr>
        <w:spacing w:after="0" w:line="150"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THE COMPANIES</w:t>
      </w:r>
    </w:p>
    <w:p>
      <w:pPr>
        <w:spacing w:after="0" w:line="2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2"/>
          <w:szCs w:val="12"/>
          <w:b w:val="1"/>
          <w:bCs w:val="1"/>
          <w:color w:val="auto"/>
        </w:rPr>
        <w:t>listed in Part A of Schedule 1</w:t>
      </w:r>
    </w:p>
    <w:p>
      <w:pPr>
        <w:spacing w:after="0" w:line="6"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2"/>
          <w:szCs w:val="12"/>
          <w:color w:val="auto"/>
        </w:rPr>
        <w:t>as joint and several Borrowers</w:t>
      </w:r>
    </w:p>
    <w:p>
      <w:pPr>
        <w:spacing w:after="0" w:line="6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as Guarantor</w:t>
      </w:r>
    </w:p>
    <w:p>
      <w:pPr>
        <w:spacing w:after="0" w:line="6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THE BANKS AND THE FINANCIAL INSTITUTIONS</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as Original Lenders</w:t>
      </w:r>
    </w:p>
    <w:p>
      <w:pPr>
        <w:spacing w:after="0" w:line="6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UBS AG</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as Facility Agent</w:t>
      </w:r>
    </w:p>
    <w:p>
      <w:pPr>
        <w:spacing w:after="0" w:line="67"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and</w:t>
      </w:r>
    </w:p>
    <w:p>
      <w:pPr>
        <w:spacing w:after="0" w:line="146"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UBS AG</w:t>
      </w:r>
    </w:p>
    <w:p>
      <w:pPr>
        <w:spacing w:after="0" w:line="21"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as Security Agent</w:t>
      </w:r>
    </w:p>
    <w:p>
      <w:pPr>
        <w:spacing w:after="0" w:line="135"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b w:val="1"/>
          <w:bCs w:val="1"/>
          <w:color w:val="auto"/>
        </w:rPr>
        <w:t>FACILITY AGREEMENT</w:t>
      </w:r>
    </w:p>
    <w:p>
      <w:pPr>
        <w:spacing w:after="0" w:line="82" w:lineRule="exact"/>
        <w:rPr>
          <w:sz w:val="20"/>
          <w:szCs w:val="20"/>
          <w:color w:val="auto"/>
        </w:rPr>
      </w:pPr>
    </w:p>
    <w:p>
      <w:pPr>
        <w:jc w:val="center"/>
        <w:ind w:right="1160"/>
        <w:spacing w:after="0"/>
        <w:rPr>
          <w:sz w:val="20"/>
          <w:szCs w:val="20"/>
          <w:color w:val="auto"/>
        </w:rPr>
      </w:pPr>
      <w:r>
        <w:rPr>
          <w:rFonts w:ascii="Times New Roman" w:cs="Times New Roman" w:eastAsia="Times New Roman" w:hAnsi="Times New Roman"/>
          <w:sz w:val="12"/>
          <w:szCs w:val="12"/>
          <w:color w:val="auto"/>
        </w:rPr>
        <w:t>relating to</w:t>
      </w:r>
    </w:p>
    <w:p>
      <w:pPr>
        <w:spacing w:after="0" w:line="17" w:lineRule="exact"/>
        <w:rPr>
          <w:sz w:val="20"/>
          <w:szCs w:val="20"/>
          <w:color w:val="auto"/>
        </w:rPr>
      </w:pPr>
    </w:p>
    <w:p>
      <w:pPr>
        <w:ind w:left="3440" w:right="4020" w:hanging="575"/>
        <w:spacing w:after="0" w:line="260" w:lineRule="auto"/>
        <w:tabs>
          <w:tab w:leader="none" w:pos="3013" w:val="left"/>
        </w:tabs>
        <w:numPr>
          <w:ilvl w:val="0"/>
          <w:numId w:val="5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refinancing of the Existing Indebtedness secured on the Ships and (ii) for general working capital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-728345</wp:posOffset>
            </wp:positionH>
            <wp:positionV relativeFrom="paragraph">
              <wp:posOffset>650240</wp:posOffset>
            </wp:positionV>
            <wp:extent cx="7178040" cy="571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2562860</wp:posOffset>
            </wp:positionH>
            <wp:positionV relativeFrom="paragraph">
              <wp:posOffset>267335</wp:posOffset>
            </wp:positionV>
            <wp:extent cx="571500" cy="165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7">
                      <a:extLst>
                        <a:ext uri="{28A0092B-C50C-407E-A947-70E740481C1C}"/>
                      </a:extLst>
                    </a:blip>
                    <a:srcRect/>
                    <a:stretch>
                      <a:fillRect/>
                    </a:stretch>
                  </pic:blipFill>
                  <pic:spPr bwMode="auto">
                    <a:xfrm>
                      <a:off x="0" y="0"/>
                      <a:ext cx="571500" cy="16573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385" w:name="page386"/>
    <w:bookmarkEnd w:id="385"/>
    <w:tbl>
      <w:tblPr>
        <w:tblLayout w:type="fixed"/>
        <w:tblInd w:w="0" w:type="dxa"/>
        <w:tblCellMar>
          <w:top w:w="0" w:type="dxa"/>
          <w:left w:w="0" w:type="dxa"/>
          <w:bottom w:w="0" w:type="dxa"/>
          <w:right w:w="0" w:type="dxa"/>
        </w:tblCellMar>
      </w:tblPr>
      <w:tr>
        <w:trPr>
          <w:trHeight w:val="159"/>
        </w:trPr>
        <w:tc>
          <w:tcPr>
            <w:tcW w:w="56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6960" w:type="dxa"/>
            <w:vAlign w:val="bottom"/>
          </w:tcPr>
          <w:p>
            <w:pPr>
              <w:jc w:val="right"/>
              <w:ind w:right="5440"/>
              <w:spacing w:after="0"/>
              <w:rPr>
                <w:sz w:val="20"/>
                <w:szCs w:val="20"/>
                <w:color w:val="auto"/>
              </w:rPr>
            </w:pPr>
            <w:r>
              <w:rPr>
                <w:rFonts w:ascii="Times New Roman" w:cs="Times New Roman" w:eastAsia="Times New Roman" w:hAnsi="Times New Roman"/>
                <w:sz w:val="12"/>
                <w:szCs w:val="12"/>
                <w:b w:val="1"/>
                <w:bCs w:val="1"/>
                <w:color w:val="auto"/>
              </w:rPr>
              <w:t>Index</w:t>
            </w:r>
          </w:p>
        </w:tc>
      </w:tr>
      <w:tr>
        <w:trPr>
          <w:trHeight w:val="288"/>
        </w:trPr>
        <w:tc>
          <w:tcPr>
            <w:tcW w:w="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Clause</w:t>
            </w:r>
          </w:p>
        </w:tc>
        <w:tc>
          <w:tcPr>
            <w:tcW w:w="3780" w:type="dxa"/>
            <w:vAlign w:val="bottom"/>
          </w:tcPr>
          <w:p>
            <w:pPr>
              <w:spacing w:after="0"/>
              <w:rPr>
                <w:sz w:val="24"/>
                <w:szCs w:val="24"/>
                <w:color w:val="auto"/>
              </w:rPr>
            </w:pP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Page</w:t>
            </w:r>
          </w:p>
        </w:tc>
      </w:tr>
      <w:tr>
        <w:trPr>
          <w:trHeight w:val="277"/>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 Interpretation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44"/>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Definitions and Interpretation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r>
      <w:tr>
        <w:trPr>
          <w:trHeight w:val="155"/>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2 The Facility</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Facility</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Purpose</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Conditions of 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3 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4 Repayment, Prepayment and Cancellation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Repayment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Prepayment and Cancellation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5 Costs of Utilisation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Rate Switch</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Interest Periods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Calculation of Interest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Fees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6 Additional Payment Obligations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Tax Gross Up and Indemnities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Increased Costs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Other Indemnities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Mitigation by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Costs and Expenses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61</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7 Guarantees and Joint and Several Liability of Borrowers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Guarantee and Indemnity – Guarantor</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Joint and Several Liability of the Borrowers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8 Representations, Undertakings and Events of Default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Representations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Information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Financial Covenants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General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Insurance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Anti-Boycott Regulations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General Ship Undertakings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27</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Security Cover</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28</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Accounts, application of Earnings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29</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Events of Default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104</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9 Changes to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30</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Lenders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Changes to the Transaction Obligors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10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Facility Agent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The Security Agent</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Conduct of Business by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35</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Sharing among the Finance Parties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w:t>
            </w:r>
          </w:p>
        </w:tc>
      </w:tr>
      <w:tr>
        <w:trPr>
          <w:trHeight w:val="171"/>
        </w:trPr>
        <w:tc>
          <w:tcPr>
            <w:tcW w:w="43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11 Administration</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r>
      <w:tr>
        <w:trPr>
          <w:trHeight w:val="17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36</w:t>
            </w:r>
          </w:p>
        </w:tc>
        <w:tc>
          <w:tcPr>
            <w:tcW w:w="3780" w:type="dxa"/>
            <w:vAlign w:val="bottom"/>
          </w:tcPr>
          <w:p>
            <w:pPr>
              <w:ind w:left="240"/>
              <w:spacing w:after="0"/>
              <w:rPr>
                <w:sz w:val="20"/>
                <w:szCs w:val="20"/>
                <w:color w:val="auto"/>
              </w:rPr>
            </w:pPr>
            <w:r>
              <w:rPr>
                <w:rFonts w:ascii="Times New Roman" w:cs="Times New Roman" w:eastAsia="Times New Roman" w:hAnsi="Times New Roman"/>
                <w:sz w:val="12"/>
                <w:szCs w:val="12"/>
                <w:color w:val="auto"/>
              </w:rPr>
              <w:t>Payment Mechanics</w:t>
            </w:r>
          </w:p>
        </w:tc>
        <w:tc>
          <w:tcPr>
            <w:tcW w:w="6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w:t>
            </w:r>
          </w:p>
        </w:tc>
      </w:tr>
    </w:tbl>
    <w:p>
      <w:pPr>
        <w:spacing w:after="0" w:line="160" w:lineRule="exact"/>
        <w:rPr>
          <w:sz w:val="20"/>
          <w:szCs w:val="20"/>
          <w:color w:val="auto"/>
        </w:rPr>
      </w:pPr>
    </w:p>
    <w:p>
      <w:pPr>
        <w:ind w:left="10200"/>
        <w:spacing w:after="0"/>
        <w:rPr>
          <w:sz w:val="20"/>
          <w:szCs w:val="20"/>
          <w:color w:val="auto"/>
        </w:rPr>
      </w:pP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17780</wp:posOffset>
            </wp:positionV>
            <wp:extent cx="7178040" cy="571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359" w:right="299" w:bottom="1440" w:gutter="0" w:footer="0" w:header="0"/>
        </w:sectPr>
      </w:pPr>
    </w:p>
    <w:bookmarkStart w:id="386" w:name="page387"/>
    <w:bookmarkEnd w:id="386"/>
    <w:tbl>
      <w:tblPr>
        <w:tblLayout w:type="fixed"/>
        <w:tblInd w:w="0" w:type="dxa"/>
        <w:tblCellMar>
          <w:top w:w="0" w:type="dxa"/>
          <w:left w:w="0" w:type="dxa"/>
          <w:bottom w:w="0" w:type="dxa"/>
          <w:right w:w="0" w:type="dxa"/>
        </w:tblCellMar>
      </w:tblPr>
      <w:tr>
        <w:trPr>
          <w:trHeight w:val="155"/>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37</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Set-Off</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38</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Bail-In</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39</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Notices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40</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Calculations and Certificates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41</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Partial Invalidity</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42</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Remedies and Waivers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43</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Settlement or Discharge Conditional</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151</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44</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Irrevocable Payment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45</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Amendments and Waivers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46</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Confidential Information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47</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Counterparts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r>
      <w:tr>
        <w:trPr>
          <w:trHeight w:val="171"/>
        </w:trPr>
        <w:tc>
          <w:tcPr>
            <w:tcW w:w="120" w:type="dxa"/>
            <w:vAlign w:val="bottom"/>
          </w:tcPr>
          <w:p>
            <w:pPr>
              <w:spacing w:after="0"/>
              <w:rPr>
                <w:sz w:val="20"/>
                <w:szCs w:val="20"/>
                <w:color w:val="auto"/>
              </w:rPr>
            </w:pPr>
            <w:r>
              <w:rPr>
                <w:rFonts w:ascii="Times New Roman" w:cs="Times New Roman" w:eastAsia="Times New Roman" w:hAnsi="Times New Roman"/>
                <w:sz w:val="12"/>
                <w:szCs w:val="12"/>
                <w:color w:val="auto"/>
                <w:w w:val="82"/>
              </w:rPr>
              <w:t>48</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Electronic Execution</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160</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Section 12 Governing Law and Enforcement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r>
      <w:tr>
        <w:trPr>
          <w:trHeight w:val="17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2"/>
              </w:rPr>
              <w:t>49</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Governing Law</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r>
      <w:tr>
        <w:trPr>
          <w:trHeight w:val="151"/>
        </w:trPr>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w w:val="82"/>
              </w:rPr>
              <w:t>50</w:t>
            </w:r>
          </w:p>
        </w:tc>
        <w:tc>
          <w:tcPr>
            <w:tcW w:w="644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Enforcement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r>
      <w:tr>
        <w:trPr>
          <w:trHeight w:val="295"/>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Schedules</w:t>
            </w:r>
          </w:p>
        </w:tc>
        <w:tc>
          <w:tcPr>
            <w:tcW w:w="4740" w:type="dxa"/>
            <w:vAlign w:val="bottom"/>
          </w:tcPr>
          <w:p>
            <w:pPr>
              <w:spacing w:after="0"/>
              <w:rPr>
                <w:sz w:val="24"/>
                <w:szCs w:val="24"/>
                <w:color w:val="auto"/>
              </w:rPr>
            </w:pPr>
          </w:p>
        </w:tc>
      </w:tr>
      <w:tr>
        <w:trPr>
          <w:trHeight w:val="288"/>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1 The Parties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A The Obligors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162</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B The Original Lenders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167</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C The Servicing Parties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D The Account Bank</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2 Conditions Precedent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A Conditions Precedent to Utilisation Request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B Conditions Precedent to Utilisation of the loan</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173</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3 Requests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A Utilisation Request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w:t>
            </w:r>
          </w:p>
        </w:tc>
      </w:tr>
      <w:tr>
        <w:trPr>
          <w:trHeight w:val="171"/>
        </w:trPr>
        <w:tc>
          <w:tcPr>
            <w:tcW w:w="120" w:type="dxa"/>
            <w:vAlign w:val="bottom"/>
          </w:tcPr>
          <w:p>
            <w:pPr>
              <w:spacing w:after="0"/>
              <w:rPr>
                <w:sz w:val="14"/>
                <w:szCs w:val="14"/>
                <w:color w:val="auto"/>
              </w:rPr>
            </w:pPr>
          </w:p>
        </w:tc>
        <w:tc>
          <w:tcPr>
            <w:tcW w:w="64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Part B Selection Notice</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4 Form of Transfer Certificate</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5 Form of Assignment Agreement</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188</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6 Form of Compliance Certificate</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191</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7 Details of the Ships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192</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8 Timetables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194</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9 Risk Free Rate Terms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w:t>
            </w:r>
          </w:p>
        </w:tc>
      </w:tr>
      <w:tr>
        <w:trPr>
          <w:trHeight w:val="171"/>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Schedule 10 Daily Non-Cumulative Compounded RFR Rate</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w:t>
            </w:r>
          </w:p>
        </w:tc>
      </w:tr>
      <w:tr>
        <w:trPr>
          <w:trHeight w:val="315"/>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Execution</w:t>
            </w:r>
          </w:p>
        </w:tc>
        <w:tc>
          <w:tcPr>
            <w:tcW w:w="4740" w:type="dxa"/>
            <w:vAlign w:val="bottom"/>
          </w:tcPr>
          <w:p>
            <w:pPr>
              <w:spacing w:after="0"/>
              <w:rPr>
                <w:sz w:val="24"/>
                <w:szCs w:val="24"/>
                <w:color w:val="auto"/>
              </w:rPr>
            </w:pPr>
          </w:p>
        </w:tc>
      </w:tr>
      <w:tr>
        <w:trPr>
          <w:trHeight w:val="288"/>
        </w:trPr>
        <w:tc>
          <w:tcPr>
            <w:tcW w:w="65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Execution Pages</w:t>
            </w:r>
          </w:p>
        </w:tc>
        <w:tc>
          <w:tcPr>
            <w:tcW w:w="4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w:t>
            </w:r>
          </w:p>
        </w:tc>
      </w:tr>
      <w:tr>
        <w:trPr>
          <w:trHeight w:val="315"/>
        </w:trPr>
        <w:tc>
          <w:tcPr>
            <w:tcW w:w="120" w:type="dxa"/>
            <w:vAlign w:val="bottom"/>
            <w:tcBorders>
              <w:bottom w:val="single" w:sz="8" w:color="auto"/>
            </w:tcBorders>
          </w:tcPr>
          <w:p>
            <w:pPr>
              <w:spacing w:after="0"/>
              <w:rPr>
                <w:sz w:val="24"/>
                <w:szCs w:val="24"/>
                <w:color w:val="auto"/>
              </w:rPr>
            </w:pPr>
          </w:p>
        </w:tc>
        <w:tc>
          <w:tcPr>
            <w:tcW w:w="644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07" w:right="299" w:bottom="1440" w:gutter="0" w:footer="0" w:header="0"/>
        </w:sectPr>
      </w:pPr>
    </w:p>
    <w:bookmarkStart w:id="387" w:name="page388"/>
    <w:bookmarkEnd w:id="387"/>
    <w:p>
      <w:pPr>
        <w:ind w:left="8"/>
        <w:spacing w:after="0"/>
        <w:rPr>
          <w:sz w:val="20"/>
          <w:szCs w:val="20"/>
          <w:color w:val="auto"/>
        </w:rPr>
      </w:pPr>
      <w:r>
        <w:rPr>
          <w:rFonts w:ascii="Times New Roman" w:cs="Times New Roman" w:eastAsia="Times New Roman" w:hAnsi="Times New Roman"/>
          <w:sz w:val="12"/>
          <w:szCs w:val="12"/>
          <w:b w:val="1"/>
          <w:bCs w:val="1"/>
          <w:color w:val="auto"/>
        </w:rPr>
        <w:t xml:space="preserve">THIS AGREEMENT </w:t>
      </w:r>
      <w:r>
        <w:rPr>
          <w:rFonts w:ascii="Times New Roman" w:cs="Times New Roman" w:eastAsia="Times New Roman" w:hAnsi="Times New Roman"/>
          <w:sz w:val="12"/>
          <w:szCs w:val="12"/>
          <w:color w:val="auto"/>
        </w:rPr>
        <w:t>is made on</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u w:val="single" w:color="auto"/>
          <w:color w:val="auto"/>
        </w:rPr>
        <w:t>   26  </w:t>
      </w:r>
      <w:r>
        <w:rPr>
          <w:rFonts w:ascii="Times New Roman" w:cs="Times New Roman" w:eastAsia="Times New Roman" w:hAnsi="Times New Roman"/>
          <w:sz w:val="12"/>
          <w:szCs w:val="12"/>
          <w:color w:val="auto"/>
        </w:rPr>
        <w:t>  March 2025</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PARTIES</w:t>
      </w:r>
    </w:p>
    <w:p>
      <w:pPr>
        <w:spacing w:after="0" w:line="150" w:lineRule="exact"/>
        <w:rPr>
          <w:sz w:val="20"/>
          <w:szCs w:val="20"/>
          <w:color w:val="auto"/>
        </w:rPr>
      </w:pPr>
    </w:p>
    <w:p>
      <w:pPr>
        <w:ind w:left="428" w:hanging="428"/>
        <w:spacing w:after="0"/>
        <w:tabs>
          <w:tab w:leader="none" w:pos="428"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COMPANIES </w:t>
      </w:r>
      <w:r>
        <w:rPr>
          <w:rFonts w:ascii="Times New Roman" w:cs="Times New Roman" w:eastAsia="Times New Roman" w:hAnsi="Times New Roman"/>
          <w:sz w:val="12"/>
          <w:szCs w:val="12"/>
          <w:color w:val="auto"/>
        </w:rPr>
        <w:t>listed in Part A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as joint and several borrowers (the "</w:t>
      </w:r>
      <w:r>
        <w:rPr>
          <w:rFonts w:ascii="Times New Roman" w:cs="Times New Roman" w:eastAsia="Times New Roman" w:hAnsi="Times New Roman"/>
          <w:sz w:val="12"/>
          <w:szCs w:val="12"/>
          <w:b w:val="1"/>
          <w:bCs w:val="1"/>
          <w:color w:val="auto"/>
        </w:rPr>
        <w:t>Borrowers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GLOBAL SHIP LEASE, INC.</w:t>
      </w:r>
      <w:r>
        <w:rPr>
          <w:rFonts w:ascii="Times New Roman" w:cs="Times New Roman" w:eastAsia="Times New Roman" w:hAnsi="Times New Roman"/>
          <w:sz w:val="12"/>
          <w:szCs w:val="12"/>
          <w:color w:val="auto"/>
        </w:rPr>
        <w:t>, a corporation incorporated in the Republic of the Marshall Islands, whose registered address is at Trust Company Complex, Ajeltake Road, Ajeltake Island, Majuro, Marshall Islands MH96960</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as guarantor (the "</w:t>
      </w:r>
      <w:r>
        <w:rPr>
          <w:rFonts w:ascii="Times New Roman" w:cs="Times New Roman" w:eastAsia="Times New Roman" w:hAnsi="Times New Roman"/>
          <w:sz w:val="12"/>
          <w:szCs w:val="12"/>
          <w:b w:val="1"/>
          <w:bCs w:val="1"/>
          <w:color w:val="auto"/>
        </w:rPr>
        <w:t>Guarantor</w:t>
      </w:r>
      <w:r>
        <w:rPr>
          <w:rFonts w:ascii="Times New Roman" w:cs="Times New Roman" w:eastAsia="Times New Roman" w:hAnsi="Times New Roman"/>
          <w:sz w:val="12"/>
          <w:szCs w:val="12"/>
          <w:color w:val="auto"/>
        </w:rPr>
        <w:t>")</w:t>
      </w:r>
    </w:p>
    <w:p>
      <w:pPr>
        <w:spacing w:after="0" w:line="103"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THE BANKS AND FINANCIAL INSTITUTIONS </w:t>
      </w:r>
      <w:r>
        <w:rPr>
          <w:rFonts w:ascii="Times New Roman" w:cs="Times New Roman" w:eastAsia="Times New Roman" w:hAnsi="Times New Roman"/>
          <w:sz w:val="12"/>
          <w:szCs w:val="12"/>
          <w:color w:val="auto"/>
        </w:rPr>
        <w:t>listed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as lenders (the "</w:t>
      </w:r>
      <w:r>
        <w:rPr>
          <w:rFonts w:ascii="Times New Roman" w:cs="Times New Roman" w:eastAsia="Times New Roman" w:hAnsi="Times New Roman"/>
          <w:sz w:val="12"/>
          <w:szCs w:val="12"/>
          <w:b w:val="1"/>
          <w:bCs w:val="1"/>
          <w:color w:val="auto"/>
        </w:rPr>
        <w:t>Original Lenders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UBS AG </w:t>
      </w:r>
      <w:r>
        <w:rPr>
          <w:rFonts w:ascii="Times New Roman" w:cs="Times New Roman" w:eastAsia="Times New Roman" w:hAnsi="Times New Roman"/>
          <w:sz w:val="12"/>
          <w:szCs w:val="12"/>
          <w:color w:val="auto"/>
        </w:rPr>
        <w:t>as agent of the other Finance Parties (the "</w:t>
      </w:r>
      <w:r>
        <w:rPr>
          <w:rFonts w:ascii="Times New Roman" w:cs="Times New Roman" w:eastAsia="Times New Roman" w:hAnsi="Times New Roman"/>
          <w:sz w:val="12"/>
          <w:szCs w:val="12"/>
          <w:b w:val="1"/>
          <w:bCs w:val="1"/>
          <w:color w:val="auto"/>
        </w:rPr>
        <w:t>Facility Agent</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5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UBS AG </w:t>
      </w:r>
      <w:r>
        <w:rPr>
          <w:rFonts w:ascii="Times New Roman" w:cs="Times New Roman" w:eastAsia="Times New Roman" w:hAnsi="Times New Roman"/>
          <w:sz w:val="12"/>
          <w:szCs w:val="12"/>
          <w:color w:val="auto"/>
        </w:rPr>
        <w:t>as security agent for the Secured Parties (the "</w:t>
      </w:r>
      <w:r>
        <w:rPr>
          <w:rFonts w:ascii="Times New Roman" w:cs="Times New Roman" w:eastAsia="Times New Roman" w:hAnsi="Times New Roman"/>
          <w:sz w:val="12"/>
          <w:szCs w:val="12"/>
          <w:b w:val="1"/>
          <w:bCs w:val="1"/>
          <w:color w:val="auto"/>
        </w:rPr>
        <w:t>Security Agent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BACKGROUND</w:t>
      </w:r>
    </w:p>
    <w:p>
      <w:pPr>
        <w:spacing w:after="0" w:line="154"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The Lenders have agreed to make available to the Borrowers a senior secured term loan facility in an aggregate amount of up to the lower of (i) $85,000,000 and (ii) 50 per cent. of the aggregate Initial Market Value of the Ships to be refinanced by this Agreement on the Utilisation Date, for the purpose of (i) fully refinancing the Existing Indebtedness secured on the Ships and (ii) for general working capital purposes.</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OPERATIVE PROVISIONS</w:t>
      </w:r>
    </w:p>
    <w:p>
      <w:pPr>
        <w:spacing w:after="0" w:line="154" w:lineRule="exact"/>
        <w:rPr>
          <w:sz w:val="20"/>
          <w:szCs w:val="20"/>
          <w:color w:val="auto"/>
        </w:rPr>
      </w:pPr>
    </w:p>
    <w:p>
      <w:pPr>
        <w:jc w:val="both"/>
        <w:ind w:left="5628"/>
        <w:spacing w:after="0"/>
        <w:tabs>
          <w:tab w:leader="none" w:pos="10188"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59" w:right="299" w:bottom="1440" w:gutter="0" w:footer="0" w:header="0"/>
        </w:sectPr>
      </w:pPr>
    </w:p>
    <w:bookmarkStart w:id="388" w:name="page389"/>
    <w:bookmarkEnd w:id="38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INTERPRETATION</w:t>
      </w:r>
    </w:p>
    <w:p>
      <w:pPr>
        <w:spacing w:after="0" w:line="150" w:lineRule="exact"/>
        <w:rPr>
          <w:sz w:val="20"/>
          <w:szCs w:val="20"/>
          <w:color w:val="auto"/>
        </w:rPr>
      </w:pPr>
    </w:p>
    <w:p>
      <w:pPr>
        <w:ind w:left="428" w:hanging="428"/>
        <w:spacing w:after="0"/>
        <w:tabs>
          <w:tab w:leader="none" w:pos="428" w:val="left"/>
        </w:tabs>
        <w:numPr>
          <w:ilvl w:val="0"/>
          <w:numId w:val="5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DEFINITIONS AND INTERPRETATION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w:t>
      </w:r>
      <w:r>
        <w:rPr>
          <w:sz w:val="20"/>
          <w:szCs w:val="20"/>
          <w:color w:val="auto"/>
        </w:rPr>
        <w:tab/>
      </w:r>
      <w:r>
        <w:rPr>
          <w:rFonts w:ascii="Times New Roman" w:cs="Times New Roman" w:eastAsia="Times New Roman" w:hAnsi="Times New Roman"/>
          <w:sz w:val="11"/>
          <w:szCs w:val="11"/>
          <w:b w:val="1"/>
          <w:bCs w:val="1"/>
          <w:color w:val="auto"/>
        </w:rPr>
        <w:t>Definitions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Agreement:</w:t>
      </w:r>
    </w:p>
    <w:p>
      <w:pPr>
        <w:spacing w:after="0" w:line="146" w:lineRule="exact"/>
        <w:rPr>
          <w:sz w:val="20"/>
          <w:szCs w:val="20"/>
          <w:color w:val="auto"/>
        </w:rPr>
      </w:pPr>
    </w:p>
    <w:p>
      <w:pPr>
        <w:jc w:val="both"/>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means UBS AG, having its registered office at Bahnhofstrasse 45, 8001 Zurich, Switzerland, acting through its office at St. Alban-Graben 1-3, Basel 4051, Switzerland, or any replacement bank or other financial institution as may be specified pursuant to Clause 30.10 (</w:t>
      </w:r>
      <w:r>
        <w:rPr>
          <w:rFonts w:ascii="Times New Roman" w:cs="Times New Roman" w:eastAsia="Times New Roman" w:hAnsi="Times New Roman"/>
          <w:sz w:val="12"/>
          <w:szCs w:val="12"/>
          <w:i w:val="1"/>
          <w:iCs w:val="1"/>
          <w:color w:val="auto"/>
        </w:rPr>
        <w:t>Account Transfer</w:t>
      </w:r>
      <w:r>
        <w:rPr>
          <w:rFonts w:ascii="Times New Roman" w:cs="Times New Roman" w:eastAsia="Times New Roman" w:hAnsi="Times New Roman"/>
          <w:sz w:val="12"/>
          <w:szCs w:val="12"/>
          <w:color w:val="auto"/>
        </w:rPr>
        <w:t>) or otherwise be approved by the Facility Agent acting with the authorisation of the Majority Lenders.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Account Security</w:t>
      </w:r>
      <w:r>
        <w:rPr>
          <w:rFonts w:ascii="Times New Roman" w:cs="Times New Roman" w:eastAsia="Times New Roman" w:hAnsi="Times New Roman"/>
          <w:sz w:val="12"/>
          <w:szCs w:val="12"/>
          <w:color w:val="auto"/>
        </w:rPr>
        <w:t>" means a document creating Security over any Earnings Account in agreed form.</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Additional Business Day</w:t>
      </w:r>
      <w:r>
        <w:rPr>
          <w:rFonts w:ascii="Times New Roman" w:cs="Times New Roman" w:eastAsia="Times New Roman" w:hAnsi="Times New Roman"/>
          <w:sz w:val="12"/>
          <w:szCs w:val="12"/>
          <w:color w:val="auto"/>
        </w:rPr>
        <w:t>" means any day specified as such in the Risk Free Rate Terms.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Affiliate</w:t>
      </w:r>
      <w:r>
        <w:rPr>
          <w:rFonts w:ascii="Times New Roman" w:cs="Times New Roman" w:eastAsia="Times New Roman" w:hAnsi="Times New Roman"/>
          <w:sz w:val="12"/>
          <w:szCs w:val="12"/>
          <w:color w:val="auto"/>
        </w:rPr>
        <w:t>" means, in relation to any person, a Subsidiary of that person or a Holding Company of that person or any other Subsidiary of that Holding Company.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Brokers</w:t>
      </w:r>
      <w:r>
        <w:rPr>
          <w:rFonts w:ascii="Times New Roman" w:cs="Times New Roman" w:eastAsia="Times New Roman" w:hAnsi="Times New Roman"/>
          <w:sz w:val="12"/>
          <w:szCs w:val="12"/>
          <w:color w:val="auto"/>
        </w:rPr>
        <w:t>" means any firm or firms of insurance brokers approved in writing by the Facility Agent, such approval not to be unreasonably withheld.</w:t>
      </w:r>
    </w:p>
    <w:p>
      <w:pPr>
        <w:spacing w:after="0" w:line="150" w:lineRule="exact"/>
        <w:rPr>
          <w:sz w:val="20"/>
          <w:szCs w:val="20"/>
          <w:color w:val="auto"/>
        </w:rPr>
      </w:pPr>
    </w:p>
    <w:p>
      <w:pPr>
        <w:jc w:val="both"/>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Classification</w:t>
      </w:r>
      <w:r>
        <w:rPr>
          <w:rFonts w:ascii="Times New Roman" w:cs="Times New Roman" w:eastAsia="Times New Roman" w:hAnsi="Times New Roman"/>
          <w:sz w:val="12"/>
          <w:szCs w:val="12"/>
          <w:color w:val="auto"/>
        </w:rPr>
        <w:t>" means, in relation to a Ship, as at the date of this Agreement, the classification in relation to that Ship specified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 or the equivalent classification with another Approved Classification Society.</w:t>
      </w:r>
    </w:p>
    <w:p>
      <w:pPr>
        <w:spacing w:after="0" w:line="103"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Classification Society</w:t>
      </w:r>
      <w:r>
        <w:rPr>
          <w:rFonts w:ascii="Times New Roman" w:cs="Times New Roman" w:eastAsia="Times New Roman" w:hAnsi="Times New Roman"/>
          <w:sz w:val="12"/>
          <w:szCs w:val="12"/>
          <w:color w:val="auto"/>
        </w:rPr>
        <w:t>" means, in relation to a Ship, as at the date of this Agreement, the classification society in relation to that Ship specified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 or any other classification society which is a member of the International Association of Classification Societies ("IACS"), approved in writing by the Facility Agent acting with the authorisation of the Majority Lenders.</w:t>
      </w:r>
    </w:p>
    <w:p>
      <w:pPr>
        <w:spacing w:after="0" w:line="103"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Commercial Manager</w:t>
      </w:r>
      <w:r>
        <w:rPr>
          <w:rFonts w:ascii="Times New Roman" w:cs="Times New Roman" w:eastAsia="Times New Roman" w:hAnsi="Times New Roman"/>
          <w:sz w:val="12"/>
          <w:szCs w:val="12"/>
          <w:color w:val="auto"/>
        </w:rPr>
        <w:t>" means, in relation to a Ship, as at the date of this Agreement, Conchart Commercial Inc. or any other person approved in writing by the Facility Agent acting with the authorisation of all the Lenders as the commercial manager of that Ship.</w:t>
      </w:r>
    </w:p>
    <w:p>
      <w:pPr>
        <w:spacing w:after="0" w:line="103"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Flag</w:t>
      </w:r>
      <w:r>
        <w:rPr>
          <w:rFonts w:ascii="Times New Roman" w:cs="Times New Roman" w:eastAsia="Times New Roman" w:hAnsi="Times New Roman"/>
          <w:sz w:val="12"/>
          <w:szCs w:val="12"/>
          <w:color w:val="auto"/>
        </w:rPr>
        <w:t>" means the flag of the Republic of the Marshall Islands, the Republic of Liberia, the Republic of Panama or such other flag and, if applicable, port of registry approved in writing by the Facility Agent acting with the authorisation of the Majority Lenders (such approval not be unreasonably withheld) and a reference to "the Approved Flag" shall be a reference to the flag and, if applicable, port of registry under which each Ship is then flagged with the agreement of the Facility Agent acting with the authorisation of the Majority Lenders.</w:t>
      </w:r>
    </w:p>
    <w:p>
      <w:pPr>
        <w:spacing w:after="0" w:line="114"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Flag State</w:t>
      </w:r>
      <w:r>
        <w:rPr>
          <w:rFonts w:ascii="Times New Roman" w:cs="Times New Roman" w:eastAsia="Times New Roman" w:hAnsi="Times New Roman"/>
          <w:sz w:val="12"/>
          <w:szCs w:val="12"/>
          <w:color w:val="auto"/>
        </w:rPr>
        <w:t>" means the Republic of the Marshall Islands, the Republic of Liberia, the Republic of Panama, or any other country approved in writing by the Facility Agent acting with the authorisation of the Majority Lenders (such approval not be unreasonably withheld) and a reference to "Approved Flag State" shall be a reference to the country where each Ship is then flagged with the agreement of the Facility Agent acting with the authorisation of the Majority Lenders.</w:t>
      </w:r>
    </w:p>
    <w:p>
      <w:pPr>
        <w:spacing w:after="0" w:line="118" w:lineRule="exact"/>
        <w:rPr>
          <w:sz w:val="20"/>
          <w:szCs w:val="20"/>
          <w:color w:val="auto"/>
        </w:rPr>
      </w:pPr>
    </w:p>
    <w:p>
      <w:pPr>
        <w:jc w:val="both"/>
        <w:ind w:left="5628"/>
        <w:spacing w:after="0"/>
        <w:tabs>
          <w:tab w:leader="none" w:pos="10188" w:val="left"/>
        </w:tabs>
        <w:rPr>
          <w:sz w:val="20"/>
          <w:szCs w:val="20"/>
          <w:color w:val="auto"/>
        </w:rPr>
      </w:pPr>
      <w:r>
        <w:rPr>
          <w:rFonts w:ascii="Times New Roman" w:cs="Times New Roman" w:eastAsia="Times New Roman" w:hAnsi="Times New Roman"/>
          <w:sz w:val="12"/>
          <w:szCs w:val="12"/>
          <w:color w:val="auto"/>
        </w:rPr>
        <w:t>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719" w:right="299"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Manager</w:t>
      </w:r>
      <w:r>
        <w:rPr>
          <w:rFonts w:ascii="Times New Roman" w:cs="Times New Roman" w:eastAsia="Times New Roman" w:hAnsi="Times New Roman"/>
          <w:sz w:val="12"/>
          <w:szCs w:val="12"/>
          <w:color w:val="auto"/>
        </w:rPr>
        <w:t>" means, in relation to a Ship, the Approved Commercial Manager or the Approved Technical Manager of that Ship.</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Technical Manager</w:t>
      </w:r>
      <w:r>
        <w:rPr>
          <w:rFonts w:ascii="Times New Roman" w:cs="Times New Roman" w:eastAsia="Times New Roman" w:hAnsi="Times New Roman"/>
          <w:sz w:val="12"/>
          <w:szCs w:val="12"/>
          <w:color w:val="auto"/>
        </w:rPr>
        <w:t>" means, in relation to a Ship, as at the date of this Agreement, Technomar Shipping Inc. or any other person or company which is an Affiliate of, or of common controlling interests with, Technomar Shipping Inc. approved in writing by the Facility Agent acting with the authorisation of all the Lenders as the technical manager of that Ship.</w:t>
      </w:r>
    </w:p>
    <w:p>
      <w:pPr>
        <w:spacing w:after="0" w:line="1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 Valuer</w:t>
      </w:r>
      <w:r>
        <w:rPr>
          <w:rFonts w:ascii="Times New Roman" w:cs="Times New Roman" w:eastAsia="Times New Roman" w:hAnsi="Times New Roman"/>
          <w:sz w:val="12"/>
          <w:szCs w:val="12"/>
          <w:color w:val="auto"/>
        </w:rPr>
        <w:t>" means any of Maersk Brokers K/S, Barry Rogliano Salles, Howe Robinson (or any Affiliate of such person through which valuations are commonly issued) and any other firm or firms of independent sale and purchase shipbrokers approved in writing by the Facility Agent, acting with the authorisation of the Majority Lenders, subject in any case to the Facility Agent's periodic review for the purposes of excluding any Restricted Party.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Article 55 BRRD</w:t>
      </w:r>
      <w:r>
        <w:rPr>
          <w:rFonts w:ascii="Times New Roman" w:cs="Times New Roman" w:eastAsia="Times New Roman" w:hAnsi="Times New Roman"/>
          <w:sz w:val="12"/>
          <w:szCs w:val="12"/>
          <w:color w:val="auto"/>
        </w:rPr>
        <w:t>" means Article 55 of Directive 2014/59/EU establishing a framework for the recovery and resolution of credit institutions and investment firms.</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Assignable Charter</w:t>
      </w:r>
      <w:r>
        <w:rPr>
          <w:rFonts w:ascii="Times New Roman" w:cs="Times New Roman" w:eastAsia="Times New Roman" w:hAnsi="Times New Roman"/>
          <w:sz w:val="12"/>
          <w:szCs w:val="12"/>
          <w:color w:val="auto"/>
        </w:rPr>
        <w:t>" means a Charter (including, if applicable, any Initial Charter) in respect of a Ship which has a duration of 12 months or more (excluding any options to renew) or any bareboat charter in respect of that Ship and any relevant Charter Guarantee, entered or to be entered into by the relevant Borrower which is the owner thereof and a charterer (including, if applicable, an Initial Charterer) or, as the context may require bareboat charterer in respect of that Ship and, in the plural, means all of them.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Assignment Agreement</w:t>
      </w:r>
      <w:r>
        <w:rPr>
          <w:rFonts w:ascii="Times New Roman" w:cs="Times New Roman" w:eastAsia="Times New Roman" w:hAnsi="Times New Roman"/>
          <w:sz w:val="12"/>
          <w:szCs w:val="12"/>
          <w:color w:val="auto"/>
        </w:rPr>
        <w:t>" means an agreement substantially in the form set out in Schedule 5 (</w:t>
      </w:r>
      <w:r>
        <w:rPr>
          <w:rFonts w:ascii="Times New Roman" w:cs="Times New Roman" w:eastAsia="Times New Roman" w:hAnsi="Times New Roman"/>
          <w:sz w:val="12"/>
          <w:szCs w:val="12"/>
          <w:i w:val="1"/>
          <w:iCs w:val="1"/>
          <w:color w:val="auto"/>
        </w:rPr>
        <w:t>Form of Assignment Agreement</w:t>
      </w:r>
      <w:r>
        <w:rPr>
          <w:rFonts w:ascii="Times New Roman" w:cs="Times New Roman" w:eastAsia="Times New Roman" w:hAnsi="Times New Roman"/>
          <w:sz w:val="12"/>
          <w:szCs w:val="12"/>
          <w:color w:val="auto"/>
        </w:rPr>
        <w:t>) or any other form agreed between the relevant assignor and assignee.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Authorisation</w:t>
      </w:r>
      <w:r>
        <w:rPr>
          <w:rFonts w:ascii="Times New Roman" w:cs="Times New Roman" w:eastAsia="Times New Roman" w:hAnsi="Times New Roman"/>
          <w:sz w:val="12"/>
          <w:szCs w:val="12"/>
          <w:color w:val="auto"/>
        </w:rPr>
        <w:t>" means an authorisation, consent, approval, resolution, licence, exemption, filing, notarisation, legalisation or registration.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Availability Period</w:t>
      </w:r>
      <w:r>
        <w:rPr>
          <w:rFonts w:ascii="Times New Roman" w:cs="Times New Roman" w:eastAsia="Times New Roman" w:hAnsi="Times New Roman"/>
          <w:sz w:val="12"/>
          <w:szCs w:val="12"/>
          <w:color w:val="auto"/>
        </w:rPr>
        <w:t>" means the period from and including:</w:t>
      </w:r>
    </w:p>
    <w:p>
      <w:pPr>
        <w:spacing w:after="0" w:line="154" w:lineRule="exact"/>
        <w:rPr>
          <w:sz w:val="20"/>
          <w:szCs w:val="20"/>
          <w:color w:val="auto"/>
        </w:rPr>
      </w:pPr>
    </w:p>
    <w:p>
      <w:pPr>
        <w:ind w:left="440" w:hanging="436"/>
        <w:spacing w:after="0"/>
        <w:tabs>
          <w:tab w:leader="none" w:pos="440" w:val="left"/>
        </w:tabs>
        <w:numPr>
          <w:ilvl w:val="0"/>
          <w:numId w:val="5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this Agreement to and including 30 April 2025, or such longer period as the Facility Agent may accept in writing on the instruction of all the Lenders;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Lenders' obligation to advance the Loan or any part thereof is cancelled or terminated.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Available Commitment</w:t>
      </w:r>
      <w:r>
        <w:rPr>
          <w:rFonts w:ascii="Times New Roman" w:cs="Times New Roman" w:eastAsia="Times New Roman" w:hAnsi="Times New Roman"/>
          <w:sz w:val="12"/>
          <w:szCs w:val="12"/>
          <w:color w:val="auto"/>
        </w:rPr>
        <w:t>" means a Lender's Commitment minus:</w:t>
      </w:r>
    </w:p>
    <w:p>
      <w:pPr>
        <w:spacing w:after="0" w:line="154" w:lineRule="exact"/>
        <w:rPr>
          <w:sz w:val="20"/>
          <w:szCs w:val="20"/>
          <w:color w:val="auto"/>
        </w:rPr>
      </w:pPr>
    </w:p>
    <w:p>
      <w:pPr>
        <w:ind w:left="440" w:hanging="436"/>
        <w:spacing w:after="0"/>
        <w:tabs>
          <w:tab w:leader="none" w:pos="440" w:val="left"/>
        </w:tabs>
        <w:numPr>
          <w:ilvl w:val="0"/>
          <w:numId w:val="5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its participation in the outstanding Loan; and</w:t>
      </w:r>
    </w:p>
    <w:p>
      <w:pPr>
        <w:spacing w:after="0" w:line="150" w:lineRule="exact"/>
        <w:rPr>
          <w:rFonts w:ascii="Times New Roman" w:cs="Times New Roman" w:eastAsia="Times New Roman" w:hAnsi="Times New Roman"/>
          <w:sz w:val="12"/>
          <w:szCs w:val="12"/>
          <w:color w:val="auto"/>
        </w:rPr>
      </w:pPr>
    </w:p>
    <w:p>
      <w:pPr>
        <w:ind w:right="3380" w:firstLine="4"/>
        <w:spacing w:after="0" w:line="497" w:lineRule="auto"/>
        <w:tabs>
          <w:tab w:leader="none" w:pos="432" w:val="left"/>
        </w:tabs>
        <w:numPr>
          <w:ilvl w:val="0"/>
          <w:numId w:val="5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proposed Utilisation, the amount of its participation in the Loan that is due to be made on or before the proposed Utilisation Date. "</w:t>
      </w:r>
      <w:r>
        <w:rPr>
          <w:rFonts w:ascii="Times New Roman" w:cs="Times New Roman" w:eastAsia="Times New Roman" w:hAnsi="Times New Roman"/>
          <w:sz w:val="12"/>
          <w:szCs w:val="12"/>
          <w:b w:val="1"/>
          <w:bCs w:val="1"/>
          <w:color w:val="auto"/>
        </w:rPr>
        <w:t>Available Facility</w:t>
      </w:r>
      <w:r>
        <w:rPr>
          <w:rFonts w:ascii="Times New Roman" w:cs="Times New Roman" w:eastAsia="Times New Roman" w:hAnsi="Times New Roman"/>
          <w:sz w:val="12"/>
          <w:szCs w:val="12"/>
          <w:color w:val="auto"/>
        </w:rPr>
        <w:t>" means the aggregate for the time being of each Lender's Available Commitment.</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Bail-In Action</w:t>
      </w:r>
      <w:r>
        <w:rPr>
          <w:rFonts w:ascii="Times New Roman" w:cs="Times New Roman" w:eastAsia="Times New Roman" w:hAnsi="Times New Roman"/>
          <w:sz w:val="12"/>
          <w:szCs w:val="12"/>
          <w:color w:val="auto"/>
        </w:rPr>
        <w:t>" means the exercise of any Write-down and Conversion Powers.</w:t>
      </w:r>
    </w:p>
    <w:p>
      <w:pPr>
        <w:spacing w:after="0" w:line="154" w:lineRule="exact"/>
        <w:rPr>
          <w:sz w:val="20"/>
          <w:szCs w:val="20"/>
          <w:color w:val="auto"/>
        </w:rPr>
      </w:pPr>
    </w:p>
    <w:p>
      <w:pPr>
        <w:jc w:val="both"/>
        <w:ind w:left="5200"/>
        <w:spacing w:after="0"/>
        <w:tabs>
          <w:tab w:leader="none" w:pos="9760" w:val="left"/>
        </w:tabs>
        <w:rPr>
          <w:sz w:val="20"/>
          <w:szCs w:val="20"/>
          <w:color w:val="auto"/>
        </w:rPr>
      </w:pPr>
      <w:r>
        <w:rPr>
          <w:rFonts w:ascii="Times New Roman" w:cs="Times New Roman" w:eastAsia="Times New Roman" w:hAnsi="Times New Roman"/>
          <w:sz w:val="12"/>
          <w:szCs w:val="12"/>
          <w:color w:val="auto"/>
        </w:rPr>
        <w:t>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390" w:name="page391"/>
    <w:bookmarkEnd w:id="390"/>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Bail-In Legislation</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state other than such an EEA Member Country and the United Kingdom, any analogous law or regulation from time to time which requires contractual recognition of any Write-down and Conversion Powers contained in that law or regulation;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United Kingdom, the UK Bail-In Legislation.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Balloon Instalment</w:t>
      </w:r>
      <w:r>
        <w:rPr>
          <w:rFonts w:ascii="Times New Roman" w:cs="Times New Roman" w:eastAsia="Times New Roman" w:hAnsi="Times New Roman"/>
          <w:sz w:val="12"/>
          <w:szCs w:val="12"/>
          <w:color w:val="auto"/>
        </w:rPr>
        <w:t>" has the meaning given to it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Beneficial Ownership Regulation</w:t>
      </w:r>
      <w:r>
        <w:rPr>
          <w:rFonts w:ascii="Times New Roman" w:cs="Times New Roman" w:eastAsia="Times New Roman" w:hAnsi="Times New Roman"/>
          <w:sz w:val="12"/>
          <w:szCs w:val="12"/>
          <w:color w:val="auto"/>
        </w:rPr>
        <w:t>" means 1 C.F.R. §1010.230.</w:t>
      </w:r>
    </w:p>
    <w:p>
      <w:pPr>
        <w:spacing w:after="0" w:line="15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Borrower</w:t>
      </w:r>
      <w:r>
        <w:rPr>
          <w:rFonts w:ascii="Times New Roman" w:cs="Times New Roman" w:eastAsia="Times New Roman" w:hAnsi="Times New Roman"/>
          <w:sz w:val="12"/>
          <w:szCs w:val="12"/>
          <w:color w:val="auto"/>
        </w:rPr>
        <w:t>" means any one of Borrower A, Borrower B, Borrower C, Borrower D, Borrower E, Borrower F, Borrower G, Borrower H, Borrower I, Borrower J, Borrower K, Borrower L, Borrower M, Borrower N, Borrower O, Borrower P, Borrower Q or Borrower R and in the plural means all of them.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A" </w:t>
      </w:r>
      <w:r>
        <w:rPr>
          <w:rFonts w:ascii="Times New Roman" w:cs="Times New Roman" w:eastAsia="Times New Roman" w:hAnsi="Times New Roman"/>
          <w:sz w:val="12"/>
          <w:szCs w:val="12"/>
          <w:color w:val="auto"/>
        </w:rPr>
        <w:t>means the company specified as such in Part A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B" </w:t>
      </w:r>
      <w:r>
        <w:rPr>
          <w:rFonts w:ascii="Times New Roman" w:cs="Times New Roman" w:eastAsia="Times New Roman" w:hAnsi="Times New Roman"/>
          <w:sz w:val="12"/>
          <w:szCs w:val="12"/>
          <w:color w:val="auto"/>
        </w:rPr>
        <w:t>means the company specified as such in Part A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C" </w:t>
      </w:r>
      <w:r>
        <w:rPr>
          <w:rFonts w:ascii="Times New Roman" w:cs="Times New Roman" w:eastAsia="Times New Roman" w:hAnsi="Times New Roman"/>
          <w:sz w:val="12"/>
          <w:szCs w:val="12"/>
          <w:color w:val="auto"/>
        </w:rPr>
        <w:t>means the company specified as such in Part A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D"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E"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F"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G"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H"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I"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J"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K"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L"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M"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N"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O"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P"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Q" </w:t>
      </w:r>
      <w:r>
        <w:rPr>
          <w:rFonts w:ascii="Times New Roman" w:cs="Times New Roman" w:eastAsia="Times New Roman" w:hAnsi="Times New Roman"/>
          <w:sz w:val="12"/>
          <w:szCs w:val="12"/>
          <w:color w:val="auto"/>
        </w:rPr>
        <w:t>means the company specified as such in Part A of Schedule 1 (The Parties).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"Borrower R" </w:t>
      </w:r>
      <w:r>
        <w:rPr>
          <w:rFonts w:ascii="Times New Roman" w:cs="Times New Roman" w:eastAsia="Times New Roman" w:hAnsi="Times New Roman"/>
          <w:sz w:val="12"/>
          <w:szCs w:val="12"/>
          <w:color w:val="auto"/>
        </w:rPr>
        <w:t>means the company specified as such in Part A of Schedule 1 (The Parties).</w:t>
      </w:r>
    </w:p>
    <w:p>
      <w:pPr>
        <w:spacing w:after="0" w:line="154" w:lineRule="exact"/>
        <w:rPr>
          <w:sz w:val="20"/>
          <w:szCs w:val="20"/>
          <w:color w:val="auto"/>
        </w:rPr>
      </w:pPr>
    </w:p>
    <w:p>
      <w:pPr>
        <w:jc w:val="both"/>
        <w:ind w:left="5200"/>
        <w:spacing w:after="0"/>
        <w:tabs>
          <w:tab w:leader="none" w:pos="9760" w:val="left"/>
        </w:tabs>
        <w:rPr>
          <w:sz w:val="20"/>
          <w:szCs w:val="20"/>
          <w:color w:val="auto"/>
        </w:rPr>
      </w:pPr>
      <w:r>
        <w:rPr>
          <w:rFonts w:ascii="Times New Roman" w:cs="Times New Roman" w:eastAsia="Times New Roman" w:hAnsi="Times New Roman"/>
          <w:sz w:val="12"/>
          <w:szCs w:val="12"/>
          <w:color w:val="auto"/>
        </w:rPr>
        <w:t>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391" w:name="page392"/>
    <w:bookmarkEnd w:id="391"/>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Break Costs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Forward Rate Loan, any amount specified as "Forward Rate Break Costs" in the applicable Risk Free Rate Terms;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Compounded Rate Loan, any amount specified as "Compounded Rate Break Costs" in the applicable Risk Free Rate Terms.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Business Day</w:t>
      </w:r>
      <w:r>
        <w:rPr>
          <w:rFonts w:ascii="Times New Roman" w:cs="Times New Roman" w:eastAsia="Times New Roman" w:hAnsi="Times New Roman"/>
          <w:sz w:val="12"/>
          <w:szCs w:val="12"/>
          <w:color w:val="auto"/>
        </w:rPr>
        <w:t>" means a day (other than a Saturday or a Sunday) which is not a public holiday in Athens, and on which banks are open for general business in Zurich and Basel, and in relation to any date when a payment in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Dollars is required to be made under a Finance Document, also in New York and in relation to:</w:t>
      </w:r>
    </w:p>
    <w:p>
      <w:pPr>
        <w:spacing w:after="0" w:line="139" w:lineRule="exact"/>
        <w:rPr>
          <w:sz w:val="20"/>
          <w:szCs w:val="20"/>
          <w:color w:val="auto"/>
        </w:rPr>
      </w:pPr>
    </w:p>
    <w:p>
      <w:pPr>
        <w:ind w:left="440" w:hanging="436"/>
        <w:spacing w:after="0"/>
        <w:tabs>
          <w:tab w:leader="none" w:pos="44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date for payment or purchase of an amount relating to a Compounded Rate Loan;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first day or the last day of an Interest Period for a Compounded Rate Loan or otherwise in relation to the determination of the length of such an Interest Period;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fixing of an interest rate for a Forward Rate Loan,</w:t>
      </w:r>
    </w:p>
    <w:p>
      <w:pPr>
        <w:spacing w:after="0" w:line="150" w:lineRule="exact"/>
        <w:rPr>
          <w:sz w:val="20"/>
          <w:szCs w:val="20"/>
          <w:color w:val="auto"/>
        </w:rPr>
      </w:pPr>
    </w:p>
    <w:p>
      <w:pPr>
        <w:ind w:right="3860" w:hanging="6"/>
        <w:spacing w:after="0" w:line="498" w:lineRule="auto"/>
        <w:rPr>
          <w:sz w:val="20"/>
          <w:szCs w:val="20"/>
          <w:color w:val="auto"/>
        </w:rPr>
      </w:pPr>
      <w:r>
        <w:rPr>
          <w:rFonts w:ascii="Times New Roman" w:cs="Times New Roman" w:eastAsia="Times New Roman" w:hAnsi="Times New Roman"/>
          <w:sz w:val="12"/>
          <w:szCs w:val="12"/>
          <w:color w:val="auto"/>
        </w:rPr>
        <w:t>which is an Additional Business Day relating to that Forward Rate Loan or Compounded Rate Loan (as the case may be) or any relevant part of it; "</w:t>
      </w:r>
      <w:r>
        <w:rPr>
          <w:rFonts w:ascii="Times New Roman" w:cs="Times New Roman" w:eastAsia="Times New Roman" w:hAnsi="Times New Roman"/>
          <w:sz w:val="12"/>
          <w:szCs w:val="12"/>
          <w:b w:val="1"/>
          <w:bCs w:val="1"/>
          <w:color w:val="auto"/>
        </w:rPr>
        <w:t>Business Day Convention</w:t>
      </w:r>
      <w:r>
        <w:rPr>
          <w:rFonts w:ascii="Times New Roman" w:cs="Times New Roman" w:eastAsia="Times New Roman" w:hAnsi="Times New Roman"/>
          <w:sz w:val="12"/>
          <w:szCs w:val="12"/>
          <w:color w:val="auto"/>
        </w:rPr>
        <w:t>" has the meaning given to that term in the Risk Free Rate Terms. "</w:t>
      </w:r>
      <w:r>
        <w:rPr>
          <w:rFonts w:ascii="Times New Roman" w:cs="Times New Roman" w:eastAsia="Times New Roman" w:hAnsi="Times New Roman"/>
          <w:sz w:val="12"/>
          <w:szCs w:val="12"/>
          <w:b w:val="1"/>
          <w:bCs w:val="1"/>
          <w:color w:val="auto"/>
        </w:rPr>
        <w:t>Central Bank Rate</w:t>
      </w:r>
      <w:r>
        <w:rPr>
          <w:rFonts w:ascii="Times New Roman" w:cs="Times New Roman" w:eastAsia="Times New Roman" w:hAnsi="Times New Roman"/>
          <w:sz w:val="12"/>
          <w:szCs w:val="12"/>
          <w:color w:val="auto"/>
        </w:rPr>
        <w:t>" has the meaning given to that term in the Risk Free Rate Terms.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 Adjustment</w:t>
      </w:r>
      <w:r>
        <w:rPr>
          <w:rFonts w:ascii="Times New Roman" w:cs="Times New Roman" w:eastAsia="Times New Roman" w:hAnsi="Times New Roman"/>
          <w:sz w:val="12"/>
          <w:szCs w:val="12"/>
          <w:color w:val="auto"/>
        </w:rPr>
        <w:t>" has the meaning given to that term in the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Central Bank Rate Spread</w:t>
      </w:r>
      <w:r>
        <w:rPr>
          <w:rFonts w:ascii="Times New Roman" w:cs="Times New Roman" w:eastAsia="Times New Roman" w:hAnsi="Times New Roman"/>
          <w:sz w:val="12"/>
          <w:szCs w:val="12"/>
          <w:color w:val="auto"/>
        </w:rPr>
        <w:t>" has the meaning given to that term in the Risk Free Rate Terms.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w:t>
      </w:r>
      <w:r>
        <w:rPr>
          <w:rFonts w:ascii="Times New Roman" w:cs="Times New Roman" w:eastAsia="Times New Roman" w:hAnsi="Times New Roman"/>
          <w:sz w:val="12"/>
          <w:szCs w:val="12"/>
          <w:color w:val="auto"/>
        </w:rPr>
        <w:t>" means, in relation to a Ship, any charter relating to that Ship (including, without limitation, an Initial Charter or any other Assignable Charter relating to that Ship), or other contract for its employment, whether or not already in existence.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 Guarantee</w:t>
      </w:r>
      <w:r>
        <w:rPr>
          <w:rFonts w:ascii="Times New Roman" w:cs="Times New Roman" w:eastAsia="Times New Roman" w:hAnsi="Times New Roman"/>
          <w:sz w:val="12"/>
          <w:szCs w:val="12"/>
          <w:color w:val="auto"/>
        </w:rPr>
        <w:t>" means any guarantee, bond, letter of credit or other instrument (if any and whether or not already issued) supporting a Charter, the form of which shall not be subject to the Facility Agent's prior approval.</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Charterparty Assignment</w:t>
      </w:r>
      <w:r>
        <w:rPr>
          <w:rFonts w:ascii="Times New Roman" w:cs="Times New Roman" w:eastAsia="Times New Roman" w:hAnsi="Times New Roman"/>
          <w:sz w:val="12"/>
          <w:szCs w:val="12"/>
          <w:color w:val="auto"/>
        </w:rPr>
        <w:t>" means, in relation to an Assignable Charter (including, if and as applicable, an Initial Charter) or relevant Charter Guarantee of a Ship, a specific deed of assignment of the rights, title and interests of the relevant Borrower under that Initial Charter or that other Assignable Charter (as the case may be) and any Charter Guarantee relevant thereto in the agreed form.</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Code</w:t>
      </w:r>
      <w:r>
        <w:rPr>
          <w:rFonts w:ascii="Times New Roman" w:cs="Times New Roman" w:eastAsia="Times New Roman" w:hAnsi="Times New Roman"/>
          <w:sz w:val="12"/>
          <w:szCs w:val="12"/>
          <w:color w:val="auto"/>
        </w:rPr>
        <w:t>" means the US Internal Revenue Code of 1986.</w:t>
      </w:r>
    </w:p>
    <w:p>
      <w:pPr>
        <w:spacing w:after="0" w:line="154" w:lineRule="exact"/>
        <w:rPr>
          <w:sz w:val="20"/>
          <w:szCs w:val="20"/>
          <w:color w:val="auto"/>
        </w:rPr>
      </w:pPr>
    </w:p>
    <w:p>
      <w:pPr>
        <w:jc w:val="both"/>
        <w:ind w:left="5200"/>
        <w:spacing w:after="0"/>
        <w:tabs>
          <w:tab w:leader="none" w:pos="9760" w:val="left"/>
        </w:tabs>
        <w:rPr>
          <w:sz w:val="20"/>
          <w:szCs w:val="20"/>
          <w:color w:val="auto"/>
        </w:rPr>
      </w:pPr>
      <w:r>
        <w:rPr>
          <w:rFonts w:ascii="Times New Roman" w:cs="Times New Roman" w:eastAsia="Times New Roman" w:hAnsi="Times New Roman"/>
          <w:sz w:val="12"/>
          <w:szCs w:val="12"/>
          <w:color w:val="auto"/>
        </w:rPr>
        <w:t>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5" w:right="299" w:bottom="1440" w:gutter="0" w:footer="0" w:header="0"/>
        </w:sectPr>
      </w:pPr>
    </w:p>
    <w:bookmarkStart w:id="392" w:name="page393"/>
    <w:bookmarkEnd w:id="392"/>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Commercial Management Agreement</w:t>
      </w:r>
      <w:r>
        <w:rPr>
          <w:rFonts w:ascii="Times New Roman" w:cs="Times New Roman" w:eastAsia="Times New Roman" w:hAnsi="Times New Roman"/>
          <w:sz w:val="12"/>
          <w:szCs w:val="12"/>
          <w:color w:val="auto"/>
        </w:rPr>
        <w:t>" means, in relation to a Ship, the agreement entered into between the relevant Borrower and the Approved Commercial Manager regarding the commercial management of that Ship.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Commitment</w:t>
      </w:r>
      <w:r>
        <w:rPr>
          <w:rFonts w:ascii="Times New Roman" w:cs="Times New Roman" w:eastAsia="Times New Roman" w:hAnsi="Times New Roman"/>
          <w:sz w:val="12"/>
          <w:szCs w:val="12"/>
          <w:color w:val="auto"/>
        </w:rPr>
        <w:t>" means:</w:t>
      </w:r>
    </w:p>
    <w:p>
      <w:pPr>
        <w:spacing w:after="0" w:line="152" w:lineRule="exact"/>
        <w:rPr>
          <w:sz w:val="20"/>
          <w:szCs w:val="20"/>
          <w:color w:val="auto"/>
        </w:rPr>
      </w:pPr>
    </w:p>
    <w:p>
      <w:pPr>
        <w:ind w:left="440" w:hanging="436"/>
        <w:spacing w:after="0" w:line="283" w:lineRule="auto"/>
        <w:tabs>
          <w:tab w:leader="none" w:pos="440" w:val="left"/>
        </w:tabs>
        <w:numPr>
          <w:ilvl w:val="0"/>
          <w:numId w:val="5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Original Lender, the amount set opposite its name under the heading "Commitment"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and the amount of any other Commitment transferred to it under this Agreement; and</w:t>
      </w:r>
    </w:p>
    <w:p>
      <w:pPr>
        <w:spacing w:after="0" w:line="10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Lender, the amount of any Commitment transferred to it under this Agreement pursuant to the relevant Transfer Certificate,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extent not cancelled, reduced or transferred by it under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Compliance Certificate</w:t>
      </w:r>
      <w:r>
        <w:rPr>
          <w:rFonts w:ascii="Times New Roman" w:cs="Times New Roman" w:eastAsia="Times New Roman" w:hAnsi="Times New Roman"/>
          <w:sz w:val="12"/>
          <w:szCs w:val="12"/>
          <w:color w:val="auto"/>
        </w:rPr>
        <w:t>" means a certificate in the form set out in Schedule 6 (</w:t>
      </w:r>
      <w:r>
        <w:rPr>
          <w:rFonts w:ascii="Times New Roman" w:cs="Times New Roman" w:eastAsia="Times New Roman" w:hAnsi="Times New Roman"/>
          <w:sz w:val="12"/>
          <w:szCs w:val="12"/>
          <w:i w:val="1"/>
          <w:iCs w:val="1"/>
          <w:color w:val="auto"/>
        </w:rPr>
        <w:t>Form of Compliance Certificate</w:t>
      </w:r>
      <w:r>
        <w:rPr>
          <w:rFonts w:ascii="Times New Roman" w:cs="Times New Roman" w:eastAsia="Times New Roman" w:hAnsi="Times New Roman"/>
          <w:sz w:val="12"/>
          <w:szCs w:val="12"/>
          <w:color w:val="auto"/>
        </w:rPr>
        <w:t>) or in any other form agreed between the Guarantor and the Facility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Break Costs</w:t>
      </w:r>
      <w:r>
        <w:rPr>
          <w:rFonts w:ascii="Times New Roman" w:cs="Times New Roman" w:eastAsia="Times New Roman" w:hAnsi="Times New Roman"/>
          <w:sz w:val="12"/>
          <w:szCs w:val="12"/>
          <w:color w:val="auto"/>
        </w:rPr>
        <w:t>" has the meaning given to that term in the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Interest Payment</w:t>
      </w:r>
      <w:r>
        <w:rPr>
          <w:rFonts w:ascii="Times New Roman" w:cs="Times New Roman" w:eastAsia="Times New Roman" w:hAnsi="Times New Roman"/>
          <w:sz w:val="12"/>
          <w:szCs w:val="12"/>
          <w:color w:val="auto"/>
        </w:rPr>
        <w:t>" means the aggregate amount of interest that:</w:t>
      </w:r>
    </w:p>
    <w:p>
      <w:pPr>
        <w:spacing w:after="0" w:line="154" w:lineRule="exact"/>
        <w:rPr>
          <w:sz w:val="20"/>
          <w:szCs w:val="20"/>
          <w:color w:val="auto"/>
        </w:rPr>
      </w:pPr>
    </w:p>
    <w:p>
      <w:pPr>
        <w:ind w:left="440" w:hanging="436"/>
        <w:spacing w:after="0"/>
        <w:tabs>
          <w:tab w:leader="none" w:pos="44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is scheduled to become, payable under the Finance Documents;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a Compounded Rate Loan;</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Rate Loan</w:t>
      </w:r>
      <w:r>
        <w:rPr>
          <w:rFonts w:ascii="Times New Roman" w:cs="Times New Roman" w:eastAsia="Times New Roman" w:hAnsi="Times New Roman"/>
          <w:sz w:val="12"/>
          <w:szCs w:val="12"/>
          <w:color w:val="auto"/>
        </w:rPr>
        <w:t>" means the Loan or any part of the Loan or, if applicable, Unpaid Sum which is, or becomes, a "Compounded Rate Loan" pursuant to Clause 8.1 (</w:t>
      </w:r>
      <w:r>
        <w:rPr>
          <w:rFonts w:ascii="Times New Roman" w:cs="Times New Roman" w:eastAsia="Times New Roman" w:hAnsi="Times New Roman"/>
          <w:sz w:val="12"/>
          <w:szCs w:val="12"/>
          <w:i w:val="1"/>
          <w:iCs w:val="1"/>
          <w:color w:val="auto"/>
        </w:rPr>
        <w:t>Switch to Compounded Reference Rate</w:t>
      </w:r>
      <w:r>
        <w:rPr>
          <w:rFonts w:ascii="Times New Roman" w:cs="Times New Roman" w:eastAsia="Times New Roman" w:hAnsi="Times New Roman"/>
          <w:sz w:val="12"/>
          <w:szCs w:val="12"/>
          <w:color w:val="auto"/>
        </w:rPr>
        <w:t>) or paragraph (d) of Clause 11.1 (</w:t>
      </w:r>
      <w:r>
        <w:rPr>
          <w:rFonts w:ascii="Times New Roman" w:cs="Times New Roman" w:eastAsia="Times New Roman" w:hAnsi="Times New Roman"/>
          <w:sz w:val="12"/>
          <w:szCs w:val="12"/>
          <w:i w:val="1"/>
          <w:iCs w:val="1"/>
          <w:color w:val="auto"/>
        </w:rPr>
        <w:t>Unavailability of Forward Rate before Rate Switch Date</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Compounded Reference Rate</w:t>
      </w:r>
      <w:r>
        <w:rPr>
          <w:rFonts w:ascii="Times New Roman" w:cs="Times New Roman" w:eastAsia="Times New Roman" w:hAnsi="Times New Roman"/>
          <w:sz w:val="12"/>
          <w:szCs w:val="12"/>
          <w:color w:val="auto"/>
        </w:rPr>
        <w:t>" means, in relation to any RFR Banking Day during the Interest Period of a Compounded Rate Loan, the percentage rate per annum which is the Daily Non-Cumulative Compounded RFR Rate for that RFR Banking Day.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Compounding Methodology Supplement</w:t>
      </w:r>
      <w:r>
        <w:rPr>
          <w:rFonts w:ascii="Times New Roman" w:cs="Times New Roman" w:eastAsia="Times New Roman" w:hAnsi="Times New Roman"/>
          <w:sz w:val="12"/>
          <w:szCs w:val="12"/>
          <w:color w:val="auto"/>
        </w:rPr>
        <w:t>" means, in relation to the Daily Non-Cumulative Compounded RFR Rate, a document which:</w:t>
      </w:r>
    </w:p>
    <w:p>
      <w:pPr>
        <w:spacing w:after="0" w:line="154" w:lineRule="exact"/>
        <w:rPr>
          <w:sz w:val="20"/>
          <w:szCs w:val="20"/>
          <w:color w:val="auto"/>
        </w:rPr>
      </w:pPr>
    </w:p>
    <w:p>
      <w:pPr>
        <w:ind w:left="440" w:hanging="436"/>
        <w:spacing w:after="0"/>
        <w:tabs>
          <w:tab w:leader="none" w:pos="440" w:val="left"/>
        </w:tabs>
        <w:numPr>
          <w:ilvl w:val="0"/>
          <w:numId w:val="5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the Facility Agent (in its own capacity) and the Facility Agent (acting on the instructions of the Majority Lenders);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a calculation methodology for that rate;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made available to the Borrowers and each Finance Party;</w:t>
      </w:r>
    </w:p>
    <w:p>
      <w:pPr>
        <w:spacing w:after="0" w:line="150" w:lineRule="exact"/>
        <w:rPr>
          <w:sz w:val="20"/>
          <w:szCs w:val="20"/>
          <w:color w:val="auto"/>
        </w:rPr>
      </w:pPr>
    </w:p>
    <w:p>
      <w:pPr>
        <w:jc w:val="both"/>
        <w:ind w:left="5200"/>
        <w:spacing w:after="0"/>
        <w:tabs>
          <w:tab w:leader="none" w:pos="9760" w:val="left"/>
        </w:tabs>
        <w:rPr>
          <w:sz w:val="20"/>
          <w:szCs w:val="20"/>
          <w:color w:val="auto"/>
        </w:rPr>
      </w:pPr>
      <w:r>
        <w:rPr>
          <w:rFonts w:ascii="Times New Roman" w:cs="Times New Roman" w:eastAsia="Times New Roman" w:hAnsi="Times New Roman"/>
          <w:sz w:val="12"/>
          <w:szCs w:val="12"/>
          <w:color w:val="auto"/>
        </w:rPr>
        <w:t>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393" w:name="page394"/>
    <w:bookmarkEnd w:id="393"/>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 Information</w:t>
      </w:r>
      <w:r>
        <w:rPr>
          <w:rFonts w:ascii="Times New Roman" w:cs="Times New Roman" w:eastAsia="Times New Roman" w:hAnsi="Times New Roman"/>
          <w:sz w:val="12"/>
          <w:szCs w:val="12"/>
          <w:color w:val="auto"/>
        </w:rPr>
        <w:t>" means all information relating to any Transaction Obligor, the Ships, any Restricted Party, the Finance Documents or the Facility of which a Finance Party becomes aware in its capacity as, or for the purpose of becoming, a Finance Party or which is received by a Finance Party in relation to, or for the purpose of becoming a Finance Party under, the Finance Documents or the Facility from either:</w:t>
      </w:r>
    </w:p>
    <w:p>
      <w:pPr>
        <w:spacing w:after="0" w:line="107" w:lineRule="exact"/>
        <w:rPr>
          <w:sz w:val="20"/>
          <w:szCs w:val="20"/>
          <w:color w:val="auto"/>
        </w:rPr>
      </w:pPr>
    </w:p>
    <w:p>
      <w:pPr>
        <w:ind w:left="440" w:hanging="436"/>
        <w:spacing w:after="0"/>
        <w:tabs>
          <w:tab w:leader="none" w:pos="440" w:val="left"/>
        </w:tabs>
        <w:numPr>
          <w:ilvl w:val="0"/>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Obligor or any of its advisers;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another Finance Party, if the information was obtained by that Finance Party directly or indirectly from any Transaction Obligor or any of its advisers,</w:t>
      </w:r>
    </w:p>
    <w:p>
      <w:pPr>
        <w:spacing w:after="0" w:line="150" w:lineRule="exact"/>
        <w:rPr>
          <w:rFonts w:ascii="Times New Roman" w:cs="Times New Roman" w:eastAsia="Times New Roman" w:hAnsi="Times New Roman"/>
          <w:sz w:val="12"/>
          <w:szCs w:val="12"/>
          <w:color w:val="auto"/>
        </w:rPr>
      </w:pPr>
    </w:p>
    <w:p>
      <w:pPr>
        <w:ind w:left="4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that:</w:t>
      </w:r>
    </w:p>
    <w:p>
      <w:pPr>
        <w:spacing w:after="0" w:line="148"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or becomes public information other than as a direct or indirect result of any breach by that Finance Party of Clause 46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2"/>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identified in writing at the time of delivery as non-confidential by any Transaction Obligor or any of its advisers; or</w:t>
      </w:r>
    </w:p>
    <w:p>
      <w:pPr>
        <w:spacing w:after="0" w:line="150" w:lineRule="exact"/>
        <w:rPr>
          <w:rFonts w:ascii="Times New Roman" w:cs="Times New Roman" w:eastAsia="Times New Roman" w:hAnsi="Times New Roman"/>
          <w:sz w:val="12"/>
          <w:szCs w:val="12"/>
          <w:color w:val="auto"/>
        </w:rPr>
      </w:pPr>
    </w:p>
    <w:p>
      <w:pPr>
        <w:jc w:val="both"/>
        <w:ind w:left="1300" w:hanging="432"/>
        <w:spacing w:after="0" w:line="265" w:lineRule="auto"/>
        <w:tabs>
          <w:tab w:leader="none" w:pos="1300" w:val="left"/>
        </w:tabs>
        <w:numPr>
          <w:ilvl w:val="2"/>
          <w:numId w:val="5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known by that Finance Party before the date the information is disclosed to it in accordance with paragraphs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w:t>
      </w:r>
    </w:p>
    <w:p>
      <w:pPr>
        <w:spacing w:after="0" w:line="11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Confidentiality Undertaking</w:t>
      </w:r>
      <w:r>
        <w:rPr>
          <w:rFonts w:ascii="Times New Roman" w:cs="Times New Roman" w:eastAsia="Times New Roman" w:hAnsi="Times New Roman"/>
          <w:sz w:val="12"/>
          <w:szCs w:val="12"/>
          <w:color w:val="auto"/>
        </w:rPr>
        <w:t>" means a confidentiality undertaking in substantially the appropriate form recommended by the LMA from time to time or in any other form agreed between the Borrowers and the Facility Agent.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Corresponding Debt</w:t>
      </w:r>
      <w:r>
        <w:rPr>
          <w:rFonts w:ascii="Times New Roman" w:cs="Times New Roman" w:eastAsia="Times New Roman" w:hAnsi="Times New Roman"/>
          <w:sz w:val="12"/>
          <w:szCs w:val="12"/>
          <w:color w:val="auto"/>
        </w:rPr>
        <w:t>" means any amount, other than any Parallel Debt, which an Obligor owes to a Secured Party under or in connection with the Finance Documents.</w:t>
      </w:r>
    </w:p>
    <w:p>
      <w:pPr>
        <w:spacing w:after="0" w:line="1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 Non-Cumulative Compounded RFR Rate</w:t>
      </w:r>
      <w:r>
        <w:rPr>
          <w:rFonts w:ascii="Times New Roman" w:cs="Times New Roman" w:eastAsia="Times New Roman" w:hAnsi="Times New Roman"/>
          <w:sz w:val="12"/>
          <w:szCs w:val="12"/>
          <w:color w:val="auto"/>
        </w:rPr>
        <w:t>" means, in relation to any RFR Banking Day during an Interest Period for a Compounded Rate Loan, the percentage rate per annum determined by the Facility Agent (or by any other Finance Party which agrees to determine that rate in place of the Facility Agent) in accordance with the methodology set out in Schedule 10 (</w:t>
      </w:r>
      <w:r>
        <w:rPr>
          <w:rFonts w:ascii="Times New Roman" w:cs="Times New Roman" w:eastAsia="Times New Roman" w:hAnsi="Times New Roman"/>
          <w:sz w:val="12"/>
          <w:szCs w:val="12"/>
          <w:i w:val="1"/>
          <w:iCs w:val="1"/>
          <w:color w:val="auto"/>
        </w:rPr>
        <w:t>Daily Non-Cumulative Compounded RFR Rate</w:t>
      </w:r>
      <w:r>
        <w:rPr>
          <w:rFonts w:ascii="Times New Roman" w:cs="Times New Roman" w:eastAsia="Times New Roman" w:hAnsi="Times New Roman"/>
          <w:sz w:val="12"/>
          <w:szCs w:val="12"/>
          <w:color w:val="auto"/>
        </w:rPr>
        <w:t>) or in any relevant Compounding Methodology Supplement.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 means the rate specified as such in the applicable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Debt Purchase Transaction</w:t>
      </w:r>
      <w:r>
        <w:rPr>
          <w:rFonts w:ascii="Times New Roman" w:cs="Times New Roman" w:eastAsia="Times New Roman" w:hAnsi="Times New Roman"/>
          <w:sz w:val="12"/>
          <w:szCs w:val="12"/>
          <w:color w:val="auto"/>
        </w:rPr>
        <w:t>" means, in relation to a person, a transaction where such person:</w:t>
      </w:r>
    </w:p>
    <w:p>
      <w:pPr>
        <w:spacing w:after="0" w:line="154" w:lineRule="exact"/>
        <w:rPr>
          <w:sz w:val="20"/>
          <w:szCs w:val="20"/>
          <w:color w:val="auto"/>
        </w:rPr>
      </w:pPr>
    </w:p>
    <w:p>
      <w:pPr>
        <w:ind w:left="440" w:hanging="436"/>
        <w:spacing w:after="0"/>
        <w:tabs>
          <w:tab w:leader="none" w:pos="440"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purchases by way of assignment or transfer;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enters into any sub-participation in respect of;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enters into any other agreement or arrangement having an economic effect substantially similar to a sub-participation in respect of, any Commitment or Loan amount outstanding under this Agreement;</w:t>
      </w:r>
    </w:p>
    <w:p>
      <w:pPr>
        <w:spacing w:after="0" w:line="150" w:lineRule="exact"/>
        <w:rPr>
          <w:sz w:val="20"/>
          <w:szCs w:val="20"/>
          <w:color w:val="auto"/>
        </w:rPr>
      </w:pPr>
    </w:p>
    <w:p>
      <w:pPr>
        <w:jc w:val="both"/>
        <w:ind w:left="5200"/>
        <w:spacing w:after="0"/>
        <w:tabs>
          <w:tab w:leader="none" w:pos="9760" w:val="left"/>
        </w:tabs>
        <w:rPr>
          <w:sz w:val="20"/>
          <w:szCs w:val="20"/>
          <w:color w:val="auto"/>
        </w:rPr>
      </w:pPr>
      <w:r>
        <w:rPr>
          <w:rFonts w:ascii="Times New Roman" w:cs="Times New Roman" w:eastAsia="Times New Roman" w:hAnsi="Times New Roman"/>
          <w:sz w:val="12"/>
          <w:szCs w:val="12"/>
          <w:color w:val="auto"/>
        </w:rPr>
        <w:t>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5" w:right="299" w:bottom="1440" w:gutter="0" w:footer="0" w:header="0"/>
        </w:sectPr>
      </w:pPr>
    </w:p>
    <w:bookmarkStart w:id="394" w:name="page395"/>
    <w:bookmarkEnd w:id="394"/>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Deed of Release</w:t>
      </w:r>
      <w:r>
        <w:rPr>
          <w:rFonts w:ascii="Times New Roman" w:cs="Times New Roman" w:eastAsia="Times New Roman" w:hAnsi="Times New Roman"/>
          <w:sz w:val="12"/>
          <w:szCs w:val="12"/>
          <w:color w:val="auto"/>
        </w:rPr>
        <w:t>" means, in relation to each Existing Agreement, a deed releasing the Existing Security under that Existing Agreement in a form acceptable to the Facility Agent and, in the plural means, all of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Default</w:t>
      </w:r>
      <w:r>
        <w:rPr>
          <w:rFonts w:ascii="Times New Roman" w:cs="Times New Roman" w:eastAsia="Times New Roman" w:hAnsi="Times New Roman"/>
          <w:sz w:val="12"/>
          <w:szCs w:val="12"/>
          <w:color w:val="auto"/>
        </w:rPr>
        <w:t>" means an Event of Default or a Potential Event of Default.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Delegate</w:t>
      </w:r>
      <w:r>
        <w:rPr>
          <w:rFonts w:ascii="Times New Roman" w:cs="Times New Roman" w:eastAsia="Times New Roman" w:hAnsi="Times New Roman"/>
          <w:sz w:val="12"/>
          <w:szCs w:val="12"/>
          <w:color w:val="auto"/>
        </w:rPr>
        <w:t>" means any delegate, agent, attorney or co-trustee appointed by the Security Agent.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Disruption Event</w:t>
      </w:r>
      <w:r>
        <w:rPr>
          <w:rFonts w:ascii="Times New Roman" w:cs="Times New Roman" w:eastAsia="Times New Roman" w:hAnsi="Times New Roman"/>
          <w:sz w:val="12"/>
          <w:szCs w:val="12"/>
          <w:color w:val="auto"/>
        </w:rPr>
        <w:t>" means either or both of:</w:t>
      </w:r>
    </w:p>
    <w:p>
      <w:pPr>
        <w:spacing w:after="0" w:line="154" w:lineRule="exact"/>
        <w:rPr>
          <w:sz w:val="20"/>
          <w:szCs w:val="20"/>
          <w:color w:val="auto"/>
        </w:rPr>
      </w:pPr>
    </w:p>
    <w:p>
      <w:pPr>
        <w:jc w:val="both"/>
        <w:ind w:left="440" w:right="20" w:hanging="436"/>
        <w:spacing w:after="0" w:line="265" w:lineRule="auto"/>
        <w:tabs>
          <w:tab w:leader="none" w:pos="440"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material disruption to those payment or communications systems or to those financial markets which are, in each case, required to operate in order for payments to be made in connection with the Facility (or otherwise in order for the transactions contemplated by the Finance Documents to be carried out) which disruption is not caused by, and is beyond the control of, any of the Parties or, if applicable, any Transaction Obligor; or</w:t>
      </w:r>
    </w:p>
    <w:p>
      <w:pPr>
        <w:spacing w:after="0" w:line="118"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other event which results in a disruption (of a technical or systems-related nature) to the treasury or payments operations of a Party or, if applicable, any Transaction Obligor preventing that, or any other, Party or, if applicable, any Transaction Obligor: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performing its payment obligations under the Finance Documents;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from communicating with other Parties or, if applicable, any Transaction Obligor in accordance with the terms of the Finance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which (in either such case) is not caused by, and is beyond the control of, the Party or, if applicable, any Transaction Obligor whose operations are disrupted.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Dividend Payment</w:t>
      </w:r>
      <w:r>
        <w:rPr>
          <w:rFonts w:ascii="Times New Roman" w:cs="Times New Roman" w:eastAsia="Times New Roman" w:hAnsi="Times New Roman"/>
          <w:sz w:val="12"/>
          <w:szCs w:val="12"/>
          <w:color w:val="auto"/>
        </w:rPr>
        <w:t>" means, in relation to an Obligor, any of the following:</w:t>
      </w:r>
    </w:p>
    <w:p>
      <w:pPr>
        <w:spacing w:after="0" w:line="154" w:lineRule="exact"/>
        <w:rPr>
          <w:sz w:val="20"/>
          <w:szCs w:val="20"/>
          <w:color w:val="auto"/>
        </w:rPr>
      </w:pPr>
    </w:p>
    <w:p>
      <w:pPr>
        <w:ind w:left="440" w:hanging="436"/>
        <w:spacing w:after="0" w:line="279" w:lineRule="auto"/>
        <w:tabs>
          <w:tab w:leader="none" w:pos="44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declaration, making or payment of any dividend, charge, fee or other distribution (or interest on any unpaid dividend, charge, fee or other distribution) (whether in cash or in kind) on or in respect of its equity interests;</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repayment or distribution of any dividend or share premium reserve;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redemption, repurchase, defeasance, retirement or repayment of any of its issued shares or a resolution to do any of the foregoing.</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dollars</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mean the lawful currency, for the time being, of the United States of America.</w:t>
      </w:r>
    </w:p>
    <w:p>
      <w:pPr>
        <w:spacing w:after="0" w:line="154" w:lineRule="exact"/>
        <w:rPr>
          <w:sz w:val="20"/>
          <w:szCs w:val="20"/>
          <w:color w:val="auto"/>
        </w:rPr>
      </w:pPr>
    </w:p>
    <w:p>
      <w:pPr>
        <w:jc w:val="both"/>
        <w:ind w:left="5200"/>
        <w:spacing w:after="0"/>
        <w:tabs>
          <w:tab w:leader="none" w:pos="9760" w:val="left"/>
        </w:tabs>
        <w:rPr>
          <w:sz w:val="20"/>
          <w:szCs w:val="20"/>
          <w:color w:val="auto"/>
        </w:rPr>
      </w:pPr>
      <w:r>
        <w:rPr>
          <w:rFonts w:ascii="Times New Roman" w:cs="Times New Roman" w:eastAsia="Times New Roman" w:hAnsi="Times New Roman"/>
          <w:sz w:val="12"/>
          <w:szCs w:val="12"/>
          <w:color w:val="auto"/>
        </w:rPr>
        <w:t>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395" w:name="page396"/>
    <w:bookmarkEnd w:id="395"/>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w:t>
      </w:r>
      <w:r>
        <w:rPr>
          <w:rFonts w:ascii="Times New Roman" w:cs="Times New Roman" w:eastAsia="Times New Roman" w:hAnsi="Times New Roman"/>
          <w:sz w:val="12"/>
          <w:szCs w:val="12"/>
          <w:color w:val="auto"/>
        </w:rPr>
        <w:t>" means, in relation to a Ship, all moneys whatsoever which are now, or later become, payable (actually or contingently) to a Borrower or the Security Agent and which arise out of or in connection with or relate to the use or operation of that Ship, including (but not limited to):</w:t>
      </w:r>
    </w:p>
    <w:p>
      <w:pPr>
        <w:spacing w:after="0" w:line="107" w:lineRule="exact"/>
        <w:rPr>
          <w:sz w:val="20"/>
          <w:szCs w:val="20"/>
          <w:color w:val="auto"/>
        </w:rPr>
      </w:pPr>
    </w:p>
    <w:p>
      <w:pPr>
        <w:ind w:left="440" w:hanging="436"/>
        <w:spacing w:after="0"/>
        <w:tabs>
          <w:tab w:leader="none" w:pos="44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save to the extent that any of them is, with the prior written consent of the Facility Agent, pooled or shared with any other person:</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freight, hire and passage moneys including, without limitation, all moneys payable under, arising out of or in connection with a Charter or a Charter Guarantee;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proceeds of the exercise of any lien on sub-freights;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compensation payable to a Borrower or the Security Agent in the event of requisition of that Ship for hire or use;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remuneration for salvage and towage services;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demurrage and detention moneys;</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sub-paragraph (i) above, damages for breach (or payments for variation or termination) of any charterparty or other contract for the employment of that Ship;</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moneys which are at any time payable under any Insurances in relation to loss of hire (if applicable);</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monies which are at any time payable to a Borrower in relation to general average contribution;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5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and whenever that Ship is employed on terms whereby any moneys falling within sub-paragraphs (i) to (viii) of paragraph (a) above are pooled or shared with any other person, that proportion of the net receipts of the relevant pooling or sharing arrangement which is attributable to that Ship.</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Earnings Account</w:t>
      </w:r>
      <w:r>
        <w:rPr>
          <w:rFonts w:ascii="Times New Roman" w:cs="Times New Roman" w:eastAsia="Times New Roman" w:hAnsi="Times New Roman"/>
          <w:sz w:val="12"/>
          <w:szCs w:val="12"/>
          <w:color w:val="auto"/>
        </w:rPr>
        <w:t>" means, in relation to a Borrower:</w:t>
      </w:r>
    </w:p>
    <w:p>
      <w:pPr>
        <w:spacing w:after="0" w:line="154" w:lineRule="exact"/>
        <w:rPr>
          <w:sz w:val="20"/>
          <w:szCs w:val="20"/>
          <w:color w:val="auto"/>
        </w:rPr>
      </w:pPr>
    </w:p>
    <w:p>
      <w:pPr>
        <w:ind w:left="440" w:hanging="436"/>
        <w:spacing w:after="0"/>
        <w:tabs>
          <w:tab w:leader="none" w:pos="440" w:val="left"/>
        </w:tabs>
        <w:numPr>
          <w:ilvl w:val="0"/>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account in the name of that Borrower with the Account Bank;</w:t>
      </w:r>
    </w:p>
    <w:p>
      <w:pPr>
        <w:spacing w:after="0" w:line="148" w:lineRule="exact"/>
        <w:rPr>
          <w:rFonts w:ascii="Times New Roman" w:cs="Times New Roman" w:eastAsia="Times New Roman" w:hAnsi="Times New Roman"/>
          <w:sz w:val="12"/>
          <w:szCs w:val="12"/>
          <w:color w:val="auto"/>
        </w:rPr>
      </w:pPr>
    </w:p>
    <w:p>
      <w:pPr>
        <w:ind w:left="440" w:right="20" w:hanging="436"/>
        <w:spacing w:after="0" w:line="283" w:lineRule="auto"/>
        <w:tabs>
          <w:tab w:leader="none" w:pos="440" w:val="left"/>
        </w:tabs>
        <w:numPr>
          <w:ilvl w:val="0"/>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account in the name of that Borrower with the Account Bank which may, pursuant to Clause 30.10 (</w:t>
      </w:r>
      <w:r>
        <w:rPr>
          <w:rFonts w:ascii="Times New Roman" w:cs="Times New Roman" w:eastAsia="Times New Roman" w:hAnsi="Times New Roman"/>
          <w:sz w:val="12"/>
          <w:szCs w:val="12"/>
          <w:i w:val="1"/>
          <w:iCs w:val="1"/>
          <w:color w:val="auto"/>
        </w:rPr>
        <w:t>Account Transfer</w:t>
      </w:r>
      <w:r>
        <w:rPr>
          <w:rFonts w:ascii="Times New Roman" w:cs="Times New Roman" w:eastAsia="Times New Roman" w:hAnsi="Times New Roman"/>
          <w:sz w:val="12"/>
          <w:szCs w:val="12"/>
          <w:color w:val="auto"/>
        </w:rPr>
        <w:t>) or otherwise with the prior written consent of the Facility Agent, be opened in the place of the account referred to in paragraph (a) above, irrespective of the number or designation of such replacement account; or</w:t>
      </w:r>
    </w:p>
    <w:p>
      <w:pPr>
        <w:spacing w:after="0" w:line="10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5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sub-account of any account referred to in paragraph (a) or (b)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EEA Member Country</w:t>
      </w:r>
      <w:r>
        <w:rPr>
          <w:rFonts w:ascii="Times New Roman" w:cs="Times New Roman" w:eastAsia="Times New Roman" w:hAnsi="Times New Roman"/>
          <w:sz w:val="12"/>
          <w:szCs w:val="12"/>
          <w:color w:val="auto"/>
        </w:rPr>
        <w:t>" means any member state of the European Union, Iceland, Liechtenstein and Norway.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Approval</w:t>
      </w:r>
      <w:r>
        <w:rPr>
          <w:rFonts w:ascii="Times New Roman" w:cs="Times New Roman" w:eastAsia="Times New Roman" w:hAnsi="Times New Roman"/>
          <w:sz w:val="12"/>
          <w:szCs w:val="12"/>
          <w:color w:val="auto"/>
        </w:rPr>
        <w:t>" means any present or future permit, ruling, variance or other Authorisation required under Environmental Law.</w:t>
      </w:r>
    </w:p>
    <w:p>
      <w:pPr>
        <w:spacing w:after="0" w:line="154" w:lineRule="exact"/>
        <w:rPr>
          <w:sz w:val="20"/>
          <w:szCs w:val="20"/>
          <w:color w:val="auto"/>
        </w:rPr>
      </w:pPr>
    </w:p>
    <w:p>
      <w:pPr>
        <w:ind w:left="5200"/>
        <w:spacing w:after="0"/>
        <w:tabs>
          <w:tab w:leader="none" w:pos="9760" w:val="left"/>
        </w:tabs>
        <w:rPr>
          <w:sz w:val="20"/>
          <w:szCs w:val="20"/>
          <w:color w:val="auto"/>
        </w:rPr>
      </w:pPr>
      <w:r>
        <w:rPr>
          <w:rFonts w:ascii="Times New Roman" w:cs="Times New Roman" w:eastAsia="Times New Roman" w:hAnsi="Times New Roman"/>
          <w:sz w:val="11"/>
          <w:szCs w:val="11"/>
          <w:color w:val="auto"/>
        </w:rPr>
        <w:t>9</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17780</wp:posOffset>
            </wp:positionV>
            <wp:extent cx="7178040" cy="571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5" w:right="299" w:bottom="1440" w:gutter="0" w:footer="0" w:header="0"/>
        </w:sectPr>
      </w:pPr>
    </w:p>
    <w:bookmarkStart w:id="396" w:name="page397"/>
    <w:bookmarkEnd w:id="396"/>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Claim</w:t>
      </w:r>
      <w:r>
        <w:rPr>
          <w:rFonts w:ascii="Times New Roman" w:cs="Times New Roman" w:eastAsia="Times New Roman" w:hAnsi="Times New Roman"/>
          <w:sz w:val="12"/>
          <w:szCs w:val="12"/>
          <w:color w:val="auto"/>
        </w:rPr>
        <w:t>" means any claim by any governmental, judicial or regulatory authority or any other person which arises out of an Environmental Incident or an alleged Environmental Incident or which relates to any Environmental Law and, for this purpose, "</w:t>
      </w:r>
      <w:r>
        <w:rPr>
          <w:rFonts w:ascii="Times New Roman" w:cs="Times New Roman" w:eastAsia="Times New Roman" w:hAnsi="Times New Roman"/>
          <w:sz w:val="12"/>
          <w:szCs w:val="12"/>
          <w:b w:val="1"/>
          <w:bCs w:val="1"/>
          <w:color w:val="auto"/>
        </w:rPr>
        <w:t>claim</w:t>
      </w:r>
      <w:r>
        <w:rPr>
          <w:rFonts w:ascii="Times New Roman" w:cs="Times New Roman" w:eastAsia="Times New Roman" w:hAnsi="Times New Roman"/>
          <w:sz w:val="12"/>
          <w:szCs w:val="12"/>
          <w:color w:val="auto"/>
        </w:rPr>
        <w:t>" includes a claim for damages, compensation, contribution, injury, fines, losses and penalties or any other payment of any kind, including in relation to clean-up and removal, whether or not similar to the foregoing; an order or direction to take, or not to take, certain action or to desist from or suspend certain action; and any form of enforcement or regulatory action, including the arrest or attachment of any asset.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Incident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line="279" w:lineRule="auto"/>
        <w:tabs>
          <w:tab w:leader="none" w:pos="440"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emission, spill or discharge of Environmentally Sensitive Material whether within a Ship or from a Ship into any other vessel or into or upon the air, water, land or soils (including the seabed) or surface water; or</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incident in which Environmentally Sensitive Material is released, emitted, spilled or discharged into or upon the air, water, land or soils (including the seabed) or surface water from a vessel other than any Ship and which involves a collision between any Ship and such other vessel or some other incident of navigation or operation, in either case, in connection with which a Ship is actually or potentially liable to be arrested, attached, detained or injuncted and/or a Ship and/or any Transaction Obligor and/or any operator or manager of a Ship is at fault or allegedly at fault or otherwise liable to any legal or administrative action; or</w:t>
      </w:r>
    </w:p>
    <w:p>
      <w:pPr>
        <w:spacing w:after="0" w:line="118"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6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incident in which Environmentally Sensitive Material is released, emitted, spilled or discharged into or upon the air, water, land or soils (including the seabed) or surface water otherwise than from a Ship and in connection with which a Ship is actually or potentially liable to be arrested and/or where any Transaction Obligor and/or any operator or manager of a Ship is at fault or allegedly at fault or otherwise liable to any legal or administrative action other than in accordance with an Environmental Approval.</w:t>
      </w:r>
    </w:p>
    <w:p>
      <w:pPr>
        <w:spacing w:after="0" w:line="11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 Law</w:t>
      </w:r>
      <w:r>
        <w:rPr>
          <w:rFonts w:ascii="Times New Roman" w:cs="Times New Roman" w:eastAsia="Times New Roman" w:hAnsi="Times New Roman"/>
          <w:sz w:val="12"/>
          <w:szCs w:val="12"/>
          <w:color w:val="auto"/>
        </w:rPr>
        <w:t>" means any present or future law relating to vessel disposal, energy efficiency, carbon reduction, emissions, emissions trading, pollution or protection of human health or the environment, to conditions in the workplace, to the carriage, generation, handling, storage, use, release or spillage of Environmentally Sensitive Material or to actual or threatened releases of Environmentally Sensitive Material.</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Environmentally Sensitive Material</w:t>
      </w:r>
      <w:r>
        <w:rPr>
          <w:rFonts w:ascii="Times New Roman" w:cs="Times New Roman" w:eastAsia="Times New Roman" w:hAnsi="Times New Roman"/>
          <w:sz w:val="12"/>
          <w:szCs w:val="12"/>
          <w:color w:val="auto"/>
        </w:rPr>
        <w:t>" means and includes all contaminants, oil, oil products, toxic substances and any other substance (including any chemical, gas or other hazardous or noxious substance) which is polluting, toxic or hazardous.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Bail-In Legislation Schedule</w:t>
      </w:r>
      <w:r>
        <w:rPr>
          <w:rFonts w:ascii="Times New Roman" w:cs="Times New Roman" w:eastAsia="Times New Roman" w:hAnsi="Times New Roman"/>
          <w:sz w:val="12"/>
          <w:szCs w:val="12"/>
          <w:color w:val="auto"/>
        </w:rPr>
        <w:t>" means the document described as such and published by the LMA from time to time.</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EU Ship Recycling Regulation</w:t>
      </w:r>
      <w:r>
        <w:rPr>
          <w:rFonts w:ascii="Times New Roman" w:cs="Times New Roman" w:eastAsia="Times New Roman" w:hAnsi="Times New Roman"/>
          <w:sz w:val="12"/>
          <w:szCs w:val="12"/>
          <w:color w:val="auto"/>
        </w:rPr>
        <w:t>" means Regulation (EU) No 1257/2013 of the European Parliament and of the Council of 20 November 2013 on ship recycling and amending Regulation (EC) No 1013/2006 and Directive 2009/16/EC, as the same may be amended or replaced from time to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Event of Default</w:t>
      </w:r>
      <w:r>
        <w:rPr>
          <w:rFonts w:ascii="Times New Roman" w:cs="Times New Roman" w:eastAsia="Times New Roman" w:hAnsi="Times New Roman"/>
          <w:sz w:val="12"/>
          <w:szCs w:val="12"/>
          <w:color w:val="auto"/>
        </w:rPr>
        <w:t>" means any event or circumstance specified as such in Clause 29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397" w:name="page398"/>
    <w:bookmarkEnd w:id="397"/>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Agreement</w:t>
      </w:r>
      <w:r>
        <w:rPr>
          <w:rFonts w:ascii="Times New Roman" w:cs="Times New Roman" w:eastAsia="Times New Roman" w:hAnsi="Times New Roman"/>
          <w:sz w:val="12"/>
          <w:szCs w:val="12"/>
          <w:color w:val="auto"/>
        </w:rPr>
        <w:t>" means Existing Agreement I, Existing Agreement II or Existing Agreement III.</w:t>
      </w:r>
    </w:p>
    <w:p>
      <w:pPr>
        <w:spacing w:after="0" w:line="15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Agreement I</w:t>
      </w:r>
      <w:r>
        <w:rPr>
          <w:rFonts w:ascii="Times New Roman" w:cs="Times New Roman" w:eastAsia="Times New Roman" w:hAnsi="Times New Roman"/>
          <w:sz w:val="12"/>
          <w:szCs w:val="12"/>
          <w:color w:val="auto"/>
        </w:rPr>
        <w:t>" means in respect of Borrower A, Borrower B and Borrower C, the facility agreement dated 30 December 2021 (as amended and restated by an amendment and restatement agreement dated 18 July 2023 and as further from time to time amended, restated and/or supplemented) and made between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(i) Borrower A, Borrower B and Borrower C as joint and several borrowers, (ii) the banks and financial institutions listed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therein as lenders and (iii) E.Sun Commercial Bank, Ltd and others as mandated lead arrangers, (iv) E.Sun Commercial Bank, Ltd as facility agent and (v) E.Sun Commercial Bank, Ltd as security agent, in respect of a facility of (originally) up to US$60,000,000.</w:t>
      </w:r>
    </w:p>
    <w:p>
      <w:pPr>
        <w:spacing w:after="0" w:line="11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Agreement II</w:t>
      </w:r>
      <w:r>
        <w:rPr>
          <w:rFonts w:ascii="Times New Roman" w:cs="Times New Roman" w:eastAsia="Times New Roman" w:hAnsi="Times New Roman"/>
          <w:sz w:val="12"/>
          <w:szCs w:val="12"/>
          <w:color w:val="auto"/>
        </w:rPr>
        <w:t>" means in respect of Borrower D, Borrower E, Borrower F, Borrower G, Borrower H, Borrower I, Borrower J, Borrower K, Borrower L, Borrower M and Borrower N, the facility agreement dated 6 July 2021 (amended and restated by a deed of amendment and restatement dated 4 July 2023 and as further from time to time amended, restated and/or supplemented) and made between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(i) Borrower D, Borrower E, Borrower F, Borrower G, Borrower H, Borrower I, Borrower J, Borrower K, Borrower L, Borrower M and Borrower N as joint and several borrowers, (ii) the banks and financial institutions listed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therein as lenders and (iii) Credit Agricole Corporate and Investment Bank and Hamburg Commercial Bank AG as mandated lead arrangers, (iv) Credit Agricole Corporate and Investment Bank as facility agent and (v) Credit Agricole Corporate and Investment Bank as security agent, in respect of a facility of (originally) $140,000,000.</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Agreement III</w:t>
      </w:r>
      <w:r>
        <w:rPr>
          <w:rFonts w:ascii="Times New Roman" w:cs="Times New Roman" w:eastAsia="Times New Roman" w:hAnsi="Times New Roman"/>
          <w:sz w:val="12"/>
          <w:szCs w:val="12"/>
          <w:color w:val="auto"/>
        </w:rPr>
        <w:t>" means in respect of Borrower O, Borrower P, Borrower Q and Borrower R, the facility agreement dated 18 May 2023 (as from time to time amended, restated and/or supplemented) and made between (</w:t>
      </w:r>
      <w:r>
        <w:rPr>
          <w:rFonts w:ascii="Times New Roman" w:cs="Times New Roman" w:eastAsia="Times New Roman" w:hAnsi="Times New Roman"/>
          <w:sz w:val="12"/>
          <w:szCs w:val="12"/>
          <w:i w:val="1"/>
          <w:iCs w:val="1"/>
          <w:color w:val="auto"/>
        </w:rPr>
        <w:t>inter alios</w:t>
      </w:r>
      <w:r>
        <w:rPr>
          <w:rFonts w:ascii="Times New Roman" w:cs="Times New Roman" w:eastAsia="Times New Roman" w:hAnsi="Times New Roman"/>
          <w:sz w:val="12"/>
          <w:szCs w:val="12"/>
          <w:color w:val="auto"/>
        </w:rPr>
        <w:t>) (i) Borrower O, Borrower P, Borrower Q and Borrower R as joint and several borrowers, (ii) the financial institutions listed in Part B of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)therein as lenders and (iii) Macquarie Bank Limited, London Branch as arranger, facility agent and security agent, in respect of a facility of (originally) up to $76,000,000.</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Indebtedness</w:t>
      </w:r>
      <w:r>
        <w:rPr>
          <w:rFonts w:ascii="Times New Roman" w:cs="Times New Roman" w:eastAsia="Times New Roman" w:hAnsi="Times New Roman"/>
          <w:sz w:val="12"/>
          <w:szCs w:val="12"/>
          <w:color w:val="auto"/>
        </w:rPr>
        <w:t>" means, at any date, the outstanding indebtedness of the relevant Borrowers on that date under the relevant Existing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Existing Security</w:t>
      </w:r>
      <w:r>
        <w:rPr>
          <w:rFonts w:ascii="Times New Roman" w:cs="Times New Roman" w:eastAsia="Times New Roman" w:hAnsi="Times New Roman"/>
          <w:sz w:val="12"/>
          <w:szCs w:val="12"/>
          <w:color w:val="auto"/>
        </w:rPr>
        <w:t>" means any Security created to secure the Existing Indebtedness under each relevant Existing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Facility</w:t>
      </w:r>
      <w:r>
        <w:rPr>
          <w:rFonts w:ascii="Times New Roman" w:cs="Times New Roman" w:eastAsia="Times New Roman" w:hAnsi="Times New Roman"/>
          <w:sz w:val="12"/>
          <w:szCs w:val="12"/>
          <w:color w:val="auto"/>
        </w:rPr>
        <w:t>" means the term loan facility made available under this Agreement as described in Clause 2 (</w:t>
      </w:r>
      <w:r>
        <w:rPr>
          <w:rFonts w:ascii="Times New Roman" w:cs="Times New Roman" w:eastAsia="Times New Roman" w:hAnsi="Times New Roman"/>
          <w:sz w:val="12"/>
          <w:szCs w:val="12"/>
          <w:i w:val="1"/>
          <w:iCs w:val="1"/>
          <w:color w:val="auto"/>
        </w:rPr>
        <w:t>The Facility</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Facility Office</w:t>
      </w:r>
      <w:r>
        <w:rPr>
          <w:rFonts w:ascii="Times New Roman" w:cs="Times New Roman" w:eastAsia="Times New Roman" w:hAnsi="Times New Roman"/>
          <w:sz w:val="12"/>
          <w:szCs w:val="12"/>
          <w:color w:val="auto"/>
        </w:rPr>
        <w:t>" means the office or offices notified by a Lender to the Facility Agent in writing on or before the date it becomes a Lender (or, following that date, by not less than five Business Days' written notice) as the office or offices through which it will perform its obligations under this Agreement.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sections 1471 to 1474 of the Code or any associated regulations;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111" w:lineRule="exact"/>
        <w:rPr>
          <w:sz w:val="20"/>
          <w:szCs w:val="20"/>
          <w:color w:val="auto"/>
        </w:rPr>
      </w:pPr>
    </w:p>
    <w:p>
      <w:pPr>
        <w:ind w:left="5180"/>
        <w:spacing w:after="0"/>
        <w:tabs>
          <w:tab w:leader="none" w:pos="9760" w:val="left"/>
        </w:tabs>
        <w:rPr>
          <w:sz w:val="20"/>
          <w:szCs w:val="20"/>
          <w:color w:val="auto"/>
        </w:rPr>
      </w:pPr>
      <w:r>
        <w:rPr>
          <w:rFonts w:ascii="Times New Roman" w:cs="Times New Roman" w:eastAsia="Times New Roman" w:hAnsi="Times New Roman"/>
          <w:sz w:val="11"/>
          <w:szCs w:val="11"/>
          <w:color w:val="auto"/>
        </w:rPr>
        <w:t>11</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17780</wp:posOffset>
            </wp:positionV>
            <wp:extent cx="7178040" cy="571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398" w:name="page399"/>
    <w:bookmarkEnd w:id="398"/>
    <w:p>
      <w:pPr>
        <w:ind w:left="440" w:right="20" w:hanging="436"/>
        <w:spacing w:after="0" w:line="279" w:lineRule="auto"/>
        <w:tabs>
          <w:tab w:leader="none" w:pos="440" w:val="left"/>
        </w:tabs>
        <w:numPr>
          <w:ilvl w:val="0"/>
          <w:numId w:val="6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pursuant to the implementation of any treaty, law or regulation referred to in paragraphs (a) or (b) above with the US Internal Revenue Service, the US government or any governmental or taxation authority in any other jurisdiction.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Deduction</w:t>
      </w:r>
      <w:r>
        <w:rPr>
          <w:rFonts w:ascii="Times New Roman" w:cs="Times New Roman" w:eastAsia="Times New Roman" w:hAnsi="Times New Roman"/>
          <w:sz w:val="12"/>
          <w:szCs w:val="12"/>
          <w:color w:val="auto"/>
        </w:rPr>
        <w:t>" means a deduction or withholding from a payment under a Finance Document required by FATCA.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FATCA Exempt Party</w:t>
      </w:r>
      <w:r>
        <w:rPr>
          <w:rFonts w:ascii="Times New Roman" w:cs="Times New Roman" w:eastAsia="Times New Roman" w:hAnsi="Times New Roman"/>
          <w:sz w:val="12"/>
          <w:szCs w:val="12"/>
          <w:color w:val="auto"/>
        </w:rPr>
        <w:t>" means a Party that is entitled to receive payments free from any FATCA Deduction.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Utilisation Request;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Risk Free Rate Supplement;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Compounding Methodology Supplement;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Managers' Undertaking;</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Subordination Agreement;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which is executed for the purpose of establishing any priority or subordination arrangement in relation to the Secured Liabilities;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the Borrowers.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means the Facility Agent, the Security Agent or a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Financial Indebtedness</w:t>
      </w:r>
      <w:r>
        <w:rPr>
          <w:rFonts w:ascii="Times New Roman" w:cs="Times New Roman" w:eastAsia="Times New Roman" w:hAnsi="Times New Roman"/>
          <w:sz w:val="12"/>
          <w:szCs w:val="12"/>
          <w:color w:val="auto"/>
        </w:rPr>
        <w:t>" means any indebtedness for or in relation to:</w:t>
      </w:r>
    </w:p>
    <w:p>
      <w:pPr>
        <w:spacing w:after="0" w:line="154" w:lineRule="exact"/>
        <w:rPr>
          <w:sz w:val="20"/>
          <w:szCs w:val="20"/>
          <w:color w:val="auto"/>
        </w:rPr>
      </w:pPr>
    </w:p>
    <w:p>
      <w:pPr>
        <w:ind w:left="440" w:hanging="436"/>
        <w:spacing w:after="0"/>
        <w:tabs>
          <w:tab w:leader="none" w:pos="4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moneys borrowed;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by acceptance under any acceptance credit facility or dematerialised equivalent;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pursuant to any note purchase facility or the issue of bonds, notes, debentures, loan stock or any similar instrument;</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relation to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receivables sold or discounted (other than any receivables to the extent they are sold on a non-recourse basis);</w:t>
      </w:r>
    </w:p>
    <w:p>
      <w:pPr>
        <w:spacing w:after="0" w:line="150"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399" w:name="page400"/>
    <w:bookmarkEnd w:id="399"/>
    <w:p>
      <w:pPr>
        <w:ind w:left="440" w:hanging="436"/>
        <w:spacing w:after="0"/>
        <w:tabs>
          <w:tab w:leader="none" w:pos="44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raised under any other transaction (including any forward sale or purchase agreement) of a type not referred to in any other paragraph of this definition having the commercial effect of a borrowing;</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counter-indemnity obligation in relation to a guarantee, indemnity, bond, standby or documentary letter of credit or any other instrument issued by a bank or financial institution;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any liability in relation to any guarantee or indemnity for any of the items referred to in paragraphs (a) to (h) above.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Forward Rate</w:t>
      </w:r>
      <w:r>
        <w:rPr>
          <w:rFonts w:ascii="Times New Roman" w:cs="Times New Roman" w:eastAsia="Times New Roman" w:hAnsi="Times New Roman"/>
          <w:sz w:val="12"/>
          <w:szCs w:val="12"/>
          <w:color w:val="auto"/>
        </w:rPr>
        <w:t>" means the rate specified as such in the applicable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Forward Rate Break Costs</w:t>
      </w:r>
      <w:r>
        <w:rPr>
          <w:rFonts w:ascii="Times New Roman" w:cs="Times New Roman" w:eastAsia="Times New Roman" w:hAnsi="Times New Roman"/>
          <w:sz w:val="12"/>
          <w:szCs w:val="12"/>
          <w:color w:val="auto"/>
        </w:rPr>
        <w:t>" has the meaning given to that term in the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Forward Rate Loan</w:t>
      </w:r>
      <w:r>
        <w:rPr>
          <w:rFonts w:ascii="Times New Roman" w:cs="Times New Roman" w:eastAsia="Times New Roman" w:hAnsi="Times New Roman"/>
          <w:sz w:val="12"/>
          <w:szCs w:val="12"/>
          <w:color w:val="auto"/>
        </w:rPr>
        <w:t>" means the Loan or any part of the Loan or, if applicable, Unpaid Sum which is not a Compounded Rate Loan.</w:t>
      </w:r>
    </w:p>
    <w:p>
      <w:pPr>
        <w:spacing w:after="0" w:line="1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Forward Rate Quotation Day</w:t>
      </w:r>
      <w:r>
        <w:rPr>
          <w:rFonts w:ascii="Times New Roman" w:cs="Times New Roman" w:eastAsia="Times New Roman" w:hAnsi="Times New Roman"/>
          <w:sz w:val="12"/>
          <w:szCs w:val="12"/>
          <w:color w:val="auto"/>
        </w:rPr>
        <w:t>" means in relation to any period for which an interest rate is to be determined, two RFR Banking Days before the first day of that period unless market practice differs in the relevant syndicated loan market in which case the Forward Rate Quotation Day will be determined by the Facility Agent in accordance with that market practice (and if quotations would normally be given on more than one day, the Forward Rate Quotation Day will be the last of those days).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Forward Reference Rate</w:t>
      </w:r>
      <w:r>
        <w:rPr>
          <w:rFonts w:ascii="Times New Roman" w:cs="Times New Roman" w:eastAsia="Times New Roman" w:hAnsi="Times New Roman"/>
          <w:sz w:val="12"/>
          <w:szCs w:val="12"/>
          <w:color w:val="auto"/>
        </w:rPr>
        <w:t>" means, in relation to any Forward Rate Loan:</w:t>
      </w:r>
    </w:p>
    <w:p>
      <w:pPr>
        <w:spacing w:after="0" w:line="154" w:lineRule="exact"/>
        <w:rPr>
          <w:sz w:val="20"/>
          <w:szCs w:val="20"/>
          <w:color w:val="auto"/>
        </w:rPr>
      </w:pPr>
    </w:p>
    <w:p>
      <w:pPr>
        <w:ind w:left="440" w:hanging="436"/>
        <w:spacing w:after="0"/>
        <w:tabs>
          <w:tab w:leader="none" w:pos="440" w:val="left"/>
        </w:tabs>
        <w:numPr>
          <w:ilvl w:val="0"/>
          <w:numId w:val="6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Forward Rate as of the applicable Forward Rate Quotation Day and for a period equal in length to the Interest Period of that Forward Rate Loan; or</w:t>
      </w:r>
    </w:p>
    <w:p>
      <w:pPr>
        <w:spacing w:after="0" w:line="148"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otherwise determined pursuant to paragraphs (a) to (c) of Clause 11.1 (</w:t>
      </w:r>
      <w:r>
        <w:rPr>
          <w:rFonts w:ascii="Times New Roman" w:cs="Times New Roman" w:eastAsia="Times New Roman" w:hAnsi="Times New Roman"/>
          <w:sz w:val="12"/>
          <w:szCs w:val="12"/>
          <w:i w:val="1"/>
          <w:iCs w:val="1"/>
          <w:color w:val="auto"/>
        </w:rPr>
        <w:t>Unavailability of Forward Rate before Rate Switch Date</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if, in either case, that rate is less than zero, the Forward Rate shall be deemed to be zero.</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GAAP</w:t>
      </w:r>
      <w:r>
        <w:rPr>
          <w:rFonts w:ascii="Times New Roman" w:cs="Times New Roman" w:eastAsia="Times New Roman" w:hAnsi="Times New Roman"/>
          <w:sz w:val="12"/>
          <w:szCs w:val="12"/>
          <w:color w:val="auto"/>
        </w:rPr>
        <w:t>" means generally accepted accounting principles in the United States of America including IFRS.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General Assignment</w:t>
      </w:r>
      <w:r>
        <w:rPr>
          <w:rFonts w:ascii="Times New Roman" w:cs="Times New Roman" w:eastAsia="Times New Roman" w:hAnsi="Times New Roman"/>
          <w:sz w:val="12"/>
          <w:szCs w:val="12"/>
          <w:color w:val="auto"/>
        </w:rPr>
        <w:t>" means, in relation to a Ship, the general assignment creating first ranking Security over that Ship's Earnings, its Insurances and any Requisition Compensation in relation to that Ship, in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Group</w:t>
      </w:r>
      <w:r>
        <w:rPr>
          <w:rFonts w:ascii="Times New Roman" w:cs="Times New Roman" w:eastAsia="Times New Roman" w:hAnsi="Times New Roman"/>
          <w:sz w:val="12"/>
          <w:szCs w:val="12"/>
          <w:color w:val="auto"/>
        </w:rPr>
        <w:t>" means the Guarantor and its Subsidiaries from time to time throughout the Security Period.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GSL Policy</w:t>
      </w:r>
      <w:r>
        <w:rPr>
          <w:rFonts w:ascii="Times New Roman" w:cs="Times New Roman" w:eastAsia="Times New Roman" w:hAnsi="Times New Roman"/>
          <w:sz w:val="12"/>
          <w:szCs w:val="12"/>
          <w:color w:val="auto"/>
        </w:rPr>
        <w:t>" means the Guarantor's Whistleblower Policy as it is included in the Guarantor's public Code of Business Conduct and Ethics.</w:t>
      </w:r>
    </w:p>
    <w:p>
      <w:pPr>
        <w:spacing w:after="0" w:line="154"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400" w:name="page401"/>
    <w:bookmarkEnd w:id="400"/>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Historic Forward Rate</w:t>
      </w:r>
      <w:r>
        <w:rPr>
          <w:rFonts w:ascii="Times New Roman" w:cs="Times New Roman" w:eastAsia="Times New Roman" w:hAnsi="Times New Roman"/>
          <w:sz w:val="12"/>
          <w:szCs w:val="12"/>
          <w:color w:val="auto"/>
        </w:rPr>
        <w:t>" means, in relation to any Forward Rate Loan, the most recent applicable Forward Rate for a period equal in length to the Interest Period of that Forward Rate Loan and which is as of a day which is no more than three RFR Banking Days before the Forward Rate Quotation Day.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Holding Company</w:t>
      </w:r>
      <w:r>
        <w:rPr>
          <w:rFonts w:ascii="Times New Roman" w:cs="Times New Roman" w:eastAsia="Times New Roman" w:hAnsi="Times New Roman"/>
          <w:sz w:val="12"/>
          <w:szCs w:val="12"/>
          <w:color w:val="auto"/>
        </w:rPr>
        <w:t>" means, in relation to a person, any other person in relation to which it is a Subsidiary.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Hong Kong Convention</w:t>
      </w:r>
      <w:r>
        <w:rPr>
          <w:rFonts w:ascii="Times New Roman" w:cs="Times New Roman" w:eastAsia="Times New Roman" w:hAnsi="Times New Roman"/>
          <w:sz w:val="12"/>
          <w:szCs w:val="12"/>
          <w:color w:val="auto"/>
        </w:rPr>
        <w:t>" means the Hong Kong International Convention for the Safe and Environmentally Sound Recycling of Ships (2009), as the same may be amended or replaced from time to time.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IFRS</w:t>
      </w:r>
      <w:r>
        <w:rPr>
          <w:rFonts w:ascii="Times New Roman" w:cs="Times New Roman" w:eastAsia="Times New Roman" w:hAnsi="Times New Roman"/>
          <w:sz w:val="12"/>
          <w:szCs w:val="12"/>
          <w:color w:val="auto"/>
        </w:rPr>
        <w:t>" means international accounting standards within the meaning of the IAS Regulation 1606/2002 to the extent applicable to the relevant financial statements.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has the meaning given to it in Clause 15.2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Charter</w:t>
      </w:r>
      <w:r>
        <w:rPr>
          <w:rFonts w:ascii="Times New Roman" w:cs="Times New Roman" w:eastAsia="Times New Roman" w:hAnsi="Times New Roman"/>
          <w:sz w:val="12"/>
          <w:szCs w:val="12"/>
          <w:color w:val="auto"/>
        </w:rPr>
        <w:t>" means, in relation to:</w:t>
      </w:r>
    </w:p>
    <w:p>
      <w:pPr>
        <w:spacing w:after="0" w:line="154" w:lineRule="exact"/>
        <w:rPr>
          <w:sz w:val="20"/>
          <w:szCs w:val="20"/>
          <w:color w:val="auto"/>
        </w:rPr>
      </w:pPr>
    </w:p>
    <w:p>
      <w:pPr>
        <w:ind w:left="440" w:hanging="436"/>
        <w:spacing w:after="0" w:line="279" w:lineRule="auto"/>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A, a time charter dated 24 March 2019 (as amended by addenda no. 1-no. 6 dated 23 September 2019, 11 May 2020, 26 February 2021, 10 January 2022, 19 January 2024 and 23 August 2024, respectively) and made between Borrower A and the relevant Initial Charterer, for a period of 11 to 13 months, having an actual commencement date on 20 July 2024, at a gross charter hire rate of $21,000 per day;</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B, a time charter evidenced by a recap dated 4 March 2025 and made between Borrower B and the relevant Initial Charterer, for a period of 35 to 36 months, at a gross charter hire rate of $36,750 per day;</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C, a time charter dated 15 April 2024 (as amended by a recap entered or to be entered into) and made between Borrower C and the relevant Initial Charterer, for a period of 24 months (with an extension period of up to 30 days more or less in that Initial Charterer's Option), having an actual commencement date on 30 July 2025 at a gross charter hire rate of $25,000 per day;</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D, a time charter dated 18 July 2022 (as amended by addendum no.1 thereto, dated 22 July 2022) and made between Borrower D and the relevant Initial Charterer, for a period of five years (with an extension of up to 45 days more or less in that Initial Charterer's option) at a gross charter hire rate of $39,250 per day;</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E, a time charter dated 31 August 2021 and made between Borrower E and the relevant Initial Charterer, for a period of 48 to 52 months at a gross charter hire rate of $42,750 per day for the first 18 months, $38,000 per day for the following 18 months and $35,000 per day for the remaining period;</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6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F, a time charter dated 22 April 2021 (as amended by addendum no.1 to no.2 thereto, dated 20 April 2023 and 22 July 2024, respectively) and made between Borrower F and the relevant Initial Charterer, for a period of 24 months (with an extension period of up to 30 days more or less in that Initial Charterer's Option) at a gross charter hire rate of $20,500 per day;</w:t>
      </w:r>
    </w:p>
    <w:p>
      <w:pPr>
        <w:spacing w:after="0" w:line="111"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01" w:name="page402"/>
    <w:bookmarkEnd w:id="401"/>
    <w:p>
      <w:pPr>
        <w:ind w:left="436" w:hanging="436"/>
        <w:spacing w:after="0"/>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G, a time charter dated 28 June 2024 and made between Borrower G and the relevant Initial Charterer, for a period until 15 October 2026 to 30 November 2026, at a gross charter hire rate of $29,900 per day;</w:t>
      </w:r>
    </w:p>
    <w:p>
      <w:pPr>
        <w:spacing w:after="0" w:line="150"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H, a time charter dated 24 September 2021 and made between Borrower H and the relevant Initial Charterer, for a period of 47 to 50 months at a gross charter hire rate of $37,975 per day;</w:t>
      </w:r>
    </w:p>
    <w:p>
      <w:pPr>
        <w:spacing w:after="0" w:line="150" w:lineRule="exact"/>
        <w:rPr>
          <w:rFonts w:ascii="Times New Roman" w:cs="Times New Roman" w:eastAsia="Times New Roman" w:hAnsi="Times New Roman"/>
          <w:sz w:val="12"/>
          <w:szCs w:val="12"/>
          <w:color w:val="auto"/>
        </w:rPr>
      </w:pPr>
    </w:p>
    <w:p>
      <w:pPr>
        <w:ind w:left="436" w:hanging="436"/>
        <w:spacing w:after="0" w:line="279"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I, a time charter dated 9 September 2021 (as amended by a recap email dated 5 July 2024) and made between Borrower I and the relevant Initial Charterer, for a period of 23.5 to 26 months, having an actual commencement date on 6 February 2025 at a gross charter hire rate of $24,500 per day;</w:t>
      </w:r>
    </w:p>
    <w:p>
      <w:pPr>
        <w:spacing w:after="0" w:line="111" w:lineRule="exact"/>
        <w:rPr>
          <w:rFonts w:ascii="Times New Roman" w:cs="Times New Roman" w:eastAsia="Times New Roman" w:hAnsi="Times New Roman"/>
          <w:sz w:val="12"/>
          <w:szCs w:val="12"/>
          <w:color w:val="auto"/>
        </w:rPr>
      </w:pPr>
    </w:p>
    <w:p>
      <w:pPr>
        <w:ind w:left="436" w:hanging="436"/>
        <w:spacing w:after="0" w:line="279"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J, a time charter dated 29 September 2021 (as amended by addendum no.1 thereto, dated 16 September 2022) and made between Borrower J and the relevant Initial Charterer, for a period of 36 to 40 months, at a gross charter hire rate of $36,500 per day;</w:t>
      </w:r>
    </w:p>
    <w:p>
      <w:pPr>
        <w:spacing w:after="0" w:line="111" w:lineRule="exact"/>
        <w:rPr>
          <w:rFonts w:ascii="Times New Roman" w:cs="Times New Roman" w:eastAsia="Times New Roman" w:hAnsi="Times New Roman"/>
          <w:sz w:val="12"/>
          <w:szCs w:val="12"/>
          <w:color w:val="auto"/>
        </w:rPr>
      </w:pPr>
    </w:p>
    <w:p>
      <w:pPr>
        <w:jc w:val="both"/>
        <w:ind w:left="436" w:hanging="436"/>
        <w:spacing w:after="0" w:line="265"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K, a time charter dated 14 January 2023 (as amended by addenda no.1 to no.2 thereto, dated 21 December 2023 and 15 April 2024, respectively and as further amended by a recap entered or to be entered into) and made between Borrower K and the relevant Initial Charterer, for a period of 24 months (with an extension period of up to 30 days more or less in that Initial Charterer's option), having an actual commencement date on 14 July 2025 at a gross charter hire rate of $25,000 per day;</w:t>
      </w:r>
    </w:p>
    <w:p>
      <w:pPr>
        <w:spacing w:after="0" w:line="118"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L, a time charter dated 28 June 2024 and made between Borrower L and the relevant Initial Charterer, for a period of 22 to 26 months at a gross charter hire rate of $20,360 per day;</w:t>
      </w:r>
    </w:p>
    <w:p>
      <w:pPr>
        <w:spacing w:after="0" w:line="150" w:lineRule="exact"/>
        <w:rPr>
          <w:rFonts w:ascii="Times New Roman" w:cs="Times New Roman" w:eastAsia="Times New Roman" w:hAnsi="Times New Roman"/>
          <w:sz w:val="12"/>
          <w:szCs w:val="12"/>
          <w:color w:val="auto"/>
        </w:rPr>
      </w:pPr>
    </w:p>
    <w:p>
      <w:pPr>
        <w:ind w:left="436" w:right="20" w:hanging="436"/>
        <w:spacing w:after="0" w:line="279"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M, a time charter dated 25 June 2020 (as amended by a recap email dated 5 July 2024) and made between Borrower M and the relevant Initial Charterer, for a period of 23.5 to 26 months, having an actual commencement date on 7 February 2025 at a gross charter hire rate of $24,500 per day;</w:t>
      </w:r>
    </w:p>
    <w:p>
      <w:pPr>
        <w:spacing w:after="0" w:line="111" w:lineRule="exact"/>
        <w:rPr>
          <w:rFonts w:ascii="Times New Roman" w:cs="Times New Roman" w:eastAsia="Times New Roman" w:hAnsi="Times New Roman"/>
          <w:sz w:val="12"/>
          <w:szCs w:val="12"/>
          <w:color w:val="auto"/>
        </w:rPr>
      </w:pPr>
    </w:p>
    <w:p>
      <w:pPr>
        <w:ind w:left="436" w:hanging="436"/>
        <w:spacing w:after="0"/>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N, a time charter dated 6 March 2024 and made between Borrower N and the relevant Initial Charterer, for a period of 21 to 24 months, at a gross charter hire rate of $16,500 per day;</w:t>
      </w:r>
    </w:p>
    <w:p>
      <w:pPr>
        <w:spacing w:after="0" w:line="150" w:lineRule="exact"/>
        <w:rPr>
          <w:rFonts w:ascii="Times New Roman" w:cs="Times New Roman" w:eastAsia="Times New Roman" w:hAnsi="Times New Roman"/>
          <w:sz w:val="12"/>
          <w:szCs w:val="12"/>
          <w:color w:val="auto"/>
        </w:rPr>
      </w:pPr>
    </w:p>
    <w:p>
      <w:pPr>
        <w:ind w:left="436" w:hanging="436"/>
        <w:spacing w:after="0" w:line="279"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O, a time charter dated 2 May 2023 (as amended by addendum no. 1 thereto, dated 9 April 2024) and made between Borrower O and the relevant Initial Charterer, for a period of 24 to 28 months (with an extension option of 12 months and up to 30 days more or less in that Initial Charterer's option) at a gross charter hire rate of $35,000 per day for the fixed period and $21,500 per day for the optional period;</w:t>
      </w:r>
    </w:p>
    <w:p>
      <w:pPr>
        <w:spacing w:after="0" w:line="111" w:lineRule="exact"/>
        <w:rPr>
          <w:rFonts w:ascii="Times New Roman" w:cs="Times New Roman" w:eastAsia="Times New Roman" w:hAnsi="Times New Roman"/>
          <w:sz w:val="12"/>
          <w:szCs w:val="12"/>
          <w:color w:val="auto"/>
        </w:rPr>
      </w:pPr>
    </w:p>
    <w:p>
      <w:pPr>
        <w:ind w:left="436" w:right="20" w:hanging="436"/>
        <w:spacing w:after="0" w:line="279"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P, a time charter dated May 2023 (as amended by addendum no. 1 thereto, dated 9 April 2024) and made between Borrower P and the relevant Initial Charterer, for a period of 24 to 28 months (with an extension option of 12 months and up to 30 days more or less in that Initial Charterer's option) at a gross charter hire rate of $35,000 per day for the fixed period and $21,500 per day for the optional period;</w:t>
      </w:r>
    </w:p>
    <w:p>
      <w:pPr>
        <w:spacing w:after="0" w:line="111" w:lineRule="exact"/>
        <w:rPr>
          <w:rFonts w:ascii="Times New Roman" w:cs="Times New Roman" w:eastAsia="Times New Roman" w:hAnsi="Times New Roman"/>
          <w:sz w:val="12"/>
          <w:szCs w:val="12"/>
          <w:color w:val="auto"/>
        </w:rPr>
      </w:pPr>
    </w:p>
    <w:p>
      <w:pPr>
        <w:ind w:left="436" w:right="20" w:hanging="436"/>
        <w:spacing w:after="0" w:line="279" w:lineRule="auto"/>
        <w:tabs>
          <w:tab w:leader="none" w:pos="436" w:val="left"/>
        </w:tabs>
        <w:numPr>
          <w:ilvl w:val="0"/>
          <w:numId w:val="6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Q, a time charter dated May 2023 (as amended by addendum no. 1 thereto, dated 9 April 2024) and made between Borrower Q and the relevant Initial Charterer, for a period of 24 to 28 months (with an extension option of 12 months and up to 30 days more or less in that Initial Charterer's option) at a gross charter hire rate of $35,000 per day for the fixed period and $21,500 per day for the optional period; and</w:t>
      </w:r>
    </w:p>
    <w:p>
      <w:pPr>
        <w:spacing w:after="0" w:line="111" w:lineRule="exact"/>
        <w:rPr>
          <w:sz w:val="20"/>
          <w:szCs w:val="20"/>
          <w:color w:val="auto"/>
        </w:rPr>
      </w:pPr>
    </w:p>
    <w:p>
      <w:pPr>
        <w:jc w:val="both"/>
        <w:ind w:left="5156"/>
        <w:spacing w:after="0"/>
        <w:tabs>
          <w:tab w:leader="none" w:pos="9756"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10795</wp:posOffset>
            </wp:positionV>
            <wp:extent cx="7178040" cy="571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76"/>
          </w:cols>
          <w:pgMar w:left="724" w:top="435" w:right="299" w:bottom="1440" w:gutter="0" w:footer="0" w:header="0"/>
        </w:sectPr>
      </w:pPr>
    </w:p>
    <w:bookmarkStart w:id="402" w:name="page403"/>
    <w:bookmarkEnd w:id="402"/>
    <w:p>
      <w:pPr>
        <w:ind w:left="440" w:right="20" w:hanging="436"/>
        <w:spacing w:after="0" w:line="279" w:lineRule="auto"/>
        <w:tabs>
          <w:tab w:leader="none" w:pos="440" w:val="left"/>
        </w:tabs>
        <w:numPr>
          <w:ilvl w:val="0"/>
          <w:numId w:val="6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R, a time charter dated 2 May 2023 (as amended by addendum no. 1 thereto, dated 9 April 2024) and made between Borrower R and the relevant Initial Charterer, for a period of 24 to 28 months (with an extension option of 12 months and up to 30 days more or less in that Initial Charterer's option) at a gross charter hire rate of $35,000 per day for the fixed period and $21,500 per day for the optional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Charterer</w:t>
      </w:r>
      <w:r>
        <w:rPr>
          <w:rFonts w:ascii="Times New Roman" w:cs="Times New Roman" w:eastAsia="Times New Roman" w:hAnsi="Times New Roman"/>
          <w:sz w:val="12"/>
          <w:szCs w:val="12"/>
          <w:color w:val="auto"/>
        </w:rPr>
        <w:t>" means, in relation to:</w:t>
      </w:r>
    </w:p>
    <w:p>
      <w:pPr>
        <w:spacing w:after="0" w:line="154" w:lineRule="exact"/>
        <w:rPr>
          <w:sz w:val="20"/>
          <w:szCs w:val="20"/>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A, Ship G, Ship H, Ship L, Ship O, Ship P, Ship Q and Ship R, Maersk A/S of Esplanaden 50, DK-1263, Copenhagen;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B and N, Orient Overseas Container Ltd. of 31/F Harbour Centre, 25 Harbour Road, Wanchai, Hong Kong;</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C and Ship K, Mediterranean Shipping Co. S.A. of 12-14 Chemin Rieu, 1208 Geneva, Switzerland;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D and Ship F, CMA CGM S.A. of Boulevard Jacques Saadé, 4, quai d'Arenc, 13235 Marseille Cedex 02, France;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E, ZIM Integrated Shipping Services Ltd. of 9 Andrei Sakharov Street, 3101601, Haifa, Israel;</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I and Ship M, Ocean Network Express Pte. Ltd. of 7 Straits View, #16-01 Marina One East Tower, Singapore 018936; and</w:t>
      </w:r>
    </w:p>
    <w:p>
      <w:pPr>
        <w:spacing w:after="0" w:line="14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Ship J, Matson Navigation Company, Inc. of 555 12</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2"/>
          <w:szCs w:val="12"/>
          <w:color w:val="auto"/>
        </w:rPr>
        <w:t xml:space="preserve"> Street, Oakland California USA.</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Initial Market Value</w:t>
      </w:r>
      <w:r>
        <w:rPr>
          <w:rFonts w:ascii="Times New Roman" w:cs="Times New Roman" w:eastAsia="Times New Roman" w:hAnsi="Times New Roman"/>
          <w:sz w:val="12"/>
          <w:szCs w:val="12"/>
          <w:color w:val="auto"/>
        </w:rPr>
        <w:t>" means, in relation to a Ship, the Market Value thereof determined pursuant to the valuations relative thereto referred to in paragraph 6.2 of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Instalment</w:t>
      </w:r>
      <w:r>
        <w:rPr>
          <w:rFonts w:ascii="Times New Roman" w:cs="Times New Roman" w:eastAsia="Times New Roman" w:hAnsi="Times New Roman"/>
          <w:sz w:val="12"/>
          <w:szCs w:val="12"/>
          <w:color w:val="auto"/>
        </w:rPr>
        <w:t>" has the meaning given to it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Insurances</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ind w:left="440" w:hanging="436"/>
        <w:spacing w:after="0" w:line="279" w:lineRule="auto"/>
        <w:tabs>
          <w:tab w:leader="none" w:pos="440" w:val="left"/>
        </w:tabs>
        <w:numPr>
          <w:ilvl w:val="0"/>
          <w:numId w:val="6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policies and contracts of insurance and reinsurance, including entries of that Ship in any protection and indemnity or war risks association, effected in relation to that Ship, that Ship's Earnings or otherwise in relation to that Ship whether before, on or after the date of this Agreement; and</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5" w:lineRule="auto"/>
        <w:tabs>
          <w:tab w:leader="none" w:pos="440" w:val="left"/>
        </w:tabs>
        <w:numPr>
          <w:ilvl w:val="0"/>
          <w:numId w:val="6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rights (including, without limitation, any and all rights or claims which the Borrower owning that Ship may have under or in connection with any cut-through clause relative to any reinsurance contract relating to the aforesaid policies or contracts of insurance) and other assets relating to, or derived from, any of such policies, contracts or entries, including any rights to a return of premium and any rights in relation to any claim whether or not the relevant policy, contract of insurance or entry has expired on or before the date of this Agreement.</w:t>
      </w:r>
    </w:p>
    <w:p>
      <w:pPr>
        <w:spacing w:after="0" w:line="119"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03" w:name="page404"/>
    <w:bookmarkEnd w:id="403"/>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Interest Payment</w:t>
      </w:r>
      <w:r>
        <w:rPr>
          <w:rFonts w:ascii="Times New Roman" w:cs="Times New Roman" w:eastAsia="Times New Roman" w:hAnsi="Times New Roman"/>
          <w:sz w:val="12"/>
          <w:szCs w:val="12"/>
          <w:color w:val="auto"/>
        </w:rPr>
        <w:t>" means the aggregate amount of interest that is, or is scheduled to become, payable under any Finance Document.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Interest Period</w:t>
      </w:r>
      <w:r>
        <w:rPr>
          <w:rFonts w:ascii="Times New Roman" w:cs="Times New Roman" w:eastAsia="Times New Roman" w:hAnsi="Times New Roman"/>
          <w:sz w:val="12"/>
          <w:szCs w:val="12"/>
          <w:color w:val="auto"/>
        </w:rPr>
        <w:t>" means, in relation to the Loan or any part of the Loan, each period determined in accordance with Clause 10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and, in relation to an Unpaid Sum, each period determined in accordance with Clause 9.4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Interpolated Historic Forward Rate</w:t>
      </w:r>
      <w:r>
        <w:rPr>
          <w:rFonts w:ascii="Times New Roman" w:cs="Times New Roman" w:eastAsia="Times New Roman" w:hAnsi="Times New Roman"/>
          <w:sz w:val="12"/>
          <w:szCs w:val="12"/>
          <w:color w:val="auto"/>
        </w:rPr>
        <w:t>" means, in relation to any Forward Rate Loan, the rate (rounded to the same number of decimal places as the applicable Forward Rate) which results from interpolating on a linear basis between:</w:t>
      </w:r>
    </w:p>
    <w:p>
      <w:pPr>
        <w:spacing w:after="0" w:line="107" w:lineRule="exact"/>
        <w:rPr>
          <w:sz w:val="20"/>
          <w:szCs w:val="20"/>
          <w:color w:val="auto"/>
        </w:rPr>
      </w:pPr>
    </w:p>
    <w:p>
      <w:pPr>
        <w:ind w:left="440" w:hanging="436"/>
        <w:spacing w:after="0"/>
        <w:tabs>
          <w:tab w:leader="none" w:pos="440" w:val="left"/>
        </w:tabs>
        <w:numPr>
          <w:ilvl w:val="0"/>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recent applicable Forward Rate (as of a day which is not more than three RFR Banking Days before the Forward Rate Quotation Day) for the longest period (for which the Forward Rate is available) which is less than the Interest Period of that Forward Rate Loan; or</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such Forward Rate is available for a period which is less than the Interest Period of that Forward Rate Loan, the most recent applicable RFR for a day which is no more than five RFR Banking Days (and no less than two RFR Banking Days) before the Forward Rate Quotation Day;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most recent applicable Forward Rate (as of a day which is not more than three RFR Banking Days before the Forward Rate Quotation Day) for the shortest period (for which the Forward Rate is available) which exceeds the Interest Period of that Forward Rate Loan.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Interpolated Forward Rate</w:t>
      </w:r>
      <w:r>
        <w:rPr>
          <w:rFonts w:ascii="Times New Roman" w:cs="Times New Roman" w:eastAsia="Times New Roman" w:hAnsi="Times New Roman"/>
          <w:sz w:val="12"/>
          <w:szCs w:val="12"/>
          <w:color w:val="auto"/>
        </w:rPr>
        <w:t>" means, in relation to any Forward Rate Loan, the rate (rounded to the same number of decimal places as the applicable Forward Rate) which results from interpolating on a linear basis between:</w:t>
      </w:r>
    </w:p>
    <w:p>
      <w:pPr>
        <w:spacing w:after="0" w:line="154" w:lineRule="exact"/>
        <w:rPr>
          <w:sz w:val="20"/>
          <w:szCs w:val="20"/>
          <w:color w:val="auto"/>
        </w:rPr>
      </w:pPr>
    </w:p>
    <w:p>
      <w:pPr>
        <w:ind w:left="440" w:hanging="436"/>
        <w:spacing w:after="0"/>
        <w:tabs>
          <w:tab w:leader="none" w:pos="440" w:val="left"/>
        </w:tabs>
        <w:numPr>
          <w:ilvl w:val="0"/>
          <w:numId w:val="6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either: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Forward Rate (as of the Forward Rate Quotation Day) for the longest period (for which the Forward Rate is available) which is less than the Interest Period of that Forward Rate Loan; or</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6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 such Forward Rate is available for a period which is less than the Interest Period of that Forward Rate Loan, the RFR for a day which is two RFR Banking Days before the Forward Rate Quotation Day;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applicable Forward Rate (as of the Forward Rate Quotation Day) for the shortest period (for which the Forward Rate is available) which exceeds the Interest Period of that Forward Rate Loan.</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Inventory of Hazardous Materials</w:t>
      </w:r>
      <w:r>
        <w:rPr>
          <w:rFonts w:ascii="Times New Roman" w:cs="Times New Roman" w:eastAsia="Times New Roman" w:hAnsi="Times New Roman"/>
          <w:sz w:val="12"/>
          <w:szCs w:val="12"/>
          <w:color w:val="auto"/>
        </w:rPr>
        <w:t>" means, in relation to a Ship, an inventory certificate or statement of compliance (as applicable) issued by the competent authority or agency, which is supplemented by a list of any and all materials known to be potentially hazardous utilised in the construction of, or otherwise installed on, such Ship, pursuant to the requirements of the EU Ship Recycling Regulation, and/or the Hong Kong Convention, and/or any other applicable law (and which may also be referred to as a "</w:t>
      </w:r>
      <w:r>
        <w:rPr>
          <w:rFonts w:ascii="Times New Roman" w:cs="Times New Roman" w:eastAsia="Times New Roman" w:hAnsi="Times New Roman"/>
          <w:sz w:val="12"/>
          <w:szCs w:val="12"/>
          <w:i w:val="1"/>
          <w:iCs w:val="1"/>
          <w:color w:val="auto"/>
        </w:rPr>
        <w:t>List of Hazardous Materials</w:t>
      </w:r>
      <w:r>
        <w:rPr>
          <w:rFonts w:ascii="Times New Roman" w:cs="Times New Roman" w:eastAsia="Times New Roman" w:hAnsi="Times New Roman"/>
          <w:sz w:val="12"/>
          <w:szCs w:val="12"/>
          <w:color w:val="auto"/>
        </w:rPr>
        <w:t>").</w:t>
      </w:r>
    </w:p>
    <w:p>
      <w:pPr>
        <w:spacing w:after="0" w:line="118"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04" w:name="page405"/>
    <w:bookmarkEnd w:id="404"/>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ISM Code</w:t>
      </w:r>
      <w:r>
        <w:rPr>
          <w:rFonts w:ascii="Times New Roman" w:cs="Times New Roman" w:eastAsia="Times New Roman" w:hAnsi="Times New Roman"/>
          <w:sz w:val="12"/>
          <w:szCs w:val="12"/>
          <w:color w:val="auto"/>
        </w:rPr>
        <w:t>" means the International Safety Management Code for the Safe Operation of Ships and for Pollution Prevention (including the guidelines on its implementation), adopted by the International Maritime Organisation, as the same may be amended or supplemented from time to time (and the terms "</w:t>
      </w:r>
      <w:r>
        <w:rPr>
          <w:rFonts w:ascii="Times New Roman" w:cs="Times New Roman" w:eastAsia="Times New Roman" w:hAnsi="Times New Roman"/>
          <w:sz w:val="12"/>
          <w:szCs w:val="12"/>
          <w:b w:val="1"/>
          <w:bCs w:val="1"/>
          <w:color w:val="auto"/>
        </w:rPr>
        <w:t>safety management system</w:t>
      </w:r>
      <w:r>
        <w:rPr>
          <w:rFonts w:ascii="Times New Roman" w:cs="Times New Roman" w:eastAsia="Times New Roman" w:hAnsi="Times New Roman"/>
          <w:sz w:val="12"/>
          <w:szCs w:val="12"/>
          <w:color w:val="auto"/>
        </w:rPr>
        <w:t>", "</w:t>
      </w:r>
      <w:r>
        <w:rPr>
          <w:rFonts w:ascii="Times New Roman" w:cs="Times New Roman" w:eastAsia="Times New Roman" w:hAnsi="Times New Roman"/>
          <w:sz w:val="12"/>
          <w:szCs w:val="12"/>
          <w:b w:val="1"/>
          <w:bCs w:val="1"/>
          <w:color w:val="auto"/>
        </w:rPr>
        <w:t>Safety Management Certificate</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Document of Compliance</w:t>
      </w:r>
      <w:r>
        <w:rPr>
          <w:rFonts w:ascii="Times New Roman" w:cs="Times New Roman" w:eastAsia="Times New Roman" w:hAnsi="Times New Roman"/>
          <w:sz w:val="12"/>
          <w:szCs w:val="12"/>
          <w:color w:val="auto"/>
        </w:rPr>
        <w:t>" have the same meanings as are given to them in the ISM Code).</w:t>
      </w:r>
    </w:p>
    <w:p>
      <w:pPr>
        <w:spacing w:after="0" w:line="11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ISPS Code</w:t>
      </w:r>
      <w:r>
        <w:rPr>
          <w:rFonts w:ascii="Times New Roman" w:cs="Times New Roman" w:eastAsia="Times New Roman" w:hAnsi="Times New Roman"/>
          <w:sz w:val="12"/>
          <w:szCs w:val="12"/>
          <w:color w:val="auto"/>
        </w:rPr>
        <w:t>" means the International Ship and Port Facility Security (ISPS) Code as adopted by the International Maritime Organization's (IMO) Diplomatic Conference of December 2002, as the same may be amended or supplemented from time to time.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ISSC</w:t>
      </w:r>
      <w:r>
        <w:rPr>
          <w:rFonts w:ascii="Times New Roman" w:cs="Times New Roman" w:eastAsia="Times New Roman" w:hAnsi="Times New Roman"/>
          <w:sz w:val="12"/>
          <w:szCs w:val="12"/>
          <w:color w:val="auto"/>
        </w:rPr>
        <w:t>" means an International Ship Security Certificate issued under the ISPS Code.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Legal Reservations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principle that equitable remedies may be granted or refused at the discretion of a court and the limitation of enforcement by laws relating to insolvency, reorganisation and other laws generally affecting the rights of creditors;</w:t>
      </w:r>
    </w:p>
    <w:p>
      <w:pPr>
        <w:spacing w:after="0" w:line="111"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time barring of claims under the Limitation Acts, the possibility that an undertaking to assume liability for or indemnify a person against non payment of UK stamp duty may be void and defences of set off or counterclaim;</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similar principles, rights and defences under the laws of any Relevant Jurisdiction;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matters which are set out as qualifications or reservations as to matters of law of general application in any legal opinion delivered pursuant to Clause 4 (Conditions of Utilisation).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Original Lender; and</w:t>
      </w:r>
    </w:p>
    <w:p>
      <w:pPr>
        <w:spacing w:after="0" w:line="148" w:lineRule="exact"/>
        <w:rPr>
          <w:rFonts w:ascii="Times New Roman" w:cs="Times New Roman" w:eastAsia="Times New Roman" w:hAnsi="Times New Roman"/>
          <w:sz w:val="12"/>
          <w:szCs w:val="12"/>
          <w:color w:val="auto"/>
        </w:rPr>
      </w:pPr>
    </w:p>
    <w:p>
      <w:pPr>
        <w:ind w:right="3160" w:firstLine="4"/>
        <w:spacing w:after="0" w:line="499" w:lineRule="auto"/>
        <w:tabs>
          <w:tab w:leader="none" w:pos="439" w:val="left"/>
        </w:tabs>
        <w:numPr>
          <w:ilvl w:val="0"/>
          <w:numId w:val="6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bank, financial institution, trust, fund or other entity which has become a Party as a Lender in accordance with Clause 30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which in each case has not ceased to be a Party as such in accordance with this Agreement.</w:t>
      </w:r>
    </w:p>
    <w:p>
      <w:pPr>
        <w:ind w:right="4120"/>
        <w:spacing w:after="0" w:line="50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LLC Shares</w:t>
      </w:r>
      <w:r>
        <w:rPr>
          <w:rFonts w:ascii="Times New Roman" w:cs="Times New Roman" w:eastAsia="Times New Roman" w:hAnsi="Times New Roman"/>
          <w:sz w:val="12"/>
          <w:szCs w:val="12"/>
          <w:color w:val="auto"/>
        </w:rPr>
        <w:t>" shall have, in respect of each Borrower, the meaning ascribed thereto in that Borrower's limited liability company agreement. "</w:t>
      </w:r>
      <w:r>
        <w:rPr>
          <w:rFonts w:ascii="Times New Roman" w:cs="Times New Roman" w:eastAsia="Times New Roman" w:hAnsi="Times New Roman"/>
          <w:sz w:val="12"/>
          <w:szCs w:val="12"/>
          <w:b w:val="1"/>
          <w:bCs w:val="1"/>
          <w:color w:val="auto"/>
        </w:rPr>
        <w:t>LMA</w:t>
      </w:r>
      <w:r>
        <w:rPr>
          <w:rFonts w:ascii="Times New Roman" w:cs="Times New Roman" w:eastAsia="Times New Roman" w:hAnsi="Times New Roman"/>
          <w:sz w:val="12"/>
          <w:szCs w:val="12"/>
          <w:color w:val="auto"/>
        </w:rPr>
        <w:t>" means the Loan Market Association or any successor organisation.</w:t>
      </w:r>
    </w:p>
    <w:p>
      <w:pPr>
        <w:spacing w:after="0" w:line="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Loan</w:t>
      </w:r>
      <w:r>
        <w:rPr>
          <w:rFonts w:ascii="Times New Roman" w:cs="Times New Roman" w:eastAsia="Times New Roman" w:hAnsi="Times New Roman"/>
          <w:sz w:val="12"/>
          <w:szCs w:val="12"/>
          <w:color w:val="auto"/>
        </w:rPr>
        <w:t>" means the loan to be made available under the Facility or the aggregate principal amount outstanding of the borrowings at any relevant time under the Facility and a "</w:t>
      </w:r>
      <w:r>
        <w:rPr>
          <w:rFonts w:ascii="Times New Roman" w:cs="Times New Roman" w:eastAsia="Times New Roman" w:hAnsi="Times New Roman"/>
          <w:sz w:val="12"/>
          <w:szCs w:val="12"/>
          <w:b w:val="1"/>
          <w:bCs w:val="1"/>
          <w:color w:val="auto"/>
        </w:rPr>
        <w:t>part of the Loan</w:t>
      </w:r>
      <w:r>
        <w:rPr>
          <w:rFonts w:ascii="Times New Roman" w:cs="Times New Roman" w:eastAsia="Times New Roman" w:hAnsi="Times New Roman"/>
          <w:sz w:val="12"/>
          <w:szCs w:val="12"/>
          <w:color w:val="auto"/>
        </w:rPr>
        <w:t>" means any other part of the Loan as the context may require.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Lookback Period</w:t>
      </w:r>
      <w:r>
        <w:rPr>
          <w:rFonts w:ascii="Times New Roman" w:cs="Times New Roman" w:eastAsia="Times New Roman" w:hAnsi="Times New Roman"/>
          <w:sz w:val="12"/>
          <w:szCs w:val="12"/>
          <w:color w:val="auto"/>
        </w:rPr>
        <w:t>" means the number of days specified as such in the applicable Risk Free Rate Terms.</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 Casualty</w:t>
      </w:r>
      <w:r>
        <w:rPr>
          <w:rFonts w:ascii="Times New Roman" w:cs="Times New Roman" w:eastAsia="Times New Roman" w:hAnsi="Times New Roman"/>
          <w:sz w:val="12"/>
          <w:szCs w:val="12"/>
          <w:color w:val="auto"/>
        </w:rPr>
        <w:t>" means, in relation to a Ship, any casualty to that Ship in relation to which the claim or the aggregate of the claims against all insurers, before adjustment for any relevant franchise or deductible, exceeds $1,500,000 or the equivalent in any other currency.</w:t>
      </w:r>
    </w:p>
    <w:p>
      <w:pPr>
        <w:spacing w:after="0" w:line="107"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05" w:name="page406"/>
    <w:bookmarkEnd w:id="40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Majority Lenders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before the Loan has been made, a Lender or Lenders whose Commitments aggregate more than 66⅔ per cent. of the Total Commitments; or</w:t>
      </w:r>
    </w:p>
    <w:p>
      <w:pPr>
        <w:spacing w:after="0" w:line="150" w:lineRule="exact"/>
        <w:rPr>
          <w:rFonts w:ascii="Times New Roman" w:cs="Times New Roman" w:eastAsia="Times New Roman" w:hAnsi="Times New Roman"/>
          <w:sz w:val="12"/>
          <w:szCs w:val="12"/>
          <w:color w:val="auto"/>
        </w:rPr>
      </w:pPr>
    </w:p>
    <w:p>
      <w:pPr>
        <w:ind w:left="440" w:right="20" w:hanging="436"/>
        <w:spacing w:after="0" w:line="279" w:lineRule="auto"/>
        <w:tabs>
          <w:tab w:leader="none" w:pos="440" w:val="left"/>
        </w:tabs>
        <w:numPr>
          <w:ilvl w:val="0"/>
          <w:numId w:val="6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any other time, a Lender or Lenders whose participations in the Loan aggregate more than 66⅔ per cent. of the amount of the Loan then outstanding or, if the Loan has been repaid or prepaid in full, a Lender or Lenders whose participations in the Loan immediately before repayment or prepayment in full aggregate more than 66⅔ per cent. of the Loan immediately before such repayment.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Management Agreement</w:t>
      </w:r>
      <w:r>
        <w:rPr>
          <w:rFonts w:ascii="Times New Roman" w:cs="Times New Roman" w:eastAsia="Times New Roman" w:hAnsi="Times New Roman"/>
          <w:sz w:val="12"/>
          <w:szCs w:val="12"/>
          <w:color w:val="auto"/>
        </w:rPr>
        <w:t>" means a Technical Management Agreement or a Commercial Management Agreement.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Manager's Undertaking</w:t>
      </w:r>
      <w:r>
        <w:rPr>
          <w:rFonts w:ascii="Times New Roman" w:cs="Times New Roman" w:eastAsia="Times New Roman" w:hAnsi="Times New Roman"/>
          <w:sz w:val="12"/>
          <w:szCs w:val="12"/>
          <w:color w:val="auto"/>
        </w:rPr>
        <w:t>" means, in relation to a Ship, the letter of undertaking from its Approved Technical Manager and the letter of undertaking from its Approved Commercial Manager subordinating the rights of such Approved Technical Manager and such Approved Commercial Manager respectively against that Ship and the relevant Borrower to the rights of the Finance Parties and assigning the rights and interests (if applicable) of that Approved Manager in the Insurances in favour of the Finance Parties in agreed form.</w:t>
      </w:r>
    </w:p>
    <w:p>
      <w:pPr>
        <w:spacing w:after="0" w:line="11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Mandatory Cost</w:t>
      </w:r>
      <w:r>
        <w:rPr>
          <w:rFonts w:ascii="Times New Roman" w:cs="Times New Roman" w:eastAsia="Times New Roman" w:hAnsi="Times New Roman"/>
          <w:sz w:val="12"/>
          <w:szCs w:val="12"/>
          <w:color w:val="auto"/>
        </w:rPr>
        <w:t>" means the cost as determined by the Lenders of complying with applicable regulatory requirement(s) of the Swiss National Bank, the Swiss Financial Market Supervisory Authority (FINMA) or any other Swiss relevant regulatory authority.</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Margin</w:t>
      </w:r>
      <w:r>
        <w:rPr>
          <w:rFonts w:ascii="Times New Roman" w:cs="Times New Roman" w:eastAsia="Times New Roman" w:hAnsi="Times New Roman"/>
          <w:sz w:val="12"/>
          <w:szCs w:val="12"/>
          <w:color w:val="auto"/>
        </w:rPr>
        <w:t>" means 2.15 per cent. per annum.</w:t>
      </w:r>
    </w:p>
    <w:p>
      <w:pPr>
        <w:spacing w:after="0" w:line="15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Market Value</w:t>
      </w:r>
      <w:r>
        <w:rPr>
          <w:rFonts w:ascii="Times New Roman" w:cs="Times New Roman" w:eastAsia="Times New Roman" w:hAnsi="Times New Roman"/>
          <w:sz w:val="12"/>
          <w:szCs w:val="12"/>
          <w:color w:val="auto"/>
        </w:rPr>
        <w:t>" means, in relation to a Ship or any other vessel over which additional security has been created in accordance with 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at any date, an amount determined by the Facility Agent as being an amount equal to:</w:t>
      </w:r>
    </w:p>
    <w:p>
      <w:pPr>
        <w:spacing w:after="0" w:line="107" w:lineRule="exact"/>
        <w:rPr>
          <w:sz w:val="20"/>
          <w:szCs w:val="20"/>
          <w:color w:val="auto"/>
        </w:rPr>
      </w:pPr>
    </w:p>
    <w:p>
      <w:pPr>
        <w:ind w:left="440" w:hanging="436"/>
        <w:spacing w:after="0"/>
        <w:tabs>
          <w:tab w:leader="none" w:pos="440" w:val="left"/>
        </w:tabs>
        <w:numPr>
          <w:ilvl w:val="0"/>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market value of a Ship or any other vessel at any date which is shown by the average of two valuations (subject to paragraph (b) below), each such valuation to be prepared:</w:t>
      </w:r>
    </w:p>
    <w:p>
      <w:pPr>
        <w:spacing w:after="0" w:line="150" w:lineRule="exact"/>
        <w:rPr>
          <w:rFonts w:ascii="Times New Roman" w:cs="Times New Roman" w:eastAsia="Times New Roman" w:hAnsi="Times New Roman"/>
          <w:sz w:val="12"/>
          <w:szCs w:val="12"/>
          <w:color w:val="auto"/>
        </w:rPr>
      </w:pPr>
    </w:p>
    <w:p>
      <w:pPr>
        <w:ind w:left="1300" w:hanging="432"/>
        <w:spacing w:after="0" w:line="279" w:lineRule="auto"/>
        <w:tabs>
          <w:tab w:leader="none" w:pos="1300" w:val="left"/>
        </w:tabs>
        <w:numPr>
          <w:ilvl w:val="1"/>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at a date not more than 30 days previously (and in the case of the valuations used to determine the Initial Market Value of that Ship, not more than 30 days prior to the Utilisation Date and not later than 10 days previously);</w:t>
      </w:r>
    </w:p>
    <w:p>
      <w:pPr>
        <w:spacing w:after="0" w:line="111"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Approved Valuers selected by the Borrowers, confirmed by the Lenders and reporting to the Facility Agent for the purpose;</w:t>
      </w:r>
    </w:p>
    <w:p>
      <w:pPr>
        <w:spacing w:after="0" w:line="150" w:lineRule="exact"/>
        <w:rPr>
          <w:rFonts w:ascii="Times New Roman" w:cs="Times New Roman" w:eastAsia="Times New Roman" w:hAnsi="Times New Roman"/>
          <w:sz w:val="12"/>
          <w:szCs w:val="12"/>
          <w:color w:val="auto"/>
        </w:rPr>
      </w:pPr>
    </w:p>
    <w:p>
      <w:pPr>
        <w:ind w:left="1300" w:hanging="432"/>
        <w:spacing w:after="0"/>
        <w:tabs>
          <w:tab w:leader="none" w:pos="1300" w:val="left"/>
        </w:tabs>
        <w:numPr>
          <w:ilvl w:val="1"/>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or without physical inspection of that Ship or any other vessel (as the Facility Agent may require); and</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1"/>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a sale for prompt delivery for cash on normal arm's length commercial terms as between a willing seller and a willing buyer, free of any existing charter or other contract of employment.</w:t>
      </w:r>
    </w:p>
    <w:p>
      <w:pPr>
        <w:spacing w:after="0" w:line="111" w:lineRule="exact"/>
        <w:rPr>
          <w:rFonts w:ascii="Times New Roman" w:cs="Times New Roman" w:eastAsia="Times New Roman" w:hAnsi="Times New Roman"/>
          <w:sz w:val="12"/>
          <w:szCs w:val="12"/>
          <w:color w:val="auto"/>
        </w:rPr>
      </w:pPr>
    </w:p>
    <w:p>
      <w:pPr>
        <w:jc w:val="both"/>
        <w:ind w:left="440" w:hanging="436"/>
        <w:spacing w:after="0" w:line="260" w:lineRule="auto"/>
        <w:tabs>
          <w:tab w:leader="none" w:pos="440" w:val="left"/>
        </w:tabs>
        <w:numPr>
          <w:ilvl w:val="0"/>
          <w:numId w:val="6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market value of such Ship or such other vessel as evidenced in one of the two valuations provided under paragraph (a) above exceeds by 15 per cent. the market value of that Ship or that other vessel as evidenced in the other valuation to be provided under paragraph (a) above (such difference to be determined with reference to the lowest valuation), then the Borrowers shall procure that the Facility Agent is promptly provided with a third valuation prepared in accordance with the requirements referred under paragraph (a) above and the Market Value of that Ship or such other vessel shall be determined as the arithmetic mean of all three valuations.</w:t>
      </w:r>
    </w:p>
    <w:p>
      <w:pPr>
        <w:spacing w:after="0" w:line="122"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19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06" w:name="page407"/>
    <w:bookmarkEnd w:id="406"/>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Material Adverse Effect</w:t>
      </w:r>
      <w:r>
        <w:rPr>
          <w:rFonts w:ascii="Times New Roman" w:cs="Times New Roman" w:eastAsia="Times New Roman" w:hAnsi="Times New Roman"/>
          <w:sz w:val="12"/>
          <w:szCs w:val="12"/>
          <w:color w:val="auto"/>
        </w:rPr>
        <w:t>" means in the reasonable opinion of the Majority Lenders a material adverse effect on:</w:t>
      </w:r>
    </w:p>
    <w:p>
      <w:pPr>
        <w:spacing w:after="0" w:line="154" w:lineRule="exact"/>
        <w:rPr>
          <w:sz w:val="20"/>
          <w:szCs w:val="20"/>
          <w:color w:val="auto"/>
        </w:rPr>
      </w:pPr>
    </w:p>
    <w:p>
      <w:pPr>
        <w:ind w:left="440" w:hanging="436"/>
        <w:spacing w:after="0"/>
        <w:tabs>
          <w:tab w:leader="none" w:pos="440" w:val="left"/>
        </w:tabs>
        <w:numPr>
          <w:ilvl w:val="0"/>
          <w:numId w:val="6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business, operations, property, condition (financial or otherwise) or prospects of each Obligor and the Group taken as a whole;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any Transaction Obligor to perform its obligations under any Finance Document to which it is a party;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validity or enforceability of, or the effectiveness or ranking of any Security granted or intended to be granted pursuant to any of, the Finance Documents or the rights or remedies of any Finance Party under any of the Finance Documents.</w:t>
      </w:r>
    </w:p>
    <w:p>
      <w:pPr>
        <w:spacing w:after="0" w:line="10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Minimum Corporate Liquidity</w:t>
      </w:r>
      <w:r>
        <w:rPr>
          <w:rFonts w:ascii="Times New Roman" w:cs="Times New Roman" w:eastAsia="Times New Roman" w:hAnsi="Times New Roman"/>
          <w:sz w:val="12"/>
          <w:szCs w:val="12"/>
          <w:color w:val="auto"/>
        </w:rPr>
        <w:t>" means unencumbered cash and cash equivalents, which are readily convertible into known amounts of cash with original maturities of no more than 12 months, as set out in the most recent Guarantor's financial statements supplied to the Facility Agent pursuant to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Month</w:t>
      </w:r>
      <w:r>
        <w:rPr>
          <w:rFonts w:ascii="Times New Roman" w:cs="Times New Roman" w:eastAsia="Times New Roman" w:hAnsi="Times New Roman"/>
          <w:sz w:val="12"/>
          <w:szCs w:val="12"/>
          <w:color w:val="auto"/>
        </w:rPr>
        <w:t>" means, in relation to an Interest Period (or any other period for the accrual of commission or fees), means a period starting on one day in a calendar month and ending on the numerically corresponding day in the next calendar month, except that:</w:t>
      </w:r>
    </w:p>
    <w:p>
      <w:pPr>
        <w:spacing w:after="0" w:line="107" w:lineRule="exact"/>
        <w:rPr>
          <w:sz w:val="20"/>
          <w:szCs w:val="20"/>
          <w:color w:val="auto"/>
        </w:rPr>
      </w:pPr>
    </w:p>
    <w:p>
      <w:pPr>
        <w:ind w:left="440" w:hanging="436"/>
        <w:spacing w:after="0"/>
        <w:tabs>
          <w:tab w:leader="none" w:pos="440"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paragraph (b) applies:</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 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no numerically corresponding day in the calendar month in which that period is to end, that period shall end on the last Business Day in that calendar month;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Interest Period begins on the last Business Day of a calendar month, that Interest Period shall end on the last Business Day in the calendar month in which that Interest Period is to end; and</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 Interest Period for any Compounded Rate Loan (or any other period for the accrual of commission or fees after the Rate Switch Date) for which there are rules specified as "Business Day Conventions" in Schedule 9 (</w:t>
      </w:r>
      <w:r>
        <w:rPr>
          <w:rFonts w:ascii="Times New Roman" w:cs="Times New Roman" w:eastAsia="Times New Roman" w:hAnsi="Times New Roman"/>
          <w:sz w:val="12"/>
          <w:szCs w:val="12"/>
          <w:i w:val="1"/>
          <w:iCs w:val="1"/>
          <w:color w:val="auto"/>
        </w:rPr>
        <w:t>Risk Free Rate Terms</w:t>
      </w:r>
      <w:r>
        <w:rPr>
          <w:rFonts w:ascii="Times New Roman" w:cs="Times New Roman" w:eastAsia="Times New Roman" w:hAnsi="Times New Roman"/>
          <w:sz w:val="12"/>
          <w:szCs w:val="12"/>
          <w:color w:val="auto"/>
        </w:rPr>
        <w:t>), those rules shall apply.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Mortgage</w:t>
      </w:r>
      <w:r>
        <w:rPr>
          <w:rFonts w:ascii="Times New Roman" w:cs="Times New Roman" w:eastAsia="Times New Roman" w:hAnsi="Times New Roman"/>
          <w:sz w:val="12"/>
          <w:szCs w:val="12"/>
          <w:color w:val="auto"/>
        </w:rPr>
        <w:t>" means, in relation to a Ship, a first preferred or, as the case may be, priority (as applicable) ship mortgage on that Ship in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means a Borrower or the Guarantor.</w:t>
      </w:r>
    </w:p>
    <w:p>
      <w:pPr>
        <w:spacing w:after="0" w:line="154" w:lineRule="exact"/>
        <w:rPr>
          <w:sz w:val="20"/>
          <w:szCs w:val="20"/>
          <w:color w:val="auto"/>
        </w:rPr>
      </w:pPr>
    </w:p>
    <w:p>
      <w:pPr>
        <w:ind w:left="5160"/>
        <w:spacing w:after="0"/>
        <w:tabs>
          <w:tab w:leader="none" w:pos="9760" w:val="left"/>
        </w:tabs>
        <w:rPr>
          <w:sz w:val="20"/>
          <w:szCs w:val="20"/>
          <w:color w:val="auto"/>
        </w:rPr>
      </w:pPr>
      <w:r>
        <w:rPr>
          <w:rFonts w:ascii="Times New Roman" w:cs="Times New Roman" w:eastAsia="Times New Roman" w:hAnsi="Times New Roman"/>
          <w:sz w:val="11"/>
          <w:szCs w:val="11"/>
          <w:color w:val="auto"/>
        </w:rPr>
        <w:t>20</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17780</wp:posOffset>
            </wp:positionV>
            <wp:extent cx="7178040" cy="571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3" w:right="299" w:bottom="1440" w:gutter="0" w:footer="0" w:header="0"/>
        </w:sectPr>
      </w:pPr>
    </w:p>
    <w:bookmarkStart w:id="407" w:name="page408"/>
    <w:bookmarkEnd w:id="407"/>
    <w:p>
      <w:pPr>
        <w:ind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Operating Expenses"</w:t>
      </w:r>
      <w:r>
        <w:rPr>
          <w:rFonts w:ascii="Times New Roman" w:cs="Times New Roman" w:eastAsia="Times New Roman" w:hAnsi="Times New Roman"/>
          <w:sz w:val="12"/>
          <w:szCs w:val="12"/>
          <w:color w:val="auto"/>
        </w:rPr>
        <w:t xml:space="preserve"> means, in relation to a Ship, the aggregate expenditure necessarily incurred by the Borrower which is the owner of that Ship in operating, insuring, maintaining, repairing and generally trading that Ship (including, without limitation any crewing fees paid under a Management Agreement) and general and administrative expenses paid in respect of that Ship.</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Financial Statements</w:t>
      </w:r>
      <w:r>
        <w:rPr>
          <w:rFonts w:ascii="Times New Roman" w:cs="Times New Roman" w:eastAsia="Times New Roman" w:hAnsi="Times New Roman"/>
          <w:sz w:val="12"/>
          <w:szCs w:val="12"/>
          <w:color w:val="auto"/>
        </w:rPr>
        <w:t>" means, in relation to the Guarantor, the audited consolidated financial statements of the Group for its financial year ended 2024, as publicly available.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Original Jurisdiction</w:t>
      </w:r>
      <w:r>
        <w:rPr>
          <w:rFonts w:ascii="Times New Roman" w:cs="Times New Roman" w:eastAsia="Times New Roman" w:hAnsi="Times New Roman"/>
          <w:sz w:val="12"/>
          <w:szCs w:val="12"/>
          <w:color w:val="auto"/>
        </w:rPr>
        <w:t>" means, in relation to an Obligor, the jurisdiction under whose laws that Obligor is formed as at the date of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Overseas Regulations</w:t>
      </w:r>
      <w:r>
        <w:rPr>
          <w:rFonts w:ascii="Times New Roman" w:cs="Times New Roman" w:eastAsia="Times New Roman" w:hAnsi="Times New Roman"/>
          <w:sz w:val="12"/>
          <w:szCs w:val="12"/>
          <w:color w:val="auto"/>
        </w:rPr>
        <w:t>" means the Overseas Companies Regulations 2009 (SI 2009/1801).</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Parallel Debt</w:t>
      </w:r>
      <w:r>
        <w:rPr>
          <w:rFonts w:ascii="Times New Roman" w:cs="Times New Roman" w:eastAsia="Times New Roman" w:hAnsi="Times New Roman"/>
          <w:sz w:val="12"/>
          <w:szCs w:val="12"/>
          <w:color w:val="auto"/>
        </w:rPr>
        <w:t>" means any amount which an Obligor owes to the Security Agent under Clause 33.2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under that Clause as incorporated by reference or in full in any other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Participating Member State</w:t>
      </w:r>
      <w:r>
        <w:rPr>
          <w:rFonts w:ascii="Times New Roman" w:cs="Times New Roman" w:eastAsia="Times New Roman" w:hAnsi="Times New Roman"/>
          <w:sz w:val="12"/>
          <w:szCs w:val="12"/>
          <w:color w:val="auto"/>
        </w:rPr>
        <w:t>" means any member state of the European Union that has the euro as its lawful currency in accordance with legislation of the European Union relating to Economic and Monetary Union.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means a party to this Agreement.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Perfection Requirements</w:t>
      </w:r>
      <w:r>
        <w:rPr>
          <w:rFonts w:ascii="Times New Roman" w:cs="Times New Roman" w:eastAsia="Times New Roman" w:hAnsi="Times New Roman"/>
          <w:sz w:val="12"/>
          <w:szCs w:val="12"/>
          <w:color w:val="auto"/>
        </w:rPr>
        <w:t>" means the making or procuring of filings, stampings, registrations, notarisations, endorsements, translations and/or notifications of any Finance Document (and/or any Security created under it) necessary for the validity, enforceability (as against the relevant Obligor or any relevant third party) and/or perfection of that Finance Document.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Charter</w:t>
      </w:r>
      <w:r>
        <w:rPr>
          <w:rFonts w:ascii="Times New Roman" w:cs="Times New Roman" w:eastAsia="Times New Roman" w:hAnsi="Times New Roman"/>
          <w:sz w:val="12"/>
          <w:szCs w:val="12"/>
          <w:color w:val="auto"/>
        </w:rPr>
        <w:t>" means, in relation to a Ship, a Charter (other than, for the avoidance of doubt, an Initial Charter or any other, as applicable, Assignable Charter relative thereto):</w:t>
      </w:r>
    </w:p>
    <w:p>
      <w:pPr>
        <w:spacing w:after="0" w:line="154" w:lineRule="exact"/>
        <w:rPr>
          <w:sz w:val="20"/>
          <w:szCs w:val="20"/>
          <w:color w:val="auto"/>
        </w:rPr>
      </w:pPr>
    </w:p>
    <w:p>
      <w:pPr>
        <w:ind w:left="440" w:hanging="436"/>
        <w:spacing w:after="0"/>
        <w:tabs>
          <w:tab w:leader="none" w:pos="440" w:val="left"/>
        </w:tabs>
        <w:numPr>
          <w:ilvl w:val="0"/>
          <w:numId w:val="6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time, voyage or consecutive voyage charter;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duration of which does not exceed and is not capable of exceeding, by virtue of any optional extensions, 12 months plus a redelivery allowance of not more than 30 days unless prior approval has been obtained from the Facility Agent;</w:t>
      </w:r>
    </w:p>
    <w:p>
      <w:pPr>
        <w:spacing w:after="0" w:line="109"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which is entered into on </w:t>
      </w:r>
      <w:r>
        <w:rPr>
          <w:rFonts w:ascii="Times New Roman" w:cs="Times New Roman" w:eastAsia="Times New Roman" w:hAnsi="Times New Roman"/>
          <w:sz w:val="12"/>
          <w:szCs w:val="12"/>
          <w:i w:val="1"/>
          <w:iCs w:val="1"/>
          <w:color w:val="auto"/>
        </w:rPr>
        <w:t>bona fide</w:t>
      </w:r>
      <w:r>
        <w:rPr>
          <w:rFonts w:ascii="Times New Roman" w:cs="Times New Roman" w:eastAsia="Times New Roman" w:hAnsi="Times New Roman"/>
          <w:sz w:val="12"/>
          <w:szCs w:val="12"/>
          <w:color w:val="auto"/>
        </w:rPr>
        <w:t xml:space="preserve"> arm's length terms at the time at which that Ship is fixed; and</w:t>
      </w:r>
    </w:p>
    <w:p>
      <w:pPr>
        <w:spacing w:after="0" w:line="152"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which not more than two months' hire is payable in advance,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any other Charter which is approved in writing by the Facility Agent acting with the authorisation of the Majority Lenders which authorisation no Lender shall unreasonably withhold or delay.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Financial Indebtedness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(and including) the Utilisation Date, any Existing Indebtedness;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incurred under the Finance Documents;</w:t>
      </w:r>
    </w:p>
    <w:p>
      <w:pPr>
        <w:spacing w:after="0" w:line="150"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08" w:name="page409"/>
    <w:bookmarkEnd w:id="408"/>
    <w:p>
      <w:pPr>
        <w:ind w:left="440" w:hanging="436"/>
        <w:spacing w:after="0" w:line="279" w:lineRule="auto"/>
        <w:tabs>
          <w:tab w:leader="none" w:pos="440" w:val="left"/>
        </w:tabs>
        <w:numPr>
          <w:ilvl w:val="0"/>
          <w:numId w:val="6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that is subordinated to all Financial Indebtedness incurred under the Finance Documents pursuant to a Subordination Agreement and which is, in the case of any such Financial Indebtedness of a Borrower, the subject of Subordinated Debt Security; and</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normal trading debt of each Borrower incurred in the ordinary course of its business operations of owning and operating the relevant Ship and issuing guarantees thereunder.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Permitted Security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until the Utilisation Date, any Existing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Security created by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unpaid master's and crew's wages in accordance with first class ship ownership and management practice;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salvage;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liens for master's disbursements incurred in the ordinary course of trading in accordance with first class ship ownership and management practice;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lien arising by operation of law or otherwise in the ordinary course of the operation, repair or maintenance of any Ship:</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as a result of any default or omission by any Borrower; and</w:t>
      </w:r>
    </w:p>
    <w:p>
      <w:pPr>
        <w:spacing w:after="0" w:line="148"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in the case of liens for repair or maintenance, to Clause 26.15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0"/>
        <w:spacing w:after="0" w:line="279" w:lineRule="auto"/>
        <w:rPr>
          <w:sz w:val="20"/>
          <w:szCs w:val="20"/>
          <w:color w:val="auto"/>
        </w:rPr>
      </w:pPr>
      <w:r>
        <w:rPr>
          <w:rFonts w:ascii="Times New Roman" w:cs="Times New Roman" w:eastAsia="Times New Roman" w:hAnsi="Times New Roman"/>
          <w:sz w:val="12"/>
          <w:szCs w:val="12"/>
          <w:color w:val="auto"/>
        </w:rPr>
        <w:t>provided such lien does not secure amounts more than 60 days overdue (unless the overdue amount is being contested in good faith by appropriate steps and for the payment of which adequate reserves are held and provided further that such proceedings do not give rise to a material risk of the relevant Ship or any interest in it being seized, sold, forfeited or lost).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Poseidon Principles</w:t>
      </w:r>
      <w:r>
        <w:rPr>
          <w:rFonts w:ascii="Times New Roman" w:cs="Times New Roman" w:eastAsia="Times New Roman" w:hAnsi="Times New Roman"/>
          <w:sz w:val="12"/>
          <w:szCs w:val="12"/>
          <w:color w:val="auto"/>
        </w:rPr>
        <w:t>" has the meaning given to it in Clause 26.22 (</w:t>
      </w:r>
      <w:r>
        <w:rPr>
          <w:rFonts w:ascii="Times New Roman" w:cs="Times New Roman" w:eastAsia="Times New Roman" w:hAnsi="Times New Roman"/>
          <w:sz w:val="12"/>
          <w:szCs w:val="12"/>
          <w:i w:val="1"/>
          <w:iCs w:val="1"/>
          <w:color w:val="auto"/>
        </w:rPr>
        <w:t>Fuel Oil Consumption Data</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Potential Event of Default</w:t>
      </w:r>
      <w:r>
        <w:rPr>
          <w:rFonts w:ascii="Times New Roman" w:cs="Times New Roman" w:eastAsia="Times New Roman" w:hAnsi="Times New Roman"/>
          <w:sz w:val="12"/>
          <w:szCs w:val="12"/>
          <w:color w:val="auto"/>
        </w:rPr>
        <w:t>" means any event or circumstance specified in Clause 29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which would (with the expiry of a grace period, the giving of notice, the making of any determination under the Finance Documents or any combination of any of the foregoing) be an Event of Default.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Protected Party</w:t>
      </w:r>
      <w:r>
        <w:rPr>
          <w:rFonts w:ascii="Times New Roman" w:cs="Times New Roman" w:eastAsia="Times New Roman" w:hAnsi="Times New Roman"/>
          <w:sz w:val="12"/>
          <w:szCs w:val="12"/>
          <w:color w:val="auto"/>
        </w:rPr>
        <w:t>" has the meaning given to it in Clause 13.1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Published Rate</w:t>
      </w:r>
      <w:r>
        <w:rPr>
          <w:rFonts w:ascii="Times New Roman" w:cs="Times New Roman" w:eastAsia="Times New Roman" w:hAnsi="Times New Roman"/>
          <w:sz w:val="12"/>
          <w:szCs w:val="12"/>
          <w:color w:val="auto"/>
        </w:rPr>
        <w:t>" means the Forward Rate or the RFR.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Published Rate Replacement Event</w:t>
      </w:r>
      <w:r>
        <w:rPr>
          <w:rFonts w:ascii="Times New Roman" w:cs="Times New Roman" w:eastAsia="Times New Roman" w:hAnsi="Times New Roman"/>
          <w:sz w:val="12"/>
          <w:szCs w:val="12"/>
          <w:color w:val="auto"/>
        </w:rPr>
        <w:t>" means, in relation to a Published Rate:</w:t>
      </w:r>
    </w:p>
    <w:p>
      <w:pPr>
        <w:spacing w:after="0" w:line="154" w:lineRule="exact"/>
        <w:rPr>
          <w:sz w:val="20"/>
          <w:szCs w:val="20"/>
          <w:color w:val="auto"/>
        </w:rPr>
      </w:pPr>
    </w:p>
    <w:p>
      <w:pPr>
        <w:ind w:left="440" w:hanging="436"/>
        <w:spacing w:after="0"/>
        <w:tabs>
          <w:tab w:leader="none" w:pos="440" w:val="left"/>
        </w:tabs>
        <w:numPr>
          <w:ilvl w:val="0"/>
          <w:numId w:val="6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methodology, formula or other means of determining that Published Rate has, in the opinion of the Majority Lenders, and the Borrowers materially changed;</w:t>
      </w:r>
    </w:p>
    <w:p>
      <w:pPr>
        <w:spacing w:after="0" w:line="150" w:lineRule="exact"/>
        <w:rPr>
          <w:rFonts w:ascii="Times New Roman" w:cs="Times New Roman" w:eastAsia="Times New Roman" w:hAnsi="Times New Roman"/>
          <w:sz w:val="12"/>
          <w:szCs w:val="12"/>
          <w:color w:val="auto"/>
        </w:rPr>
      </w:pPr>
    </w:p>
    <w:p>
      <w:pPr>
        <w:spacing w:after="0"/>
        <w:tabs>
          <w:tab w:leader="none" w:pos="0" w:val="left"/>
        </w:tabs>
        <w:numPr>
          <w:ilvl w:val="0"/>
          <w:numId w:val="624"/>
        </w:numPr>
        <w:rPr>
          <w:rFonts w:ascii="Times New Roman" w:cs="Times New Roman" w:eastAsia="Times New Roman" w:hAnsi="Times New Roman"/>
          <w:sz w:val="12"/>
          <w:szCs w:val="12"/>
          <w:color w:val="auto"/>
        </w:rPr>
      </w:pPr>
    </w:p>
    <w:p>
      <w:pPr>
        <w:spacing w:after="0" w:line="150"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409" w:name="page410"/>
    <w:bookmarkEnd w:id="409"/>
    <w:p>
      <w:pPr>
        <w:ind w:left="440"/>
        <w:spacing w:after="0"/>
        <w:rPr>
          <w:sz w:val="20"/>
          <w:szCs w:val="20"/>
          <w:color w:val="auto"/>
        </w:rPr>
      </w:pPr>
      <w:r>
        <w:rPr>
          <w:rFonts w:ascii="Times New Roman" w:cs="Times New Roman" w:eastAsia="Times New Roman" w:hAnsi="Times New Roman"/>
          <w:sz w:val="12"/>
          <w:szCs w:val="12"/>
          <w:color w:val="auto"/>
        </w:rPr>
        <w:t>(i)</w:t>
      </w:r>
    </w:p>
    <w:p>
      <w:pPr>
        <w:spacing w:after="0" w:line="150" w:lineRule="exact"/>
        <w:rPr>
          <w:sz w:val="20"/>
          <w:szCs w:val="20"/>
          <w:color w:val="auto"/>
        </w:rPr>
      </w:pPr>
    </w:p>
    <w:p>
      <w:pPr>
        <w:ind w:left="1300" w:hanging="432"/>
        <w:spacing w:after="0"/>
        <w:tabs>
          <w:tab w:leader="none" w:pos="1300" w:val="left"/>
        </w:tabs>
        <w:numPr>
          <w:ilvl w:val="0"/>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 its supervisor publicly announces that such administrator is insolvent; or</w:t>
      </w:r>
    </w:p>
    <w:p>
      <w:pPr>
        <w:spacing w:after="0" w:line="150" w:lineRule="exact"/>
        <w:rPr>
          <w:rFonts w:ascii="Times New Roman" w:cs="Times New Roman" w:eastAsia="Times New Roman" w:hAnsi="Times New Roman"/>
          <w:sz w:val="12"/>
          <w:szCs w:val="12"/>
          <w:color w:val="auto"/>
        </w:rPr>
      </w:pPr>
    </w:p>
    <w:p>
      <w:pPr>
        <w:ind w:left="1300" w:right="20" w:hanging="432"/>
        <w:spacing w:after="0" w:line="279" w:lineRule="auto"/>
        <w:tabs>
          <w:tab w:leader="none" w:pos="1300" w:val="left"/>
        </w:tabs>
        <w:numPr>
          <w:ilvl w:val="0"/>
          <w:numId w:val="6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11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provided that, in each case, at that time, there is no successor administrator to continue to provide that Published Rate;</w:t>
      </w:r>
    </w:p>
    <w:p>
      <w:pPr>
        <w:spacing w:after="0" w:line="150" w:lineRule="exact"/>
        <w:rPr>
          <w:sz w:val="20"/>
          <w:szCs w:val="20"/>
          <w:color w:val="auto"/>
        </w:rPr>
      </w:pPr>
    </w:p>
    <w:p>
      <w:pPr>
        <w:ind w:left="860" w:right="20" w:hanging="424"/>
        <w:spacing w:after="0" w:line="279" w:lineRule="auto"/>
        <w:tabs>
          <w:tab w:leader="none" w:pos="860" w:val="left"/>
        </w:tabs>
        <w:numPr>
          <w:ilvl w:val="1"/>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publicly announces that it has ceased or will cease to provide that Published Rate permanently or indefinitely and, at that time, there is no successor administrator to continue to provide that Published Rate (to the extent that this does not qualify as a Rate Switch Trigger Event);</w:t>
      </w:r>
    </w:p>
    <w:p>
      <w:pPr>
        <w:spacing w:after="0" w:line="111"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1"/>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supervisor of the administrator of that Published Rate publicly announces that such Published Rate has been or will be permanently or indefinitely discontinued (to the extent that this does not qualify as a Rate Switch Trigger Event); or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 its supervisor announces that that Published Rate may no longer be used (to the extent that this does not qualify as a Rate Switch Trigger Event);</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spacing w:after="0" w:line="111"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circumstance(s) or event(s) leading to such determination are not (in the opinion of the Majority Lenders and the Borrowers) temporary; or</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Published Rate is calculated in accordance with any such policy or arrangement for a period no less than one month; 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 the opinion of the Majority Lenders and the Borrowers that Published Rate is otherwise no longer appropriate for the purposes of calculating interest under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Quoted Tenor</w:t>
      </w:r>
      <w:r>
        <w:rPr>
          <w:rFonts w:ascii="Times New Roman" w:cs="Times New Roman" w:eastAsia="Times New Roman" w:hAnsi="Times New Roman"/>
          <w:sz w:val="12"/>
          <w:szCs w:val="12"/>
          <w:color w:val="auto"/>
        </w:rPr>
        <w:t>" means any period for which the Forward Rate is customarily displayed on the relevant page or screen of an information service.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Rate Switch Date</w:t>
      </w:r>
      <w:r>
        <w:rPr>
          <w:rFonts w:ascii="Times New Roman" w:cs="Times New Roman" w:eastAsia="Times New Roman" w:hAnsi="Times New Roman"/>
          <w:sz w:val="12"/>
          <w:szCs w:val="12"/>
          <w:color w:val="auto"/>
        </w:rPr>
        <w:t>" means the earlier of any Rate Switch Trigger Event Date.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Rate Switch Trigger Event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w:t>
      </w:r>
    </w:p>
    <w:p>
      <w:pPr>
        <w:spacing w:after="0" w:line="150"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410" w:name="page411"/>
    <w:bookmarkEnd w:id="410"/>
    <w:p>
      <w:pPr>
        <w:ind w:left="860" w:hanging="424"/>
        <w:spacing w:after="0"/>
        <w:tabs>
          <w:tab w:leader="none" w:pos="860" w:val="left"/>
        </w:tabs>
        <w:numPr>
          <w:ilvl w:val="0"/>
          <w:numId w:val="6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Forward Rate or its supervisor publicly announces that such administrator is insolvent; or</w:t>
      </w:r>
    </w:p>
    <w:p>
      <w:pPr>
        <w:spacing w:after="0" w:line="150" w:lineRule="exact"/>
        <w:rPr>
          <w:rFonts w:ascii="Times New Roman" w:cs="Times New Roman" w:eastAsia="Times New Roman" w:hAnsi="Times New Roman"/>
          <w:sz w:val="12"/>
          <w:szCs w:val="12"/>
          <w:color w:val="auto"/>
        </w:rPr>
      </w:pPr>
    </w:p>
    <w:p>
      <w:pPr>
        <w:ind w:left="860" w:hanging="424"/>
        <w:spacing w:after="0" w:line="279" w:lineRule="auto"/>
        <w:tabs>
          <w:tab w:leader="none" w:pos="860" w:val="left"/>
        </w:tabs>
        <w:numPr>
          <w:ilvl w:val="0"/>
          <w:numId w:val="6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the Forward Rate is insolvent,</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in each case, at that time, there is no successor administrator to continue to provide the Forward Rate;</w:t>
      </w:r>
    </w:p>
    <w:p>
      <w:pPr>
        <w:spacing w:after="0" w:line="154" w:lineRule="exact"/>
        <w:rPr>
          <w:sz w:val="20"/>
          <w:szCs w:val="20"/>
          <w:color w:val="auto"/>
        </w:rPr>
      </w:pPr>
    </w:p>
    <w:p>
      <w:pPr>
        <w:ind w:left="440" w:right="20" w:hanging="436"/>
        <w:spacing w:after="0" w:line="279" w:lineRule="auto"/>
        <w:tabs>
          <w:tab w:leader="none" w:pos="440" w:val="left"/>
        </w:tabs>
        <w:numPr>
          <w:ilvl w:val="0"/>
          <w:numId w:val="6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Forward Rate publicly announces that it has ceased or will cease, to provide that Forward Rate for each Quoted Tenor permanently or indefinitely and, at that time, there is no successor administrator to continue to provide the Forward Rate for any Quoted Tenor;</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supervisor of the administrator of the Forward Rate publicly announces that such Forward Rate has been or will be permanently or indefinitely discontinued for each Quoted Tenor;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the Forward Rate or its supervisor publicly announces that the Forward Rate for each Quoted Tenor may no longer be used.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Rate Switch Trigger Event Date</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right="20" w:hanging="436"/>
        <w:spacing w:after="0" w:line="279" w:lineRule="auto"/>
        <w:tabs>
          <w:tab w:leader="none" w:pos="440" w:val="left"/>
        </w:tabs>
        <w:numPr>
          <w:ilvl w:val="0"/>
          <w:numId w:val="6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occurrence of a Rate Switch Trigger Event described in paragraph (a) of the definition of Rate Switch Trigger Event, the date on which the relevant Forward Rate ceases to be published or otherwise becomes unavailable; and</w:t>
      </w:r>
    </w:p>
    <w:p>
      <w:pPr>
        <w:spacing w:after="0" w:line="111"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occurrence of a Rate Switch Trigger Event described in paragraphs (b), (c) and (d) of the definition of Rate Switch Trigger Event, the date on which the relevant Forward Rate for each Quoted Tenor ceases to be published or otherwise becomes unavailable.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Receiver</w:t>
      </w:r>
      <w:r>
        <w:rPr>
          <w:rFonts w:ascii="Times New Roman" w:cs="Times New Roman" w:eastAsia="Times New Roman" w:hAnsi="Times New Roman"/>
          <w:sz w:val="12"/>
          <w:szCs w:val="12"/>
          <w:color w:val="auto"/>
        </w:rPr>
        <w:t>" means a receiver or receiver and manager or administrative receiver of the whole or any part of the Security Assets.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Reference Rate Supplement</w:t>
      </w:r>
      <w:r>
        <w:rPr>
          <w:rFonts w:ascii="Times New Roman" w:cs="Times New Roman" w:eastAsia="Times New Roman" w:hAnsi="Times New Roman"/>
          <w:sz w:val="12"/>
          <w:szCs w:val="12"/>
          <w:color w:val="auto"/>
        </w:rPr>
        <w:t>" means a document which:</w:t>
      </w:r>
    </w:p>
    <w:p>
      <w:pPr>
        <w:spacing w:after="0" w:line="154" w:lineRule="exact"/>
        <w:rPr>
          <w:sz w:val="20"/>
          <w:szCs w:val="20"/>
          <w:color w:val="auto"/>
        </w:rPr>
      </w:pPr>
    </w:p>
    <w:p>
      <w:pPr>
        <w:ind w:left="440" w:hanging="436"/>
        <w:spacing w:after="0"/>
        <w:tabs>
          <w:tab w:leader="none" w:pos="440" w:val="left"/>
        </w:tabs>
        <w:numPr>
          <w:ilvl w:val="0"/>
          <w:numId w:val="6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and the Facility Agent (in its own capacity) and the Facility Agent (acting on the instructions of the Majority Lenders);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the relevant terms which are expressed in this Agreement to be determined by reference to the Risk Free Rate Terms;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made available to the Borrowers and each Finance Party.</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Related Fund</w:t>
      </w:r>
      <w:r>
        <w:rPr>
          <w:rFonts w:ascii="Times New Roman" w:cs="Times New Roman" w:eastAsia="Times New Roman" w:hAnsi="Times New Roman"/>
          <w:sz w:val="12"/>
          <w:szCs w:val="12"/>
          <w:color w:val="auto"/>
        </w:rPr>
        <w:t>" in relation to a fund (the "</w:t>
      </w:r>
      <w:r>
        <w:rPr>
          <w:rFonts w:ascii="Times New Roman" w:cs="Times New Roman" w:eastAsia="Times New Roman" w:hAnsi="Times New Roman"/>
          <w:sz w:val="12"/>
          <w:szCs w:val="12"/>
          <w:b w:val="1"/>
          <w:bCs w:val="1"/>
          <w:color w:val="auto"/>
        </w:rPr>
        <w:t>first fund</w:t>
      </w:r>
      <w:r>
        <w:rPr>
          <w:rFonts w:ascii="Times New Roman" w:cs="Times New Roman" w:eastAsia="Times New Roman" w:hAnsi="Times New Roman"/>
          <w:sz w:val="12"/>
          <w:szCs w:val="12"/>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07"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411" w:name="page412"/>
    <w:bookmarkEnd w:id="411"/>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has the meaning given to that term in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Date</w:t>
      </w:r>
      <w:r>
        <w:rPr>
          <w:rFonts w:ascii="Times New Roman" w:cs="Times New Roman" w:eastAsia="Times New Roman" w:hAnsi="Times New Roman"/>
          <w:sz w:val="12"/>
          <w:szCs w:val="12"/>
          <w:color w:val="auto"/>
        </w:rPr>
        <w:t>" has the meaning given to that term in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Jurisdiction</w:t>
      </w:r>
      <w:r>
        <w:rPr>
          <w:rFonts w:ascii="Times New Roman" w:cs="Times New Roman" w:eastAsia="Times New Roman" w:hAnsi="Times New Roman"/>
          <w:sz w:val="12"/>
          <w:szCs w:val="12"/>
          <w:color w:val="auto"/>
        </w:rPr>
        <w:t>" means, in relation to a Transaction Obligor:</w:t>
      </w:r>
    </w:p>
    <w:p>
      <w:pPr>
        <w:spacing w:after="0" w:line="154" w:lineRule="exact"/>
        <w:rPr>
          <w:sz w:val="20"/>
          <w:szCs w:val="20"/>
          <w:color w:val="auto"/>
        </w:rPr>
      </w:pPr>
    </w:p>
    <w:p>
      <w:pPr>
        <w:ind w:left="440" w:hanging="436"/>
        <w:spacing w:after="0"/>
        <w:tabs>
          <w:tab w:leader="none" w:pos="440"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Original Jurisdiction;</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any asset other than a Ship subject to, or intended to be subject to, any of the Transaction Security created, or intended to be created, by it is situated;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jurisdiction where it has a place of business;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jurisdiction whose laws govern the perfection of any of the Security Documents entered into by it.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Market</w:t>
      </w:r>
      <w:r>
        <w:rPr>
          <w:rFonts w:ascii="Times New Roman" w:cs="Times New Roman" w:eastAsia="Times New Roman" w:hAnsi="Times New Roman"/>
          <w:sz w:val="12"/>
          <w:szCs w:val="12"/>
          <w:color w:val="auto"/>
        </w:rPr>
        <w:t>" means the market specified as such in the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Nominating Body</w:t>
      </w:r>
      <w:r>
        <w:rPr>
          <w:rFonts w:ascii="Times New Roman" w:cs="Times New Roman" w:eastAsia="Times New Roman" w:hAnsi="Times New Roman"/>
          <w:sz w:val="12"/>
          <w:szCs w:val="12"/>
          <w:color w:val="auto"/>
        </w:rPr>
        <w:t>" has the meaning given to this term in Clause 45.5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Percentage</w:t>
      </w:r>
      <w:r>
        <w:rPr>
          <w:rFonts w:ascii="Times New Roman" w:cs="Times New Roman" w:eastAsia="Times New Roman" w:hAnsi="Times New Roman"/>
          <w:sz w:val="12"/>
          <w:szCs w:val="12"/>
          <w:color w:val="auto"/>
        </w:rPr>
        <w:t>" has the meaning given to it in Clause 27.1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Date</w:t>
      </w:r>
      <w:r>
        <w:rPr>
          <w:rFonts w:ascii="Times New Roman" w:cs="Times New Roman" w:eastAsia="Times New Roman" w:hAnsi="Times New Roman"/>
          <w:sz w:val="12"/>
          <w:szCs w:val="12"/>
          <w:color w:val="auto"/>
        </w:rPr>
        <w:t>" means each date on which a Repayment Instalment is required to be paid under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Repayment Instalment</w:t>
      </w:r>
      <w:r>
        <w:rPr>
          <w:rFonts w:ascii="Times New Roman" w:cs="Times New Roman" w:eastAsia="Times New Roman" w:hAnsi="Times New Roman"/>
          <w:sz w:val="12"/>
          <w:szCs w:val="12"/>
          <w:color w:val="auto"/>
        </w:rPr>
        <w:t>" has the meaning given to it in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Repeating Representation</w:t>
      </w:r>
      <w:r>
        <w:rPr>
          <w:rFonts w:ascii="Times New Roman" w:cs="Times New Roman" w:eastAsia="Times New Roman" w:hAnsi="Times New Roman"/>
          <w:sz w:val="12"/>
          <w:szCs w:val="12"/>
          <w:color w:val="auto"/>
        </w:rPr>
        <w:t>" means each of the representations set out in Clause 20 (</w:t>
      </w:r>
      <w:r>
        <w:rPr>
          <w:rFonts w:ascii="Times New Roman" w:cs="Times New Roman" w:eastAsia="Times New Roman" w:hAnsi="Times New Roman"/>
          <w:sz w:val="12"/>
          <w:szCs w:val="12"/>
          <w:i w:val="1"/>
          <w:iCs w:val="1"/>
          <w:color w:val="auto"/>
        </w:rPr>
        <w:t>Representations</w:t>
      </w:r>
      <w:r>
        <w:rPr>
          <w:rFonts w:ascii="Times New Roman" w:cs="Times New Roman" w:eastAsia="Times New Roman" w:hAnsi="Times New Roman"/>
          <w:sz w:val="12"/>
          <w:szCs w:val="12"/>
          <w:color w:val="auto"/>
        </w:rPr>
        <w:t>) except Clause 20.10 (</w:t>
      </w:r>
      <w:r>
        <w:rPr>
          <w:rFonts w:ascii="Times New Roman" w:cs="Times New Roman" w:eastAsia="Times New Roman" w:hAnsi="Times New Roman"/>
          <w:sz w:val="12"/>
          <w:szCs w:val="12"/>
          <w:i w:val="1"/>
          <w:iCs w:val="1"/>
          <w:color w:val="auto"/>
        </w:rPr>
        <w:t>Insolvency</w:t>
      </w:r>
      <w:r>
        <w:rPr>
          <w:rFonts w:ascii="Times New Roman" w:cs="Times New Roman" w:eastAsia="Times New Roman" w:hAnsi="Times New Roman"/>
          <w:sz w:val="12"/>
          <w:szCs w:val="12"/>
          <w:color w:val="auto"/>
        </w:rPr>
        <w:t>), Clause 20.11 (</w:t>
      </w:r>
      <w:r>
        <w:rPr>
          <w:rFonts w:ascii="Times New Roman" w:cs="Times New Roman" w:eastAsia="Times New Roman" w:hAnsi="Times New Roman"/>
          <w:sz w:val="12"/>
          <w:szCs w:val="12"/>
          <w:i w:val="1"/>
          <w:iCs w:val="1"/>
          <w:color w:val="auto"/>
        </w:rPr>
        <w:t>No filing or stamp taxes</w:t>
      </w:r>
      <w:r>
        <w:rPr>
          <w:rFonts w:ascii="Times New Roman" w:cs="Times New Roman" w:eastAsia="Times New Roman" w:hAnsi="Times New Roman"/>
          <w:sz w:val="12"/>
          <w:szCs w:val="12"/>
          <w:color w:val="auto"/>
        </w:rPr>
        <w:t>), Clause 20.12 (</w:t>
      </w:r>
      <w:r>
        <w:rPr>
          <w:rFonts w:ascii="Times New Roman" w:cs="Times New Roman" w:eastAsia="Times New Roman" w:hAnsi="Times New Roman"/>
          <w:sz w:val="12"/>
          <w:szCs w:val="12"/>
          <w:i w:val="1"/>
          <w:iCs w:val="1"/>
          <w:color w:val="auto"/>
        </w:rPr>
        <w:t>Deduction of Tax</w:t>
      </w:r>
      <w:r>
        <w:rPr>
          <w:rFonts w:ascii="Times New Roman" w:cs="Times New Roman" w:eastAsia="Times New Roman" w:hAnsi="Times New Roman"/>
          <w:sz w:val="12"/>
          <w:szCs w:val="12"/>
          <w:color w:val="auto"/>
        </w:rPr>
        <w:t>), Clause 20.20 (</w:t>
      </w:r>
      <w:r>
        <w:rPr>
          <w:rFonts w:ascii="Times New Roman" w:cs="Times New Roman" w:eastAsia="Times New Roman" w:hAnsi="Times New Roman"/>
          <w:sz w:val="12"/>
          <w:szCs w:val="12"/>
          <w:i w:val="1"/>
          <w:iCs w:val="1"/>
          <w:color w:val="auto"/>
        </w:rPr>
        <w:t>Initial Charter</w:t>
      </w:r>
      <w:r>
        <w:rPr>
          <w:rFonts w:ascii="Times New Roman" w:cs="Times New Roman" w:eastAsia="Times New Roman" w:hAnsi="Times New Roman"/>
          <w:sz w:val="12"/>
          <w:szCs w:val="12"/>
          <w:color w:val="auto"/>
        </w:rPr>
        <w:t>), Clause 20.34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Clause 20.35 (</w:t>
      </w:r>
      <w:r>
        <w:rPr>
          <w:rFonts w:ascii="Times New Roman" w:cs="Times New Roman" w:eastAsia="Times New Roman" w:hAnsi="Times New Roman"/>
          <w:sz w:val="12"/>
          <w:szCs w:val="12"/>
          <w:i w:val="1"/>
          <w:iCs w:val="1"/>
          <w:color w:val="auto"/>
        </w:rPr>
        <w:t>Validity and Completeness of the Initial Charters</w:t>
      </w:r>
      <w:r>
        <w:rPr>
          <w:rFonts w:ascii="Times New Roman" w:cs="Times New Roman" w:eastAsia="Times New Roman" w:hAnsi="Times New Roman"/>
          <w:sz w:val="12"/>
          <w:szCs w:val="12"/>
          <w:color w:val="auto"/>
        </w:rPr>
        <w:t>), Clause 23.24 (</w:t>
      </w:r>
      <w:r>
        <w:rPr>
          <w:rFonts w:ascii="Times New Roman" w:cs="Times New Roman" w:eastAsia="Times New Roman" w:hAnsi="Times New Roman"/>
          <w:sz w:val="12"/>
          <w:szCs w:val="12"/>
          <w:i w:val="1"/>
          <w:iCs w:val="1"/>
          <w:color w:val="auto"/>
        </w:rPr>
        <w:t>Anti-Corruption</w:t>
      </w:r>
      <w:r>
        <w:rPr>
          <w:rFonts w:ascii="Times New Roman" w:cs="Times New Roman" w:eastAsia="Times New Roman" w:hAnsi="Times New Roman"/>
          <w:sz w:val="12"/>
          <w:szCs w:val="12"/>
          <w:color w:val="auto"/>
        </w:rPr>
        <w:t>) and Clause 20.38 (</w:t>
      </w:r>
      <w:r>
        <w:rPr>
          <w:rFonts w:ascii="Times New Roman" w:cs="Times New Roman" w:eastAsia="Times New Roman" w:hAnsi="Times New Roman"/>
          <w:sz w:val="12"/>
          <w:szCs w:val="12"/>
          <w:i w:val="1"/>
          <w:iCs w:val="1"/>
          <w:color w:val="auto"/>
        </w:rPr>
        <w:t>No Money Laundering</w:t>
      </w:r>
      <w:r>
        <w:rPr>
          <w:rFonts w:ascii="Times New Roman" w:cs="Times New Roman" w:eastAsia="Times New Roman" w:hAnsi="Times New Roman"/>
          <w:sz w:val="12"/>
          <w:szCs w:val="12"/>
          <w:color w:val="auto"/>
        </w:rPr>
        <w:t>) and any representation of any Transaction Obligor made in any other Finance Document that is expressed to be a "Repeating Representation" or is otherwise expressed to be repeated.</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Replacement Reference Rate</w:t>
      </w:r>
      <w:r>
        <w:rPr>
          <w:rFonts w:ascii="Times New Roman" w:cs="Times New Roman" w:eastAsia="Times New Roman" w:hAnsi="Times New Roman"/>
          <w:sz w:val="12"/>
          <w:szCs w:val="12"/>
          <w:color w:val="auto"/>
        </w:rPr>
        <w:t>" has the meaning given to this term in Clause 45.5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Representative</w:t>
      </w:r>
      <w:r>
        <w:rPr>
          <w:rFonts w:ascii="Times New Roman" w:cs="Times New Roman" w:eastAsia="Times New Roman" w:hAnsi="Times New Roman"/>
          <w:sz w:val="12"/>
          <w:szCs w:val="12"/>
          <w:color w:val="auto"/>
        </w:rPr>
        <w:t>" means any delegate, agent, manager, administrator, nominee, attorney, trustee or custodian.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jc w:val="both"/>
        <w:ind w:left="440" w:hanging="436"/>
        <w:spacing w:after="0" w:line="260" w:lineRule="auto"/>
        <w:tabs>
          <w:tab w:leader="none" w:pos="440" w:val="left"/>
        </w:tabs>
        <w:numPr>
          <w:ilvl w:val="0"/>
          <w:numId w:val="6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expropriation, confiscation, requisition (excluding a requisition for hire or use which does not involve a requisition for title) or acquisition of that Ship, whether for full consideration, a consideration less than its proper value, a nominal consideration or without any consideration, which is effected (whether </w:t>
      </w:r>
      <w:r>
        <w:rPr>
          <w:rFonts w:ascii="Times New Roman" w:cs="Times New Roman" w:eastAsia="Times New Roman" w:hAnsi="Times New Roman"/>
          <w:sz w:val="12"/>
          <w:szCs w:val="12"/>
          <w:i w:val="1"/>
          <w:iCs w:val="1"/>
          <w:color w:val="auto"/>
        </w:rPr>
        <w:t>de jure</w:t>
      </w:r>
      <w:r>
        <w:rPr>
          <w:rFonts w:ascii="Times New Roman" w:cs="Times New Roman" w:eastAsia="Times New Roman" w:hAnsi="Times New Roman"/>
          <w:sz w:val="12"/>
          <w:szCs w:val="12"/>
          <w:color w:val="auto"/>
        </w:rPr>
        <w:t xml:space="preserve"> or </w:t>
      </w:r>
      <w:r>
        <w:rPr>
          <w:rFonts w:ascii="Times New Roman" w:cs="Times New Roman" w:eastAsia="Times New Roman" w:hAnsi="Times New Roman"/>
          <w:sz w:val="12"/>
          <w:szCs w:val="12"/>
          <w:i w:val="1"/>
          <w:iCs w:val="1"/>
          <w:color w:val="auto"/>
        </w:rPr>
        <w:t>de facto</w:t>
      </w:r>
      <w:r>
        <w:rPr>
          <w:rFonts w:ascii="Times New Roman" w:cs="Times New Roman" w:eastAsia="Times New Roman" w:hAnsi="Times New Roman"/>
          <w:sz w:val="12"/>
          <w:szCs w:val="12"/>
          <w:color w:val="auto"/>
        </w:rPr>
        <w:t>) by any government or official authority or by any person or persons claiming to be or to represent a government or official authority unless it is within 45 days redelivered to the full control of the Borrower owning that Ship (or any other longer period as the Facility Agent may agree at the request of the relevant Borrower); and</w:t>
      </w:r>
    </w:p>
    <w:p>
      <w:pPr>
        <w:spacing w:after="0" w:line="122"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12" w:name="page413"/>
    <w:bookmarkEnd w:id="412"/>
    <w:p>
      <w:pPr>
        <w:ind w:left="440" w:hanging="436"/>
        <w:spacing w:after="0" w:line="279" w:lineRule="auto"/>
        <w:tabs>
          <w:tab w:leader="none" w:pos="440" w:val="left"/>
        </w:tabs>
        <w:numPr>
          <w:ilvl w:val="0"/>
          <w:numId w:val="6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capture or seizure of that Ship (including any hijacking or theft or act of piracy) by any person whatsoever (unless it is within 45 days redelivered to the full control of the Borrower owning that Ship (or any other longer period as the Facility Agent may agree at the request of the relevant Borrower)).</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Requisition Compensation</w:t>
      </w:r>
      <w:r>
        <w:rPr>
          <w:rFonts w:ascii="Times New Roman" w:cs="Times New Roman" w:eastAsia="Times New Roman" w:hAnsi="Times New Roman"/>
          <w:sz w:val="12"/>
          <w:szCs w:val="12"/>
          <w:color w:val="auto"/>
        </w:rPr>
        <w:t>" includes all compensation or other moneys payable to a Borrower by reason of any Requisition or any arrest or detention of a Ship in the exercise or purported exercise of any lien or claim.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Resolution Authority</w:t>
      </w:r>
      <w:r>
        <w:rPr>
          <w:rFonts w:ascii="Times New Roman" w:cs="Times New Roman" w:eastAsia="Times New Roman" w:hAnsi="Times New Roman"/>
          <w:sz w:val="12"/>
          <w:szCs w:val="12"/>
          <w:color w:val="auto"/>
        </w:rPr>
        <w:t>" means any body which has authority to exercise any Write-down and Conversion Powers.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Country</w:t>
      </w:r>
      <w:r>
        <w:rPr>
          <w:rFonts w:ascii="Times New Roman" w:cs="Times New Roman" w:eastAsia="Times New Roman" w:hAnsi="Times New Roman"/>
          <w:sz w:val="12"/>
          <w:szCs w:val="12"/>
          <w:color w:val="auto"/>
        </w:rPr>
        <w:t>" has the meaning given to that term in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Party</w:t>
      </w:r>
      <w:r>
        <w:rPr>
          <w:rFonts w:ascii="Times New Roman" w:cs="Times New Roman" w:eastAsia="Times New Roman" w:hAnsi="Times New Roman"/>
          <w:sz w:val="12"/>
          <w:szCs w:val="12"/>
          <w:color w:val="auto"/>
        </w:rPr>
        <w:t>" has the meaning given to that term in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RFR</w:t>
      </w:r>
      <w:r>
        <w:rPr>
          <w:rFonts w:ascii="Times New Roman" w:cs="Times New Roman" w:eastAsia="Times New Roman" w:hAnsi="Times New Roman"/>
          <w:sz w:val="12"/>
          <w:szCs w:val="12"/>
          <w:color w:val="auto"/>
        </w:rPr>
        <w:t>" means the rate specified as such in the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RFR Banking Day</w:t>
      </w:r>
      <w:r>
        <w:rPr>
          <w:rFonts w:ascii="Times New Roman" w:cs="Times New Roman" w:eastAsia="Times New Roman" w:hAnsi="Times New Roman"/>
          <w:sz w:val="12"/>
          <w:szCs w:val="12"/>
          <w:color w:val="auto"/>
        </w:rPr>
        <w:t>" means any day specified as such in the Risk Free Rate Terms.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Risk Free Rate Supplement</w:t>
      </w:r>
      <w:r>
        <w:rPr>
          <w:rFonts w:ascii="Times New Roman" w:cs="Times New Roman" w:eastAsia="Times New Roman" w:hAnsi="Times New Roman"/>
          <w:sz w:val="12"/>
          <w:szCs w:val="12"/>
          <w:color w:val="auto"/>
        </w:rPr>
        <w:t>" means a document which:</w:t>
      </w:r>
    </w:p>
    <w:p>
      <w:pPr>
        <w:spacing w:after="0" w:line="154" w:lineRule="exact"/>
        <w:rPr>
          <w:sz w:val="20"/>
          <w:szCs w:val="20"/>
          <w:color w:val="auto"/>
        </w:rPr>
      </w:pPr>
    </w:p>
    <w:p>
      <w:pPr>
        <w:ind w:left="440" w:hanging="436"/>
        <w:spacing w:after="0"/>
        <w:tabs>
          <w:tab w:leader="none" w:pos="440" w:val="left"/>
        </w:tabs>
        <w:numPr>
          <w:ilvl w:val="0"/>
          <w:numId w:val="6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agreed in writing by the Borrowers and the Facility Agent (acting on the instructions of the Majority Lenders);</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specifies the relevant terms which are expressed in this Agreement to be determined by reference to Risk Free Rate Terms;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been made available to the Borrowers and each Finance Party.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Risk Free Rate Terms</w:t>
      </w:r>
      <w:r>
        <w:rPr>
          <w:rFonts w:ascii="Times New Roman" w:cs="Times New Roman" w:eastAsia="Times New Roman" w:hAnsi="Times New Roman"/>
          <w:sz w:val="12"/>
          <w:szCs w:val="12"/>
          <w:color w:val="auto"/>
        </w:rPr>
        <w:t>" means the terms set out in Schedule 9 (</w:t>
      </w:r>
      <w:r>
        <w:rPr>
          <w:rFonts w:ascii="Times New Roman" w:cs="Times New Roman" w:eastAsia="Times New Roman" w:hAnsi="Times New Roman"/>
          <w:sz w:val="12"/>
          <w:szCs w:val="12"/>
          <w:i w:val="1"/>
          <w:iCs w:val="1"/>
          <w:color w:val="auto"/>
        </w:rPr>
        <w:t>Risk Free Rate Terms</w:t>
      </w:r>
      <w:r>
        <w:rPr>
          <w:rFonts w:ascii="Times New Roman" w:cs="Times New Roman" w:eastAsia="Times New Roman" w:hAnsi="Times New Roman"/>
          <w:sz w:val="12"/>
          <w:szCs w:val="12"/>
          <w:color w:val="auto"/>
        </w:rPr>
        <w:t>) or in any Risk Free Rate Supplement.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has the meaning given to that term in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Authority</w:t>
      </w:r>
      <w:r>
        <w:rPr>
          <w:rFonts w:ascii="Times New Roman" w:cs="Times New Roman" w:eastAsia="Times New Roman" w:hAnsi="Times New Roman"/>
          <w:sz w:val="12"/>
          <w:szCs w:val="12"/>
          <w:color w:val="auto"/>
        </w:rPr>
        <w:t>" has the meaning given to that term in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List</w:t>
      </w:r>
      <w:r>
        <w:rPr>
          <w:rFonts w:ascii="Times New Roman" w:cs="Times New Roman" w:eastAsia="Times New Roman" w:hAnsi="Times New Roman"/>
          <w:sz w:val="12"/>
          <w:szCs w:val="12"/>
          <w:color w:val="auto"/>
        </w:rPr>
        <w:t>" has the meaning given to that term in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Liabilities</w:t>
      </w:r>
      <w:r>
        <w:rPr>
          <w:rFonts w:ascii="Times New Roman" w:cs="Times New Roman" w:eastAsia="Times New Roman" w:hAnsi="Times New Roman"/>
          <w:sz w:val="12"/>
          <w:szCs w:val="12"/>
          <w:color w:val="auto"/>
        </w:rPr>
        <w:t>" means all present and future obligations and liabilities, (whether actual or contingent and whether owed jointly or severally or in any other capacity whatsoever) of each Transaction Obligor to any Secured Party under or in connection with each Finance Document as the same may be transferred or novated under or in connection with each Finance Document (including, without limitation, any overdraft balance in the Earnings Accounts) pursuant to the terms of the relevant Finance Document.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means each Finance Party from time to time party to this Agreement, a Receiver or any Delegate.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w:t>
      </w:r>
      <w:r>
        <w:rPr>
          <w:rFonts w:ascii="Times New Roman" w:cs="Times New Roman" w:eastAsia="Times New Roman" w:hAnsi="Times New Roman"/>
          <w:sz w:val="12"/>
          <w:szCs w:val="12"/>
          <w:color w:val="auto"/>
        </w:rPr>
        <w:t>" means a mortgage, pledge, lien, charge, assignment, hypothecation or security interest or any other agreement or arrangement having the effect of conferring security.</w:t>
      </w:r>
    </w:p>
    <w:p>
      <w:pPr>
        <w:spacing w:after="0" w:line="154"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07" w:right="299" w:bottom="1440" w:gutter="0" w:footer="0" w:header="0"/>
        </w:sectPr>
      </w:pPr>
    </w:p>
    <w:bookmarkStart w:id="413" w:name="page414"/>
    <w:bookmarkEnd w:id="413"/>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Assets</w:t>
      </w:r>
      <w:r>
        <w:rPr>
          <w:rFonts w:ascii="Times New Roman" w:cs="Times New Roman" w:eastAsia="Times New Roman" w:hAnsi="Times New Roman"/>
          <w:sz w:val="12"/>
          <w:szCs w:val="12"/>
          <w:color w:val="auto"/>
        </w:rPr>
        <w:t>" means all of the assets of the Transaction Obligors which from time to time are, or are expressed to be, the subject of the Transaction Security.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Cover Ratio</w:t>
      </w:r>
      <w:r>
        <w:rPr>
          <w:rFonts w:ascii="Times New Roman" w:cs="Times New Roman" w:eastAsia="Times New Roman" w:hAnsi="Times New Roman"/>
          <w:sz w:val="12"/>
          <w:szCs w:val="12"/>
          <w:color w:val="auto"/>
        </w:rPr>
        <w:t>" means, at any relevant time, the aggregate of:</w:t>
      </w:r>
    </w:p>
    <w:p>
      <w:pPr>
        <w:spacing w:after="0" w:line="154" w:lineRule="exact"/>
        <w:rPr>
          <w:sz w:val="20"/>
          <w:szCs w:val="20"/>
          <w:color w:val="auto"/>
        </w:rPr>
      </w:pPr>
    </w:p>
    <w:p>
      <w:pPr>
        <w:ind w:left="440" w:hanging="436"/>
        <w:spacing w:after="0"/>
        <w:tabs>
          <w:tab w:leader="none" w:pos="440" w:val="left"/>
        </w:tabs>
        <w:numPr>
          <w:ilvl w:val="0"/>
          <w:numId w:val="6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Market Value of the Ships then subject to a Mortgage; plus</w:t>
      </w:r>
    </w:p>
    <w:p>
      <w:pPr>
        <w:spacing w:after="0" w:line="148" w:lineRule="exact"/>
        <w:rPr>
          <w:rFonts w:ascii="Times New Roman" w:cs="Times New Roman" w:eastAsia="Times New Roman" w:hAnsi="Times New Roman"/>
          <w:sz w:val="12"/>
          <w:szCs w:val="12"/>
          <w:color w:val="auto"/>
        </w:rPr>
      </w:pPr>
    </w:p>
    <w:p>
      <w:pPr>
        <w:ind w:right="5620" w:firstLine="4"/>
        <w:spacing w:after="0" w:line="499" w:lineRule="auto"/>
        <w:tabs>
          <w:tab w:leader="none" w:pos="439" w:val="left"/>
        </w:tabs>
        <w:numPr>
          <w:ilvl w:val="0"/>
          <w:numId w:val="6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realisable value of additional Security previously provided under Clause 27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expressed as a percentage of the Loan, as at that time.</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Mortgage;</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General Assignment;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Charterparty Assignment;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Account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Subordinated Debt Security;</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(whether or not it creates Security) which is executed as security for the Secured Liabilities;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the Borrowers.</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Period</w:t>
      </w:r>
      <w:r>
        <w:rPr>
          <w:rFonts w:ascii="Times New Roman" w:cs="Times New Roman" w:eastAsia="Times New Roman" w:hAnsi="Times New Roman"/>
          <w:sz w:val="12"/>
          <w:szCs w:val="12"/>
          <w:color w:val="auto"/>
        </w:rPr>
        <w:t>" means the period starting on the date of this Agreement and ending on the date on which the Facility Agent is satisfied that there is no outstanding Commitment in force and that the Secured Liabilities have been irrevocably and unconditionally paid and discharged in full.</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Security Property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Security expressed to be granted in favour of the Security Agent as trustee for the Secured Parties and all proceeds of that Transaction Security;</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obligations expressed to be undertaken by a Transaction Obligor to pay amounts in relation to the Secured Liabilities to the Security Agent as trustee for the Secured Parties and secured by the Transaction Security together with all representations and warranties expressed to be given by a Transaction Obligor or any other person in favour of the Security Agent as trustee for the Secured Parties;</w:t>
      </w:r>
    </w:p>
    <w:p>
      <w:pPr>
        <w:spacing w:after="0" w:line="111"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interest in any turnover trust created under the Finance Documents;</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amounts or property, whether rights, entitlements, choses in action or otherwise, actual or contingent, which the Security Agent is required by the terms of the Finance Documents to hold as trustee on trust for the Secured Parties,</w:t>
      </w:r>
    </w:p>
    <w:p>
      <w:pPr>
        <w:spacing w:after="0" w:line="111"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14" w:name="page415"/>
    <w:bookmarkEnd w:id="414"/>
    <w:p>
      <w:pPr>
        <w:ind w:left="420"/>
        <w:spacing w:after="0"/>
        <w:rPr>
          <w:sz w:val="20"/>
          <w:szCs w:val="20"/>
          <w:color w:val="auto"/>
        </w:rPr>
      </w:pPr>
      <w:r>
        <w:rPr>
          <w:rFonts w:ascii="Times New Roman" w:cs="Times New Roman" w:eastAsia="Times New Roman" w:hAnsi="Times New Roman"/>
          <w:sz w:val="12"/>
          <w:szCs w:val="12"/>
          <w:color w:val="auto"/>
        </w:rPr>
        <w:t>except:</w:t>
      </w:r>
    </w:p>
    <w:p>
      <w:pPr>
        <w:spacing w:after="0" w:line="150" w:lineRule="exact"/>
        <w:rPr>
          <w:sz w:val="20"/>
          <w:szCs w:val="20"/>
          <w:color w:val="auto"/>
        </w:rPr>
      </w:pPr>
    </w:p>
    <w:p>
      <w:pPr>
        <w:ind w:left="860" w:hanging="424"/>
        <w:spacing w:after="0"/>
        <w:tabs>
          <w:tab w:leader="none" w:pos="860" w:val="left"/>
        </w:tabs>
        <w:numPr>
          <w:ilvl w:val="0"/>
          <w:numId w:val="6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rights intended for the sole benefit of the Security Agent; and</w:t>
      </w:r>
    </w:p>
    <w:p>
      <w:pPr>
        <w:spacing w:after="0" w:line="150" w:lineRule="exact"/>
        <w:rPr>
          <w:rFonts w:ascii="Times New Roman" w:cs="Times New Roman" w:eastAsia="Times New Roman" w:hAnsi="Times New Roman"/>
          <w:sz w:val="12"/>
          <w:szCs w:val="12"/>
          <w:color w:val="auto"/>
        </w:rPr>
      </w:pPr>
    </w:p>
    <w:p>
      <w:pPr>
        <w:ind w:right="1220" w:firstLine="436"/>
        <w:spacing w:after="0" w:line="497" w:lineRule="auto"/>
        <w:tabs>
          <w:tab w:leader="none" w:pos="864" w:val="left"/>
        </w:tabs>
        <w:numPr>
          <w:ilvl w:val="0"/>
          <w:numId w:val="6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moneys or other assets which the Security Agent has transferred to the Facility Agent or (being entitled to do so) has retained in accordance with the provisions of this Agreement. "</w:t>
      </w:r>
      <w:r>
        <w:rPr>
          <w:rFonts w:ascii="Times New Roman" w:cs="Times New Roman" w:eastAsia="Times New Roman" w:hAnsi="Times New Roman"/>
          <w:sz w:val="12"/>
          <w:szCs w:val="12"/>
          <w:b w:val="1"/>
          <w:bCs w:val="1"/>
          <w:color w:val="auto"/>
        </w:rPr>
        <w:t>Selection Notice</w:t>
      </w:r>
      <w:r>
        <w:rPr>
          <w:rFonts w:ascii="Times New Roman" w:cs="Times New Roman" w:eastAsia="Times New Roman" w:hAnsi="Times New Roman"/>
          <w:sz w:val="12"/>
          <w:szCs w:val="12"/>
          <w:color w:val="auto"/>
        </w:rPr>
        <w:t>" means a notice substantially in the form set out in Part B of Schedule 3 (</w:t>
      </w:r>
      <w:r>
        <w:rPr>
          <w:rFonts w:ascii="Times New Roman" w:cs="Times New Roman" w:eastAsia="Times New Roman" w:hAnsi="Times New Roman"/>
          <w:sz w:val="12"/>
          <w:szCs w:val="12"/>
          <w:i w:val="1"/>
          <w:iCs w:val="1"/>
          <w:color w:val="auto"/>
        </w:rPr>
        <w:t>Requests</w:t>
      </w:r>
      <w:r>
        <w:rPr>
          <w:rFonts w:ascii="Times New Roman" w:cs="Times New Roman" w:eastAsia="Times New Roman" w:hAnsi="Times New Roman"/>
          <w:sz w:val="12"/>
          <w:szCs w:val="12"/>
          <w:color w:val="auto"/>
        </w:rPr>
        <w:t>) given in accordance with Clause 10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w:t>
      </w: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Servicing Party</w:t>
      </w:r>
      <w:r>
        <w:rPr>
          <w:rFonts w:ascii="Times New Roman" w:cs="Times New Roman" w:eastAsia="Times New Roman" w:hAnsi="Times New Roman"/>
          <w:sz w:val="12"/>
          <w:szCs w:val="12"/>
          <w:color w:val="auto"/>
        </w:rPr>
        <w:t>" means the Facility Agent or the Security Agent.</w:t>
      </w:r>
    </w:p>
    <w:p>
      <w:pPr>
        <w:spacing w:after="0" w:line="15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Shareholder</w:t>
      </w:r>
      <w:r>
        <w:rPr>
          <w:rFonts w:ascii="Times New Roman" w:cs="Times New Roman" w:eastAsia="Times New Roman" w:hAnsi="Times New Roman"/>
          <w:sz w:val="12"/>
          <w:szCs w:val="12"/>
          <w:color w:val="auto"/>
        </w:rPr>
        <w:t>" means, in relation to i) each of Borrower A, Borrower B and Borrower C, Poseidon Containers Holdings LLC, of the Republic of Marshall Islands, ii) each of Borrower D, Borrower E, Borrower F, Borrower G, Borrower H, Borrower I, Borrower J, Borrower K, Borrower L, Borrower M and Borrower N, GSL Kalamata LLC, of the Republic of Liberia and iii) each of Borrower O, Borrower P, Borrower Q and Borrower R, the Guarantor.</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w:t>
      </w:r>
      <w:r>
        <w:rPr>
          <w:rFonts w:ascii="Times New Roman" w:cs="Times New Roman" w:eastAsia="Times New Roman" w:hAnsi="Times New Roman"/>
          <w:sz w:val="12"/>
          <w:szCs w:val="12"/>
          <w:color w:val="auto"/>
        </w:rPr>
        <w:t>" means Ship A, Ship B, Ship C, Ship D, Ship E, Ship F, Ship G, Ship H, Ship I, Ship J, Ship K, Ship L, Ship M, Ship N, Ship O, Ship P, Ship Q or Ship 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A</w:t>
      </w:r>
      <w:r>
        <w:rPr>
          <w:rFonts w:ascii="Times New Roman" w:cs="Times New Roman" w:eastAsia="Times New Roman" w:hAnsi="Times New Roman"/>
          <w:sz w:val="12"/>
          <w:szCs w:val="12"/>
          <w:color w:val="auto"/>
        </w:rPr>
        <w:t>" means m.v. "ORCA I",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B</w:t>
      </w:r>
      <w:r>
        <w:rPr>
          <w:rFonts w:ascii="Times New Roman" w:cs="Times New Roman" w:eastAsia="Times New Roman" w:hAnsi="Times New Roman"/>
          <w:sz w:val="12"/>
          <w:szCs w:val="12"/>
          <w:color w:val="auto"/>
        </w:rPr>
        <w:t>" means m.v. "DOLPHIN II",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C</w:t>
      </w:r>
      <w:r>
        <w:rPr>
          <w:rFonts w:ascii="Times New Roman" w:cs="Times New Roman" w:eastAsia="Times New Roman" w:hAnsi="Times New Roman"/>
          <w:sz w:val="12"/>
          <w:szCs w:val="12"/>
          <w:color w:val="auto"/>
        </w:rPr>
        <w:t>" means m.v. "ATHENA",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D</w:t>
      </w:r>
      <w:r>
        <w:rPr>
          <w:rFonts w:ascii="Times New Roman" w:cs="Times New Roman" w:eastAsia="Times New Roman" w:hAnsi="Times New Roman"/>
          <w:sz w:val="12"/>
          <w:szCs w:val="12"/>
          <w:color w:val="auto"/>
        </w:rPr>
        <w:t>" means m.v. "GSL SUSAN",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E</w:t>
      </w:r>
      <w:r>
        <w:rPr>
          <w:rFonts w:ascii="Times New Roman" w:cs="Times New Roman" w:eastAsia="Times New Roman" w:hAnsi="Times New Roman"/>
          <w:sz w:val="12"/>
          <w:szCs w:val="12"/>
          <w:color w:val="auto"/>
        </w:rPr>
        <w:t>" means m.v. "GSL ROSSI",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F</w:t>
      </w:r>
      <w:r>
        <w:rPr>
          <w:rFonts w:ascii="Times New Roman" w:cs="Times New Roman" w:eastAsia="Times New Roman" w:hAnsi="Times New Roman"/>
          <w:sz w:val="12"/>
          <w:szCs w:val="12"/>
          <w:color w:val="auto"/>
        </w:rPr>
        <w:t>" means m.v. "GSL ALICE",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G</w:t>
      </w:r>
      <w:r>
        <w:rPr>
          <w:rFonts w:ascii="Times New Roman" w:cs="Times New Roman" w:eastAsia="Times New Roman" w:hAnsi="Times New Roman"/>
          <w:sz w:val="12"/>
          <w:szCs w:val="12"/>
          <w:color w:val="auto"/>
        </w:rPr>
        <w:t>" means m.v. "GSL MELINA",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H</w:t>
      </w:r>
      <w:r>
        <w:rPr>
          <w:rFonts w:ascii="Times New Roman" w:cs="Times New Roman" w:eastAsia="Times New Roman" w:hAnsi="Times New Roman"/>
          <w:sz w:val="12"/>
          <w:szCs w:val="12"/>
          <w:color w:val="auto"/>
        </w:rPr>
        <w:t>" means m.v. "GSL ELEFTHERIA",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I</w:t>
      </w:r>
      <w:r>
        <w:rPr>
          <w:rFonts w:ascii="Times New Roman" w:cs="Times New Roman" w:eastAsia="Times New Roman" w:hAnsi="Times New Roman"/>
          <w:sz w:val="12"/>
          <w:szCs w:val="12"/>
          <w:color w:val="auto"/>
        </w:rPr>
        <w:t>" means m.v. "GSL MERCER",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J</w:t>
      </w:r>
      <w:r>
        <w:rPr>
          <w:rFonts w:ascii="Times New Roman" w:cs="Times New Roman" w:eastAsia="Times New Roman" w:hAnsi="Times New Roman"/>
          <w:sz w:val="12"/>
          <w:szCs w:val="12"/>
          <w:color w:val="auto"/>
        </w:rPr>
        <w:t>" means m.v. "GSL MAMITSA",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K</w:t>
      </w:r>
      <w:r>
        <w:rPr>
          <w:rFonts w:ascii="Times New Roman" w:cs="Times New Roman" w:eastAsia="Times New Roman" w:hAnsi="Times New Roman"/>
          <w:sz w:val="12"/>
          <w:szCs w:val="12"/>
          <w:color w:val="auto"/>
        </w:rPr>
        <w:t>" means m.v. "GSL LALO",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579" w:right="299" w:bottom="1440" w:gutter="0" w:footer="0" w:header="0"/>
        </w:sectPr>
      </w:pPr>
    </w:p>
    <w:bookmarkStart w:id="415" w:name="page416"/>
    <w:bookmarkEnd w:id="415"/>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L</w:t>
      </w:r>
      <w:r>
        <w:rPr>
          <w:rFonts w:ascii="Times New Roman" w:cs="Times New Roman" w:eastAsia="Times New Roman" w:hAnsi="Times New Roman"/>
          <w:sz w:val="12"/>
          <w:szCs w:val="12"/>
          <w:color w:val="auto"/>
        </w:rPr>
        <w:t>" means m.v. "GSL ELIZABETH",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M</w:t>
      </w:r>
      <w:r>
        <w:rPr>
          <w:rFonts w:ascii="Times New Roman" w:cs="Times New Roman" w:eastAsia="Times New Roman" w:hAnsi="Times New Roman"/>
          <w:sz w:val="12"/>
          <w:szCs w:val="12"/>
          <w:color w:val="auto"/>
        </w:rPr>
        <w:t>" means m.v. "GSL CHLOE",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N</w:t>
      </w:r>
      <w:r>
        <w:rPr>
          <w:rFonts w:ascii="Times New Roman" w:cs="Times New Roman" w:eastAsia="Times New Roman" w:hAnsi="Times New Roman"/>
          <w:sz w:val="12"/>
          <w:szCs w:val="12"/>
          <w:color w:val="auto"/>
        </w:rPr>
        <w:t>" means m.v. "GSL MAREN",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O</w:t>
      </w:r>
      <w:r>
        <w:rPr>
          <w:rFonts w:ascii="Times New Roman" w:cs="Times New Roman" w:eastAsia="Times New Roman" w:hAnsi="Times New Roman"/>
          <w:sz w:val="12"/>
          <w:szCs w:val="12"/>
          <w:color w:val="auto"/>
        </w:rPr>
        <w:t>" means m.v. "GSL ALEXANDRA",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P</w:t>
      </w:r>
      <w:r>
        <w:rPr>
          <w:rFonts w:ascii="Times New Roman" w:cs="Times New Roman" w:eastAsia="Times New Roman" w:hAnsi="Times New Roman"/>
          <w:sz w:val="12"/>
          <w:szCs w:val="12"/>
          <w:color w:val="auto"/>
        </w:rPr>
        <w:t>" means m.v. "GSL SOFIA",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Q</w:t>
      </w:r>
      <w:r>
        <w:rPr>
          <w:rFonts w:ascii="Times New Roman" w:cs="Times New Roman" w:eastAsia="Times New Roman" w:hAnsi="Times New Roman"/>
          <w:sz w:val="12"/>
          <w:szCs w:val="12"/>
          <w:color w:val="auto"/>
        </w:rPr>
        <w:t>" means m.v. "GSL EFFIE",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Ship R</w:t>
      </w:r>
      <w:r>
        <w:rPr>
          <w:rFonts w:ascii="Times New Roman" w:cs="Times New Roman" w:eastAsia="Times New Roman" w:hAnsi="Times New Roman"/>
          <w:sz w:val="12"/>
          <w:szCs w:val="12"/>
          <w:color w:val="auto"/>
        </w:rPr>
        <w:t>" means m.v. "GSL LYDIA", details of which are set out opposite its name in Schedule 7 (</w:t>
      </w:r>
      <w:r>
        <w:rPr>
          <w:rFonts w:ascii="Times New Roman" w:cs="Times New Roman" w:eastAsia="Times New Roman" w:hAnsi="Times New Roman"/>
          <w:sz w:val="12"/>
          <w:szCs w:val="12"/>
          <w:i w:val="1"/>
          <w:iCs w:val="1"/>
          <w:color w:val="auto"/>
        </w:rPr>
        <w:t>Details of the Ships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Specified Time</w:t>
      </w:r>
      <w:r>
        <w:rPr>
          <w:rFonts w:ascii="Times New Roman" w:cs="Times New Roman" w:eastAsia="Times New Roman" w:hAnsi="Times New Roman"/>
          <w:sz w:val="12"/>
          <w:szCs w:val="12"/>
          <w:color w:val="auto"/>
        </w:rPr>
        <w:t>" means a day or time determined in accordance with Schedule 8 (</w:t>
      </w:r>
      <w:r>
        <w:rPr>
          <w:rFonts w:ascii="Times New Roman" w:cs="Times New Roman" w:eastAsia="Times New Roman" w:hAnsi="Times New Roman"/>
          <w:sz w:val="12"/>
          <w:szCs w:val="12"/>
          <w:i w:val="1"/>
          <w:iCs w:val="1"/>
          <w:color w:val="auto"/>
        </w:rPr>
        <w:t>Timetables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Statement of Compliance</w:t>
      </w:r>
      <w:r>
        <w:rPr>
          <w:rFonts w:ascii="Times New Roman" w:cs="Times New Roman" w:eastAsia="Times New Roman" w:hAnsi="Times New Roman"/>
          <w:sz w:val="12"/>
          <w:szCs w:val="12"/>
          <w:color w:val="auto"/>
        </w:rPr>
        <w:t>" means a Statement of Compliance related to fuel oil consumption pursuant to regulations 6.6 and 6.7 of Annex VI.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Creditor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(other than the Borrowers);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person who becomes a Subordinated Creditor in accordance with this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Debt Security</w:t>
      </w:r>
      <w:r>
        <w:rPr>
          <w:rFonts w:ascii="Times New Roman" w:cs="Times New Roman" w:eastAsia="Times New Roman" w:hAnsi="Times New Roman"/>
          <w:sz w:val="12"/>
          <w:szCs w:val="12"/>
          <w:color w:val="auto"/>
        </w:rPr>
        <w:t>" means a Security over Subordinated Liabilities entered into or to be entered into by a Subordinated Creditor in favour of the Security Agent in an agreed form.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Finance Document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Subordinated Loan Agreement;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relating to or evidencing Subordinated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Liabilities</w:t>
      </w:r>
      <w:r>
        <w:rPr>
          <w:rFonts w:ascii="Times New Roman" w:cs="Times New Roman" w:eastAsia="Times New Roman" w:hAnsi="Times New Roman"/>
          <w:sz w:val="12"/>
          <w:szCs w:val="12"/>
          <w:color w:val="auto"/>
        </w:rPr>
        <w:t>" means all indebtedness owed or expressed to be owed by the Borrowers to a Subordinated Creditor whether under the Subordinated Finance Documents or otherwise.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Subordinated Loan Agreement</w:t>
      </w:r>
      <w:r>
        <w:rPr>
          <w:rFonts w:ascii="Times New Roman" w:cs="Times New Roman" w:eastAsia="Times New Roman" w:hAnsi="Times New Roman"/>
          <w:sz w:val="12"/>
          <w:szCs w:val="12"/>
          <w:color w:val="auto"/>
        </w:rPr>
        <w:t>" means any loan agreement made between (i) a Borrower and (ii) a Subordinated Creditor.</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Subordination Agreement</w:t>
      </w:r>
      <w:r>
        <w:rPr>
          <w:rFonts w:ascii="Times New Roman" w:cs="Times New Roman" w:eastAsia="Times New Roman" w:hAnsi="Times New Roman"/>
          <w:sz w:val="12"/>
          <w:szCs w:val="12"/>
          <w:color w:val="auto"/>
        </w:rPr>
        <w:t xml:space="preserve">" means a subordination agreement entered into or to be entered into by a Subordinated Creditor and the Security Agent, subordinating, </w:t>
      </w:r>
      <w:r>
        <w:rPr>
          <w:rFonts w:ascii="Times New Roman" w:cs="Times New Roman" w:eastAsia="Times New Roman" w:hAnsi="Times New Roman"/>
          <w:sz w:val="12"/>
          <w:szCs w:val="12"/>
          <w:i w:val="1"/>
          <w:iCs w:val="1"/>
          <w:color w:val="auto"/>
        </w:rPr>
        <w:t>inter alia</w:t>
      </w:r>
      <w:r>
        <w:rPr>
          <w:rFonts w:ascii="Times New Roman" w:cs="Times New Roman" w:eastAsia="Times New Roman" w:hAnsi="Times New Roman"/>
          <w:sz w:val="12"/>
          <w:szCs w:val="12"/>
          <w:color w:val="auto"/>
        </w:rPr>
        <w:t xml:space="preserve"> all the Subordinated Creditor's rights and interests under any Subordinated Loan Agreement to the rights and interests of the Finance Parties in agreed form.</w:t>
      </w:r>
    </w:p>
    <w:p>
      <w:pPr>
        <w:spacing w:after="0" w:line="107"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29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16" w:name="page417"/>
    <w:bookmarkEnd w:id="416"/>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Subsidiary</w:t>
      </w:r>
      <w:r>
        <w:rPr>
          <w:rFonts w:ascii="Times New Roman" w:cs="Times New Roman" w:eastAsia="Times New Roman" w:hAnsi="Times New Roman"/>
          <w:sz w:val="12"/>
          <w:szCs w:val="12"/>
          <w:color w:val="auto"/>
        </w:rPr>
        <w:t>" means a subsidiary undertaking within the meaning of section 1162 of the Companies Act 2006.</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w:t>
      </w:r>
      <w:r>
        <w:rPr>
          <w:rFonts w:ascii="Times New Roman" w:cs="Times New Roman" w:eastAsia="Times New Roman" w:hAnsi="Times New Roman"/>
          <w:sz w:val="12"/>
          <w:szCs w:val="12"/>
          <w:color w:val="auto"/>
        </w:rPr>
        <w:t>" means any tax, levy, impost, duty or other charge or withholding of a similar nature (including any penalty or interest payable in connection with any failure to pay or any delay in paying any of the same).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Credit</w:t>
      </w:r>
      <w:r>
        <w:rPr>
          <w:rFonts w:ascii="Times New Roman" w:cs="Times New Roman" w:eastAsia="Times New Roman" w:hAnsi="Times New Roman"/>
          <w:sz w:val="12"/>
          <w:szCs w:val="12"/>
          <w:color w:val="auto"/>
        </w:rPr>
        <w:t>" has the meaning given to it in Clause 13.1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Deduction</w:t>
      </w:r>
      <w:r>
        <w:rPr>
          <w:rFonts w:ascii="Times New Roman" w:cs="Times New Roman" w:eastAsia="Times New Roman" w:hAnsi="Times New Roman"/>
          <w:sz w:val="12"/>
          <w:szCs w:val="12"/>
          <w:color w:val="auto"/>
        </w:rPr>
        <w:t>" has the meaning given to it in Clause 13.1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Payment</w:t>
      </w:r>
      <w:r>
        <w:rPr>
          <w:rFonts w:ascii="Times New Roman" w:cs="Times New Roman" w:eastAsia="Times New Roman" w:hAnsi="Times New Roman"/>
          <w:sz w:val="12"/>
          <w:szCs w:val="12"/>
          <w:color w:val="auto"/>
        </w:rPr>
        <w:t>" has the meaning given to it in Clause 13.1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Technical Management Agreement</w:t>
      </w:r>
      <w:r>
        <w:rPr>
          <w:rFonts w:ascii="Times New Roman" w:cs="Times New Roman" w:eastAsia="Times New Roman" w:hAnsi="Times New Roman"/>
          <w:sz w:val="12"/>
          <w:szCs w:val="12"/>
          <w:color w:val="auto"/>
        </w:rPr>
        <w:t>" means the agreement entered into between a Borrower and the Approved Technical Manager regarding the technical management of the Ship owned by that Borrower.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Termination Date</w:t>
      </w:r>
      <w:r>
        <w:rPr>
          <w:rFonts w:ascii="Times New Roman" w:cs="Times New Roman" w:eastAsia="Times New Roman" w:hAnsi="Times New Roman"/>
          <w:sz w:val="12"/>
          <w:szCs w:val="12"/>
          <w:color w:val="auto"/>
        </w:rPr>
        <w:t>" means the date falling on the earlier of (i) the third anniversary of the Utilisation Date and (ii) 30 April 2028.</w:t>
      </w:r>
    </w:p>
    <w:p>
      <w:pPr>
        <w:spacing w:after="0" w:line="15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"Testing Date" </w:t>
      </w:r>
      <w:r>
        <w:rPr>
          <w:rFonts w:ascii="Times New Roman" w:cs="Times New Roman" w:eastAsia="Times New Roman" w:hAnsi="Times New Roman"/>
          <w:sz w:val="12"/>
          <w:szCs w:val="12"/>
          <w:color w:val="auto"/>
        </w:rPr>
        <w:t>means each date falling on the earlier of (a) the date on which the audited or, as the case may be, unaudited, financial statements referred to in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are actually delivered to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Facility Agent pursuant to the provisions of that Clause and (b) the latest date by which each such financial statements are required to be delivered to the Facility Agent pursuant to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has the meaning given to it in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Commitments</w:t>
      </w:r>
      <w:r>
        <w:rPr>
          <w:rFonts w:ascii="Times New Roman" w:cs="Times New Roman" w:eastAsia="Times New Roman" w:hAnsi="Times New Roman"/>
          <w:sz w:val="12"/>
          <w:szCs w:val="12"/>
          <w:color w:val="auto"/>
        </w:rPr>
        <w:t>" means the aggregate of the Commitments, being $85,000,000 at the date of this Agreement.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w:t>
      </w:r>
      <w:r>
        <w:rPr>
          <w:rFonts w:ascii="Times New Roman" w:cs="Times New Roman" w:eastAsia="Times New Roman" w:hAnsi="Times New Roman"/>
          <w:sz w:val="12"/>
          <w:szCs w:val="12"/>
          <w:color w:val="auto"/>
        </w:rPr>
        <w:t>" means, in relation to a Ship:</w:t>
      </w:r>
    </w:p>
    <w:p>
      <w:pPr>
        <w:spacing w:after="0" w:line="154" w:lineRule="exact"/>
        <w:rPr>
          <w:sz w:val="20"/>
          <w:szCs w:val="20"/>
          <w:color w:val="auto"/>
        </w:rPr>
      </w:pPr>
    </w:p>
    <w:p>
      <w:pPr>
        <w:ind w:left="440" w:hanging="436"/>
        <w:spacing w:after="0"/>
        <w:tabs>
          <w:tab w:leader="none" w:pos="440" w:val="left"/>
        </w:tabs>
        <w:numPr>
          <w:ilvl w:val="0"/>
          <w:numId w:val="6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actual, constructive, compromised, agreed or arranged total loss of that Ship; or</w:t>
      </w:r>
    </w:p>
    <w:p>
      <w:pPr>
        <w:spacing w:after="0" w:line="150" w:lineRule="exact"/>
        <w:rPr>
          <w:rFonts w:ascii="Times New Roman" w:cs="Times New Roman" w:eastAsia="Times New Roman" w:hAnsi="Times New Roman"/>
          <w:sz w:val="12"/>
          <w:szCs w:val="12"/>
          <w:color w:val="auto"/>
        </w:rPr>
      </w:pPr>
    </w:p>
    <w:p>
      <w:pPr>
        <w:ind w:left="440" w:hanging="436"/>
        <w:spacing w:after="0" w:line="279" w:lineRule="auto"/>
        <w:tabs>
          <w:tab w:leader="none" w:pos="440" w:val="left"/>
        </w:tabs>
        <w:numPr>
          <w:ilvl w:val="0"/>
          <w:numId w:val="6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that Ship unless that Ship is returned to the full control of the relevant Borrower within 45 days of such Requisition (or such longer period as may be requested by the Borrowers and agreed to by the Facility Agent).</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Total Loss Date</w:t>
      </w:r>
      <w:r>
        <w:rPr>
          <w:rFonts w:ascii="Times New Roman" w:cs="Times New Roman" w:eastAsia="Times New Roman" w:hAnsi="Times New Roman"/>
          <w:sz w:val="12"/>
          <w:szCs w:val="12"/>
          <w:color w:val="auto"/>
        </w:rPr>
        <w:t>" means, in relation to the Total Loss of a Ship:</w:t>
      </w:r>
    </w:p>
    <w:p>
      <w:pPr>
        <w:spacing w:after="0" w:line="154" w:lineRule="exact"/>
        <w:rPr>
          <w:sz w:val="20"/>
          <w:szCs w:val="20"/>
          <w:color w:val="auto"/>
        </w:rPr>
      </w:pPr>
    </w:p>
    <w:p>
      <w:pPr>
        <w:ind w:left="440" w:hanging="436"/>
        <w:spacing w:after="0"/>
        <w:tabs>
          <w:tab w:leader="none" w:pos="440" w:val="left"/>
        </w:tabs>
        <w:numPr>
          <w:ilvl w:val="0"/>
          <w:numId w:val="6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 actual loss of that Ship, the date on which it occurred or, if that is unknown, the date when that Ship was last heard of;</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constructive, compromised, agreed or arranged total loss of that Ship, the earlier of:</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 notice of abandonment is given (or deemed or agreed to be given) to the insurers; and</w:t>
      </w:r>
    </w:p>
    <w:p>
      <w:pPr>
        <w:spacing w:after="0" w:line="150" w:lineRule="exact"/>
        <w:rPr>
          <w:rFonts w:ascii="Times New Roman" w:cs="Times New Roman" w:eastAsia="Times New Roman" w:hAnsi="Times New Roman"/>
          <w:sz w:val="12"/>
          <w:szCs w:val="12"/>
          <w:color w:val="auto"/>
        </w:rPr>
      </w:pPr>
    </w:p>
    <w:p>
      <w:pPr>
        <w:ind w:left="860" w:hanging="424"/>
        <w:spacing w:after="0"/>
        <w:tabs>
          <w:tab w:leader="none" w:pos="860" w:val="left"/>
        </w:tabs>
        <w:numPr>
          <w:ilvl w:val="1"/>
          <w:numId w:val="6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any compromise, arrangement or agreement made by or on behalf of the relevant Borrower with that Ship's insurers in which the insurers agree to treat that Ship as a total loss; and</w:t>
      </w:r>
    </w:p>
    <w:p>
      <w:pPr>
        <w:spacing w:after="0" w:line="150"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30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1" w:right="299" w:bottom="1440" w:gutter="0" w:footer="0" w:header="0"/>
        </w:sectPr>
      </w:pPr>
    </w:p>
    <w:bookmarkStart w:id="417" w:name="page418"/>
    <w:bookmarkEnd w:id="417"/>
    <w:p>
      <w:pPr>
        <w:ind w:right="2440" w:firstLine="4"/>
        <w:spacing w:after="0" w:line="500" w:lineRule="auto"/>
        <w:tabs>
          <w:tab w:leader="none" w:pos="432" w:val="left"/>
        </w:tabs>
        <w:numPr>
          <w:ilvl w:val="0"/>
          <w:numId w:val="6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other type of Total Loss, the date (or the most likely date) on which it appears to the Facility Agent that the event constituting the total loss occurred. "</w:t>
      </w:r>
      <w:r>
        <w:rPr>
          <w:rFonts w:ascii="Times New Roman" w:cs="Times New Roman" w:eastAsia="Times New Roman" w:hAnsi="Times New Roman"/>
          <w:sz w:val="12"/>
          <w:szCs w:val="12"/>
          <w:b w:val="1"/>
          <w:bCs w:val="1"/>
          <w:color w:val="auto"/>
        </w:rPr>
        <w:t>Transaction Document</w:t>
      </w:r>
      <w:r>
        <w:rPr>
          <w:rFonts w:ascii="Times New Roman" w:cs="Times New Roman" w:eastAsia="Times New Roman" w:hAnsi="Times New Roman"/>
          <w:sz w:val="12"/>
          <w:szCs w:val="12"/>
          <w:color w:val="auto"/>
        </w:rPr>
        <w:t>" means:</w:t>
      </w:r>
    </w:p>
    <w:p>
      <w:pPr>
        <w:spacing w:after="0" w:line="1" w:lineRule="exact"/>
        <w:rPr>
          <w:sz w:val="20"/>
          <w:szCs w:val="20"/>
          <w:color w:val="auto"/>
        </w:rPr>
      </w:pPr>
    </w:p>
    <w:p>
      <w:pPr>
        <w:ind w:left="440" w:hanging="436"/>
        <w:spacing w:after="0"/>
        <w:tabs>
          <w:tab w:leader="none" w:pos="440" w:val="left"/>
        </w:tabs>
        <w:numPr>
          <w:ilvl w:val="0"/>
          <w:numId w:val="6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Subordinated Finance Document;</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Assignable Charter; or</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document designated as such by the Facility Agent and a Borrower.</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Obligor</w:t>
      </w:r>
      <w:r>
        <w:rPr>
          <w:rFonts w:ascii="Times New Roman" w:cs="Times New Roman" w:eastAsia="Times New Roman" w:hAnsi="Times New Roman"/>
          <w:sz w:val="12"/>
          <w:szCs w:val="12"/>
          <w:color w:val="auto"/>
        </w:rPr>
        <w:t>" means an Obligor or any other member of the Group who executes a Transaction Document.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Transaction Security</w:t>
      </w:r>
      <w:r>
        <w:rPr>
          <w:rFonts w:ascii="Times New Roman" w:cs="Times New Roman" w:eastAsia="Times New Roman" w:hAnsi="Times New Roman"/>
          <w:sz w:val="12"/>
          <w:szCs w:val="12"/>
          <w:color w:val="auto"/>
        </w:rPr>
        <w:t>" means the Security created or evidenced or expressed to be created or evidenced under the Security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Certificate</w:t>
      </w:r>
      <w:r>
        <w:rPr>
          <w:rFonts w:ascii="Times New Roman" w:cs="Times New Roman" w:eastAsia="Times New Roman" w:hAnsi="Times New Roman"/>
          <w:sz w:val="12"/>
          <w:szCs w:val="12"/>
          <w:color w:val="auto"/>
        </w:rPr>
        <w:t>" means a certificate substantially in the form set out in Schedule 4 (</w:t>
      </w:r>
      <w:r>
        <w:rPr>
          <w:rFonts w:ascii="Times New Roman" w:cs="Times New Roman" w:eastAsia="Times New Roman" w:hAnsi="Times New Roman"/>
          <w:sz w:val="12"/>
          <w:szCs w:val="12"/>
          <w:i w:val="1"/>
          <w:iCs w:val="1"/>
          <w:color w:val="auto"/>
        </w:rPr>
        <w:t>Form of Transfer Certificate</w:t>
      </w:r>
      <w:r>
        <w:rPr>
          <w:rFonts w:ascii="Times New Roman" w:cs="Times New Roman" w:eastAsia="Times New Roman" w:hAnsi="Times New Roman"/>
          <w:sz w:val="12"/>
          <w:szCs w:val="12"/>
          <w:color w:val="auto"/>
        </w:rPr>
        <w:t>) or any other form agreed between the Facility Agent and the Borrowers.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Transfer Date</w:t>
      </w:r>
      <w:r>
        <w:rPr>
          <w:rFonts w:ascii="Times New Roman" w:cs="Times New Roman" w:eastAsia="Times New Roman" w:hAnsi="Times New Roman"/>
          <w:sz w:val="12"/>
          <w:szCs w:val="12"/>
          <w:color w:val="auto"/>
        </w:rPr>
        <w:t>" means, in relation to an assignment or a transfer, the later of:</w:t>
      </w:r>
    </w:p>
    <w:p>
      <w:pPr>
        <w:spacing w:after="0" w:line="154" w:lineRule="exact"/>
        <w:rPr>
          <w:sz w:val="20"/>
          <w:szCs w:val="20"/>
          <w:color w:val="auto"/>
        </w:rPr>
      </w:pPr>
    </w:p>
    <w:p>
      <w:pPr>
        <w:ind w:left="440" w:hanging="436"/>
        <w:spacing w:after="0"/>
        <w:tabs>
          <w:tab w:leader="none" w:pos="440" w:val="left"/>
        </w:tabs>
        <w:numPr>
          <w:ilvl w:val="0"/>
          <w:numId w:val="6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specified in the relevant Assignment Agreement or Transfer Certificate; and</w:t>
      </w:r>
    </w:p>
    <w:p>
      <w:pPr>
        <w:spacing w:after="0" w:line="150" w:lineRule="exact"/>
        <w:rPr>
          <w:rFonts w:ascii="Times New Roman" w:cs="Times New Roman" w:eastAsia="Times New Roman" w:hAnsi="Times New Roman"/>
          <w:sz w:val="12"/>
          <w:szCs w:val="12"/>
          <w:color w:val="auto"/>
        </w:rPr>
      </w:pPr>
    </w:p>
    <w:p>
      <w:pPr>
        <w:ind w:left="440" w:hanging="436"/>
        <w:spacing w:after="0"/>
        <w:tabs>
          <w:tab w:leader="none" w:pos="440" w:val="left"/>
        </w:tabs>
        <w:numPr>
          <w:ilvl w:val="0"/>
          <w:numId w:val="6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Facility Agent executes the relevant Assignment Agreement or Transfer Certificate.</w:t>
      </w:r>
    </w:p>
    <w:p>
      <w:pPr>
        <w:spacing w:after="0" w:line="14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UK Bail-In Legislation</w:t>
      </w:r>
      <w:r>
        <w:rPr>
          <w:rFonts w:ascii="Times New Roman" w:cs="Times New Roman" w:eastAsia="Times New Roman" w:hAnsi="Times New Roman"/>
          <w:sz w:val="12"/>
          <w:szCs w:val="12"/>
          <w:color w:val="auto"/>
        </w:rPr>
        <w:t>" means Part 1 of the United Kingdom Banking Act 2009 and any other law or regulation applicable in the United Kingdom relating to the resolution of unsound or failing banks, investment firms or other financial institutes or their affiliates (otherwise than through liquidation, administration or other insolvency proceedings).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UK Establishment</w:t>
      </w:r>
      <w:r>
        <w:rPr>
          <w:rFonts w:ascii="Times New Roman" w:cs="Times New Roman" w:eastAsia="Times New Roman" w:hAnsi="Times New Roman"/>
          <w:sz w:val="12"/>
          <w:szCs w:val="12"/>
          <w:color w:val="auto"/>
        </w:rPr>
        <w:t>" means a UK establishment as defined in the Overseas Regulations.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Unpaid Sum</w:t>
      </w:r>
      <w:r>
        <w:rPr>
          <w:rFonts w:ascii="Times New Roman" w:cs="Times New Roman" w:eastAsia="Times New Roman" w:hAnsi="Times New Roman"/>
          <w:sz w:val="12"/>
          <w:szCs w:val="12"/>
          <w:color w:val="auto"/>
        </w:rPr>
        <w:t>" means any sum due and payable but unpaid by a Transaction Obligor under the Finance Documents.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w:t>
      </w:r>
      <w:r>
        <w:rPr>
          <w:rFonts w:ascii="Times New Roman" w:cs="Times New Roman" w:eastAsia="Times New Roman" w:hAnsi="Times New Roman"/>
          <w:sz w:val="12"/>
          <w:szCs w:val="12"/>
          <w:color w:val="auto"/>
        </w:rPr>
        <w:t>" means the United States of America.</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US Tax Obligor</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440" w:hanging="436"/>
        <w:spacing w:after="0"/>
        <w:tabs>
          <w:tab w:leader="none" w:pos="440" w:val="left"/>
        </w:tabs>
        <w:numPr>
          <w:ilvl w:val="0"/>
          <w:numId w:val="6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which is resident for tax purposes in the US; or</w:t>
      </w:r>
    </w:p>
    <w:p>
      <w:pPr>
        <w:spacing w:after="0" w:line="150" w:lineRule="exact"/>
        <w:rPr>
          <w:rFonts w:ascii="Times New Roman" w:cs="Times New Roman" w:eastAsia="Times New Roman" w:hAnsi="Times New Roman"/>
          <w:sz w:val="12"/>
          <w:szCs w:val="12"/>
          <w:color w:val="auto"/>
        </w:rPr>
      </w:pPr>
    </w:p>
    <w:p>
      <w:pPr>
        <w:ind w:right="3760" w:firstLine="4"/>
        <w:spacing w:after="0" w:line="497" w:lineRule="auto"/>
        <w:tabs>
          <w:tab w:leader="none" w:pos="432" w:val="left"/>
        </w:tabs>
        <w:numPr>
          <w:ilvl w:val="0"/>
          <w:numId w:val="6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some or all of whose payments under the Finance Documents are from sources within the US for US federal income tax purposes. "</w:t>
      </w:r>
      <w:r>
        <w:rPr>
          <w:rFonts w:ascii="Times New Roman" w:cs="Times New Roman" w:eastAsia="Times New Roman" w:hAnsi="Times New Roman"/>
          <w:sz w:val="12"/>
          <w:szCs w:val="12"/>
          <w:b w:val="1"/>
          <w:bCs w:val="1"/>
          <w:color w:val="auto"/>
        </w:rPr>
        <w:t>Utilisation</w:t>
      </w:r>
      <w:r>
        <w:rPr>
          <w:rFonts w:ascii="Times New Roman" w:cs="Times New Roman" w:eastAsia="Times New Roman" w:hAnsi="Times New Roman"/>
          <w:sz w:val="12"/>
          <w:szCs w:val="12"/>
          <w:color w:val="auto"/>
        </w:rPr>
        <w:t>" means a utilisation of any part of the Facility.</w:t>
      </w:r>
    </w:p>
    <w:p>
      <w:pPr>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 Date</w:t>
      </w:r>
      <w:r>
        <w:rPr>
          <w:rFonts w:ascii="Times New Roman" w:cs="Times New Roman" w:eastAsia="Times New Roman" w:hAnsi="Times New Roman"/>
          <w:sz w:val="12"/>
          <w:szCs w:val="12"/>
          <w:color w:val="auto"/>
        </w:rPr>
        <w:t>" means the date of a Utilisation, being the date on which the Loan is to be advanced.</w:t>
      </w:r>
    </w:p>
    <w:p>
      <w:pPr>
        <w:spacing w:after="0" w:line="154" w:lineRule="exact"/>
        <w:rPr>
          <w:sz w:val="20"/>
          <w:szCs w:val="20"/>
          <w:color w:val="auto"/>
        </w:rPr>
      </w:pPr>
    </w:p>
    <w:p>
      <w:pPr>
        <w:jc w:val="both"/>
        <w:ind w:left="5160"/>
        <w:spacing w:after="0"/>
        <w:tabs>
          <w:tab w:leader="none" w:pos="9760"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10795</wp:posOffset>
            </wp:positionV>
            <wp:extent cx="717804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0"/>
          </w:cols>
          <w:pgMar w:left="720" w:top="435" w:right="299" w:bottom="1440" w:gutter="0" w:footer="0" w:header="0"/>
        </w:sectPr>
      </w:pPr>
    </w:p>
    <w:bookmarkStart w:id="418" w:name="page419"/>
    <w:bookmarkEnd w:id="418"/>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Utilisation Request</w:t>
      </w:r>
      <w:r>
        <w:rPr>
          <w:rFonts w:ascii="Times New Roman" w:cs="Times New Roman" w:eastAsia="Times New Roman" w:hAnsi="Times New Roman"/>
          <w:sz w:val="12"/>
          <w:szCs w:val="12"/>
          <w:color w:val="auto"/>
        </w:rPr>
        <w:t>" means a notice substantially in the form set out in Part A of Schedule 3 (</w:t>
      </w:r>
      <w:r>
        <w:rPr>
          <w:rFonts w:ascii="Times New Roman" w:cs="Times New Roman" w:eastAsia="Times New Roman" w:hAnsi="Times New Roman"/>
          <w:sz w:val="12"/>
          <w:szCs w:val="12"/>
          <w:i w:val="1"/>
          <w:iCs w:val="1"/>
          <w:color w:val="auto"/>
        </w:rPr>
        <w:t>Requests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VAT</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6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value added tax imposed by the Value Added Tax Act 1994;</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6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tax imposed in compliance with the Council Directive of 28 November 2006 on the common system of value added tax (EC Directive 2006/112); and</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0"/>
          <w:numId w:val="6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tax of a similar nature, whether imposed in the United Kingdom or a member state of the European Union in substitution for, or levied in addition to, such tax referred to in paragraph (a) or (b) above, or imposed elsewhere.</w:t>
      </w:r>
    </w:p>
    <w:p>
      <w:pPr>
        <w:spacing w:after="0" w:line="10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Write-down and Conversion Powers</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6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Bail-In Legislation described in the EU Bail-In Legislation Schedule from time to time, the powers described as such in relation to that Bail-In Legislation in the EU Bail-In Legislation Schedule;</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0" w:lineRule="auto"/>
        <w:tabs>
          <w:tab w:leader="none" w:pos="868" w:val="left"/>
        </w:tabs>
        <w:numPr>
          <w:ilvl w:val="0"/>
          <w:numId w:val="6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22"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6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other applicable Bail-In Legislation:</w:t>
      </w:r>
    </w:p>
    <w:p>
      <w:pPr>
        <w:spacing w:after="0" w:line="150" w:lineRule="exact"/>
        <w:rPr>
          <w:rFonts w:ascii="Times New Roman" w:cs="Times New Roman" w:eastAsia="Times New Roman" w:hAnsi="Times New Roman"/>
          <w:sz w:val="12"/>
          <w:szCs w:val="12"/>
          <w:color w:val="auto"/>
        </w:rPr>
      </w:pPr>
    </w:p>
    <w:p>
      <w:pPr>
        <w:jc w:val="both"/>
        <w:ind w:left="1288" w:hanging="424"/>
        <w:spacing w:after="0" w:line="260" w:lineRule="auto"/>
        <w:tabs>
          <w:tab w:leader="none" w:pos="1288" w:val="left"/>
        </w:tabs>
        <w:numPr>
          <w:ilvl w:val="1"/>
          <w:numId w:val="6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22"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1"/>
          <w:numId w:val="6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similar or analogous powers under that Bail-In Legislation.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1"/>
          <w:szCs w:val="11"/>
          <w:b w:val="1"/>
          <w:bCs w:val="1"/>
          <w:color w:val="auto"/>
        </w:rPr>
        <w:t>Construction</w:t>
      </w:r>
    </w:p>
    <w:p>
      <w:pPr>
        <w:spacing w:after="0" w:line="154" w:lineRule="exact"/>
        <w:rPr>
          <w:sz w:val="20"/>
          <w:szCs w:val="20"/>
          <w:color w:val="auto"/>
        </w:rPr>
      </w:pPr>
    </w:p>
    <w:p>
      <w:pPr>
        <w:ind w:left="428" w:hanging="428"/>
        <w:spacing w:after="0"/>
        <w:tabs>
          <w:tab w:leader="none" w:pos="428" w:val="left"/>
        </w:tabs>
        <w:numPr>
          <w:ilvl w:val="0"/>
          <w:numId w:val="6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a reference in this Agreement to:</w:t>
      </w:r>
    </w:p>
    <w:p>
      <w:pPr>
        <w:spacing w:after="0" w:line="146" w:lineRule="exact"/>
        <w:rPr>
          <w:sz w:val="20"/>
          <w:szCs w:val="20"/>
          <w:color w:val="auto"/>
        </w:rPr>
      </w:pPr>
    </w:p>
    <w:p>
      <w:pPr>
        <w:ind w:left="848" w:right="20" w:hanging="425"/>
        <w:spacing w:after="0" w:line="286" w:lineRule="auto"/>
        <w:tabs>
          <w:tab w:leader="none" w:pos="848" w:val="left"/>
        </w:tabs>
        <w:numPr>
          <w:ilvl w:val="0"/>
          <w:numId w:val="6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Account Bank</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Facility Agent</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Finance Party</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Obligor</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Secured Party</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Security Agent</w:t>
      </w:r>
      <w:r>
        <w:rPr>
          <w:rFonts w:ascii="Times New Roman" w:cs="Times New Roman" w:eastAsia="Times New Roman" w:hAnsi="Times New Roman"/>
          <w:sz w:val="12"/>
          <w:szCs w:val="12"/>
          <w:color w:val="auto"/>
        </w:rPr>
        <w:t>", any "</w:t>
      </w:r>
      <w:r>
        <w:rPr>
          <w:rFonts w:ascii="Times New Roman" w:cs="Times New Roman" w:eastAsia="Times New Roman" w:hAnsi="Times New Roman"/>
          <w:sz w:val="12"/>
          <w:szCs w:val="12"/>
          <w:b w:val="1"/>
          <w:bCs w:val="1"/>
          <w:color w:val="auto"/>
        </w:rPr>
        <w:t>Transaction Obligor</w:t>
      </w:r>
      <w:r>
        <w:rPr>
          <w:rFonts w:ascii="Times New Roman" w:cs="Times New Roman" w:eastAsia="Times New Roman" w:hAnsi="Times New Roman"/>
          <w:sz w:val="12"/>
          <w:szCs w:val="12"/>
          <w:color w:val="auto"/>
        </w:rPr>
        <w:t>" or any other person shall be construed so as to include its successors in title, permitted assigns and permitted transferees to, or of, its rights and/or obligations under the Finance Documents;</w:t>
      </w:r>
    </w:p>
    <w:p>
      <w:pPr>
        <w:spacing w:after="0" w:line="107"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19" w:name="page420"/>
    <w:bookmarkEnd w:id="419"/>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assets</w:t>
      </w:r>
      <w:r>
        <w:rPr>
          <w:rFonts w:ascii="Times New Roman" w:cs="Times New Roman" w:eastAsia="Times New Roman" w:hAnsi="Times New Roman"/>
          <w:sz w:val="12"/>
          <w:szCs w:val="12"/>
          <w:color w:val="auto"/>
        </w:rPr>
        <w:t>" includes present and future properties, revenues and rights of every description;</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liability which is "</w:t>
      </w:r>
      <w:r>
        <w:rPr>
          <w:rFonts w:ascii="Times New Roman" w:cs="Times New Roman" w:eastAsia="Times New Roman" w:hAnsi="Times New Roman"/>
          <w:sz w:val="12"/>
          <w:szCs w:val="12"/>
          <w:b w:val="1"/>
          <w:bCs w:val="1"/>
          <w:color w:val="auto"/>
        </w:rPr>
        <w:t>contingent</w:t>
      </w:r>
      <w:r>
        <w:rPr>
          <w:rFonts w:ascii="Times New Roman" w:cs="Times New Roman" w:eastAsia="Times New Roman" w:hAnsi="Times New Roman"/>
          <w:sz w:val="12"/>
          <w:szCs w:val="12"/>
          <w:color w:val="auto"/>
        </w:rPr>
        <w:t>" means a liability which is not certain to arise and/or the amount of which remains unascertained;</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document</w:t>
      </w:r>
      <w:r>
        <w:rPr>
          <w:rFonts w:ascii="Times New Roman" w:cs="Times New Roman" w:eastAsia="Times New Roman" w:hAnsi="Times New Roman"/>
          <w:sz w:val="12"/>
          <w:szCs w:val="12"/>
          <w:color w:val="auto"/>
        </w:rPr>
        <w:t>" includes a deed and also a letter, fax, email or telex;</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expense</w:t>
      </w:r>
      <w:r>
        <w:rPr>
          <w:rFonts w:ascii="Times New Roman" w:cs="Times New Roman" w:eastAsia="Times New Roman" w:hAnsi="Times New Roman"/>
          <w:sz w:val="12"/>
          <w:szCs w:val="12"/>
          <w:color w:val="auto"/>
        </w:rPr>
        <w:t>" means any kind of cost, charge or expense (including all legal costs, charges and expenses) and any applicable Tax including VAT;</w:t>
      </w:r>
    </w:p>
    <w:p>
      <w:pPr>
        <w:spacing w:after="0" w:line="150" w:lineRule="exact"/>
        <w:rPr>
          <w:rFonts w:ascii="Times New Roman" w:cs="Times New Roman" w:eastAsia="Times New Roman" w:hAnsi="Times New Roman"/>
          <w:sz w:val="12"/>
          <w:szCs w:val="12"/>
          <w:color w:val="auto"/>
        </w:rPr>
      </w:pPr>
    </w:p>
    <w:p>
      <w:pPr>
        <w:jc w:val="both"/>
        <w:ind w:left="425" w:hanging="425"/>
        <w:spacing w:after="0" w:line="268" w:lineRule="auto"/>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Lender's "</w:t>
      </w:r>
      <w:r>
        <w:rPr>
          <w:rFonts w:ascii="Times New Roman" w:cs="Times New Roman" w:eastAsia="Times New Roman" w:hAnsi="Times New Roman"/>
          <w:sz w:val="12"/>
          <w:szCs w:val="12"/>
          <w:b w:val="1"/>
          <w:bCs w:val="1"/>
          <w:color w:val="auto"/>
        </w:rPr>
        <w:t>cost of funds</w:t>
      </w:r>
      <w:r>
        <w:rPr>
          <w:rFonts w:ascii="Times New Roman" w:cs="Times New Roman" w:eastAsia="Times New Roman" w:hAnsi="Times New Roman"/>
          <w:sz w:val="12"/>
          <w:szCs w:val="12"/>
          <w:color w:val="auto"/>
        </w:rPr>
        <w:t>" in relation to its participation in the Loan or any part of the Loan is a reference to the average cost (determined either on an actual or a notional basis) which that Lender would incur if it were to fund, from whoever source(s) it may reasonably select, an amount equal to the amount of that participation in the Loan or that part of the Loan for a period equal in length to the Interest Period of the Loan or that part of the Loan;</w:t>
      </w:r>
    </w:p>
    <w:p>
      <w:pPr>
        <w:spacing w:after="0" w:line="113"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Finance Document</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Security Document</w:t>
      </w:r>
      <w:r>
        <w:rPr>
          <w:rFonts w:ascii="Times New Roman" w:cs="Times New Roman" w:eastAsia="Times New Roman" w:hAnsi="Times New Roman"/>
          <w:sz w:val="12"/>
          <w:szCs w:val="12"/>
          <w:color w:val="auto"/>
        </w:rPr>
        <w:t>" or "</w:t>
      </w:r>
      <w:r>
        <w:rPr>
          <w:rFonts w:ascii="Times New Roman" w:cs="Times New Roman" w:eastAsia="Times New Roman" w:hAnsi="Times New Roman"/>
          <w:sz w:val="12"/>
          <w:szCs w:val="12"/>
          <w:b w:val="1"/>
          <w:bCs w:val="1"/>
          <w:color w:val="auto"/>
        </w:rPr>
        <w:t>Transaction Document</w:t>
      </w:r>
      <w:r>
        <w:rPr>
          <w:rFonts w:ascii="Times New Roman" w:cs="Times New Roman" w:eastAsia="Times New Roman" w:hAnsi="Times New Roman"/>
          <w:sz w:val="12"/>
          <w:szCs w:val="12"/>
          <w:color w:val="auto"/>
        </w:rPr>
        <w:t>" or any other agreement or instrument is a reference to that Finance Document, Security Document or Transaction Document or other agreement or instrument as amended, replaced, novated, supplemented, extended or restated;</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group of Lenders</w:t>
      </w:r>
      <w:r>
        <w:rPr>
          <w:rFonts w:ascii="Times New Roman" w:cs="Times New Roman" w:eastAsia="Times New Roman" w:hAnsi="Times New Roman"/>
          <w:sz w:val="12"/>
          <w:szCs w:val="12"/>
          <w:color w:val="auto"/>
        </w:rPr>
        <w:t>" includes all the Lenders;</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indebtedness</w:t>
      </w:r>
      <w:r>
        <w:rPr>
          <w:rFonts w:ascii="Times New Roman" w:cs="Times New Roman" w:eastAsia="Times New Roman" w:hAnsi="Times New Roman"/>
          <w:sz w:val="12"/>
          <w:szCs w:val="12"/>
          <w:color w:val="auto"/>
        </w:rPr>
        <w:t>" includes any obligation (whether incurred as principal or as surety) for the payment or repayment of money, whether present or future, actual or contingent;</w:t>
      </w:r>
    </w:p>
    <w:p>
      <w:pPr>
        <w:spacing w:after="0" w:line="150"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law</w:t>
      </w:r>
      <w:r>
        <w:rPr>
          <w:rFonts w:ascii="Times New Roman" w:cs="Times New Roman" w:eastAsia="Times New Roman" w:hAnsi="Times New Roman"/>
          <w:sz w:val="12"/>
          <w:szCs w:val="12"/>
          <w:color w:val="auto"/>
        </w:rPr>
        <w:t>" includes any order or decree, any form of delegated legislation, any treaty or international convention and any regulation or resolution of the Council of the European Union, the European Commission, the United Nations or its Security Council;</w:t>
      </w:r>
    </w:p>
    <w:p>
      <w:pPr>
        <w:spacing w:after="0" w:line="103"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proceedings</w:t>
      </w:r>
      <w:r>
        <w:rPr>
          <w:rFonts w:ascii="Times New Roman" w:cs="Times New Roman" w:eastAsia="Times New Roman" w:hAnsi="Times New Roman"/>
          <w:sz w:val="12"/>
          <w:szCs w:val="12"/>
          <w:color w:val="auto"/>
        </w:rPr>
        <w:t>" means, in relation to any enforcement provision of a Finance Document, proceedings of any kind, including an application for a provisional or protective measure;</w:t>
      </w:r>
    </w:p>
    <w:p>
      <w:pPr>
        <w:spacing w:after="0" w:line="150"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person</w:t>
      </w:r>
      <w:r>
        <w:rPr>
          <w:rFonts w:ascii="Times New Roman" w:cs="Times New Roman" w:eastAsia="Times New Roman" w:hAnsi="Times New Roman"/>
          <w:sz w:val="12"/>
          <w:szCs w:val="12"/>
          <w:color w:val="auto"/>
        </w:rPr>
        <w:t>" includes any individual, firm, company, corporation, government, state or agency of a state or any association, trust, joint venture, consortium, partnership or other entity (whether or not having separate legal personality);</w:t>
      </w:r>
    </w:p>
    <w:p>
      <w:pPr>
        <w:spacing w:after="0" w:line="103" w:lineRule="exact"/>
        <w:rPr>
          <w:rFonts w:ascii="Times New Roman" w:cs="Times New Roman" w:eastAsia="Times New Roman" w:hAnsi="Times New Roman"/>
          <w:sz w:val="12"/>
          <w:szCs w:val="12"/>
          <w:color w:val="auto"/>
        </w:rPr>
      </w:pPr>
    </w:p>
    <w:p>
      <w:pPr>
        <w:ind w:left="425" w:hanging="425"/>
        <w:spacing w:after="0" w:line="286" w:lineRule="auto"/>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w:t>
      </w:r>
      <w:r>
        <w:rPr>
          <w:rFonts w:ascii="Times New Roman" w:cs="Times New Roman" w:eastAsia="Times New Roman" w:hAnsi="Times New Roman"/>
          <w:sz w:val="12"/>
          <w:szCs w:val="12"/>
          <w:b w:val="1"/>
          <w:bCs w:val="1"/>
          <w:color w:val="auto"/>
        </w:rPr>
        <w:t>regulation</w:t>
      </w:r>
      <w:r>
        <w:rPr>
          <w:rFonts w:ascii="Times New Roman" w:cs="Times New Roman" w:eastAsia="Times New Roman" w:hAnsi="Times New Roman"/>
          <w:sz w:val="12"/>
          <w:szCs w:val="12"/>
          <w:color w:val="auto"/>
        </w:rPr>
        <w:t>" includes any regulation, rule, official directive, request or guideline (whether or not having the force of law) of any governmental, intergovernmental or supranational body, agency, department or regulatory, self-regulatory or other authority or organisation;</w:t>
      </w:r>
    </w:p>
    <w:p>
      <w:pPr>
        <w:spacing w:after="0" w:line="107"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provision of law is a reference to that provision as amended or re-enacted from time to time;</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6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time of day is a reference to London time;</w:t>
      </w:r>
    </w:p>
    <w:p>
      <w:pPr>
        <w:spacing w:after="0" w:line="150" w:lineRule="exact"/>
        <w:rPr>
          <w:sz w:val="20"/>
          <w:szCs w:val="20"/>
          <w:color w:val="auto"/>
        </w:rPr>
      </w:pPr>
    </w:p>
    <w:p>
      <w:pPr>
        <w:jc w:val="both"/>
        <w:ind w:left="5165"/>
        <w:spacing w:after="0"/>
        <w:tabs>
          <w:tab w:leader="none" w:pos="9765"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431" w:right="299" w:bottom="1440" w:gutter="0" w:footer="0" w:header="0"/>
        </w:sectPr>
      </w:pPr>
    </w:p>
    <w:bookmarkStart w:id="420" w:name="page421"/>
    <w:bookmarkEnd w:id="420"/>
    <w:p>
      <w:pPr>
        <w:ind w:left="848" w:hanging="425"/>
        <w:spacing w:after="0" w:line="279" w:lineRule="auto"/>
        <w:tabs>
          <w:tab w:leader="none" w:pos="848" w:val="left"/>
        </w:tabs>
        <w:numPr>
          <w:ilvl w:val="1"/>
          <w:numId w:val="6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English legal term for any action, remedy, method of judicial proceeding, legal document, legal status, court, official or any legal concept or thing shall, in respect of a jurisdiction other than England, be deemed to include that which most nearly approximates in that jurisdiction to the English legal term;</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words denoting the singular number shall include the plural and vice versa; and</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including</w:t>
      </w:r>
      <w:r>
        <w:rPr>
          <w:rFonts w:ascii="Times New Roman" w:cs="Times New Roman" w:eastAsia="Times New Roman" w:hAnsi="Times New Roman"/>
          <w:sz w:val="12"/>
          <w:szCs w:val="12"/>
          <w:color w:val="auto"/>
        </w:rPr>
        <w:t>" and "</w:t>
      </w:r>
      <w:r>
        <w:rPr>
          <w:rFonts w:ascii="Times New Roman" w:cs="Times New Roman" w:eastAsia="Times New Roman" w:hAnsi="Times New Roman"/>
          <w:sz w:val="12"/>
          <w:szCs w:val="12"/>
          <w:b w:val="1"/>
          <w:bCs w:val="1"/>
          <w:color w:val="auto"/>
        </w:rPr>
        <w:t>in particular</w:t>
      </w:r>
      <w:r>
        <w:rPr>
          <w:rFonts w:ascii="Times New Roman" w:cs="Times New Roman" w:eastAsia="Times New Roman" w:hAnsi="Times New Roman"/>
          <w:sz w:val="12"/>
          <w:szCs w:val="12"/>
          <w:color w:val="auto"/>
        </w:rPr>
        <w:t>" (and other similar expressions) shall be construed as not limiting any general words or expressions in connection with which they are used.</w:t>
      </w:r>
    </w:p>
    <w:p>
      <w:pPr>
        <w:spacing w:after="0" w:line="150" w:lineRule="exact"/>
        <w:rPr>
          <w:rFonts w:ascii="Times New Roman" w:cs="Times New Roman" w:eastAsia="Times New Roman" w:hAnsi="Times New Roman"/>
          <w:sz w:val="12"/>
          <w:szCs w:val="12"/>
          <w:color w:val="auto"/>
        </w:rPr>
      </w:pPr>
    </w:p>
    <w:p>
      <w:pPr>
        <w:ind w:left="428" w:hanging="428"/>
        <w:spacing w:after="0" w:line="286" w:lineRule="auto"/>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determination of the extent to which a rate is "</w:t>
      </w:r>
      <w:r>
        <w:rPr>
          <w:rFonts w:ascii="Times New Roman" w:cs="Times New Roman" w:eastAsia="Times New Roman" w:hAnsi="Times New Roman"/>
          <w:sz w:val="12"/>
          <w:szCs w:val="12"/>
          <w:b w:val="1"/>
          <w:bCs w:val="1"/>
          <w:color w:val="auto"/>
        </w:rPr>
        <w:t>for a period equal in length</w:t>
      </w:r>
      <w:r>
        <w:rPr>
          <w:rFonts w:ascii="Times New Roman" w:cs="Times New Roman" w:eastAsia="Times New Roman" w:hAnsi="Times New Roman"/>
          <w:sz w:val="12"/>
          <w:szCs w:val="12"/>
          <w:color w:val="auto"/>
        </w:rPr>
        <w:t>" to an Interest Period shall disregard any inconsistency arising from the last day of that Interest Period being determined pursuant to the terms of this Agreement.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Section, Clause and Schedule headings are for ease of reference only and are not to be used for the purposes of construction or interpretation of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in this Agreement to a page or screen of an information service displaying a rate shall include: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replacement page of that information service which displays that rate;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appropriate page of such other information service which displays that rate from time to time in place of that information service,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if such page or service ceases to be available, shall include any other page or service displaying that rate specified by the Facility Agent and agreed to by the Borrowers.</w:t>
      </w:r>
    </w:p>
    <w:p>
      <w:pPr>
        <w:spacing w:after="0" w:line="150" w:lineRule="exact"/>
        <w:rPr>
          <w:sz w:val="20"/>
          <w:szCs w:val="20"/>
          <w:color w:val="auto"/>
        </w:rPr>
      </w:pPr>
    </w:p>
    <w:p>
      <w:pPr>
        <w:ind w:left="428" w:hanging="428"/>
        <w:spacing w:after="0"/>
        <w:tabs>
          <w:tab w:leader="none" w:pos="428" w:val="left"/>
        </w:tabs>
        <w:numPr>
          <w:ilvl w:val="0"/>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reference in this Agreement to a Central Bank Rate shall include any successor rate to, or replacement rate for, that rate.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Rate Supplement overrides anything in:</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 9 (</w:t>
      </w:r>
      <w:r>
        <w:rPr>
          <w:rFonts w:ascii="Times New Roman" w:cs="Times New Roman" w:eastAsia="Times New Roman" w:hAnsi="Times New Roman"/>
          <w:sz w:val="12"/>
          <w:szCs w:val="12"/>
          <w:i w:val="1"/>
          <w:iCs w:val="1"/>
          <w:color w:val="auto"/>
        </w:rPr>
        <w:t>Risk Free Rate Terms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earlier Reference Rate Supplement.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Compounding Methodology Supplement relating to the Daily Non-Cumulative Compounded RFR Rate overrides anything relating to that rate in:</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Schedule 10 (</w:t>
      </w:r>
      <w:r>
        <w:rPr>
          <w:rFonts w:ascii="Times New Roman" w:cs="Times New Roman" w:eastAsia="Times New Roman" w:hAnsi="Times New Roman"/>
          <w:sz w:val="12"/>
          <w:szCs w:val="12"/>
          <w:i w:val="1"/>
          <w:iCs w:val="1"/>
          <w:color w:val="auto"/>
        </w:rPr>
        <w:t>Daily Non- Cumulative Compounded RFR Rate</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earlier Compounding Methodology Supplement.</w:t>
      </w:r>
    </w:p>
    <w:p>
      <w:pPr>
        <w:spacing w:after="0" w:line="146"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6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Potential Event of Default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remedied or waived and an Event of Default is "</w:t>
      </w:r>
      <w:r>
        <w:rPr>
          <w:rFonts w:ascii="Times New Roman" w:cs="Times New Roman" w:eastAsia="Times New Roman" w:hAnsi="Times New Roman"/>
          <w:sz w:val="12"/>
          <w:szCs w:val="12"/>
          <w:b w:val="1"/>
          <w:bCs w:val="1"/>
          <w:color w:val="auto"/>
        </w:rPr>
        <w:t>continuing</w:t>
      </w:r>
      <w:r>
        <w:rPr>
          <w:rFonts w:ascii="Times New Roman" w:cs="Times New Roman" w:eastAsia="Times New Roman" w:hAnsi="Times New Roman"/>
          <w:sz w:val="12"/>
          <w:szCs w:val="12"/>
          <w:color w:val="auto"/>
        </w:rPr>
        <w:t>" if it has not been waived or, if the Facility Agent deems that is capable of remedy, has not been remedied within the period of time specified by the Facility Agent.</w:t>
      </w:r>
    </w:p>
    <w:p>
      <w:pPr>
        <w:spacing w:after="0" w:line="107"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21" w:name="page422"/>
    <w:bookmarkEnd w:id="42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w:t>
      </w:r>
      <w:r>
        <w:rPr>
          <w:sz w:val="20"/>
          <w:szCs w:val="20"/>
          <w:color w:val="auto"/>
        </w:rPr>
        <w:tab/>
      </w:r>
      <w:r>
        <w:rPr>
          <w:rFonts w:ascii="Times New Roman" w:cs="Times New Roman" w:eastAsia="Times New Roman" w:hAnsi="Times New Roman"/>
          <w:sz w:val="12"/>
          <w:szCs w:val="12"/>
          <w:b w:val="1"/>
          <w:bCs w:val="1"/>
          <w:color w:val="auto"/>
        </w:rPr>
        <w:t>Construction of insurance terms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this Agreement:</w:t>
      </w:r>
    </w:p>
    <w:p>
      <w:pPr>
        <w:spacing w:after="0" w:line="14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approved</w:t>
      </w:r>
      <w:r>
        <w:rPr>
          <w:rFonts w:ascii="Times New Roman" w:cs="Times New Roman" w:eastAsia="Times New Roman" w:hAnsi="Times New Roman"/>
          <w:sz w:val="12"/>
          <w:szCs w:val="12"/>
          <w:color w:val="auto"/>
        </w:rPr>
        <w:t>" means, for the purposes of Clause 24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approved in writing by the Facility Agent.</w:t>
      </w:r>
    </w:p>
    <w:p>
      <w:pPr>
        <w:spacing w:after="0" w:line="150"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excess risks</w:t>
      </w:r>
      <w:r>
        <w:rPr>
          <w:rFonts w:ascii="Times New Roman" w:cs="Times New Roman" w:eastAsia="Times New Roman" w:hAnsi="Times New Roman"/>
          <w:sz w:val="12"/>
          <w:szCs w:val="12"/>
          <w:color w:val="auto"/>
        </w:rPr>
        <w:t>" means, in respect of a Ship, the proportion of claims for general average, salvage and salvage charges not recoverable under the hull and machinery policies in respect of that Ship in consequence of its insured value being less than the value at which that Ship is assessed for the purpose of such claims.</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obligatory insurances</w:t>
      </w:r>
      <w:r>
        <w:rPr>
          <w:rFonts w:ascii="Times New Roman" w:cs="Times New Roman" w:eastAsia="Times New Roman" w:hAnsi="Times New Roman"/>
          <w:sz w:val="12"/>
          <w:szCs w:val="12"/>
          <w:color w:val="auto"/>
        </w:rPr>
        <w:t>" means all insurances effected, or which any Borrower is obliged to effect, under Clause 24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or any other provision of this Agreement or of another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policy</w:t>
      </w:r>
      <w:r>
        <w:rPr>
          <w:rFonts w:ascii="Times New Roman" w:cs="Times New Roman" w:eastAsia="Times New Roman" w:hAnsi="Times New Roman"/>
          <w:sz w:val="12"/>
          <w:szCs w:val="12"/>
          <w:color w:val="auto"/>
        </w:rPr>
        <w:t>" includes a slip, cover note, certificate of entry or other document evidencing the contract of insurance or its terms.</w:t>
      </w:r>
    </w:p>
    <w:p>
      <w:pPr>
        <w:spacing w:after="0" w:line="150"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protection and indemnity risks</w:t>
      </w:r>
      <w:r>
        <w:rPr>
          <w:rFonts w:ascii="Times New Roman" w:cs="Times New Roman" w:eastAsia="Times New Roman" w:hAnsi="Times New Roman"/>
          <w:sz w:val="12"/>
          <w:szCs w:val="12"/>
          <w:color w:val="auto"/>
        </w:rPr>
        <w:t>" means the usual risks covered by a protection and indemnity association which is a member of the International group of Protection and Indemnity Associations, including pollution risks and the proportion (if any) of any sums payable to any other person or persons in case of collision which are not recoverable under the hull and machinery policies by reason of the incorporation in them of clause 6 of the International Hull Clauses (1/11/02) (1/11/03), clause 8 of the Institute Time Clauses (Hulls) (1/10/83) (1/11/95) or the Institute Amended Running Down Clause (1/10/71) or any equivalent provision.</w:t>
      </w:r>
    </w:p>
    <w:p>
      <w:pPr>
        <w:spacing w:after="0" w:line="114"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war risks</w:t>
      </w:r>
      <w:r>
        <w:rPr>
          <w:rFonts w:ascii="Times New Roman" w:cs="Times New Roman" w:eastAsia="Times New Roman" w:hAnsi="Times New Roman"/>
          <w:sz w:val="12"/>
          <w:szCs w:val="12"/>
          <w:color w:val="auto"/>
        </w:rPr>
        <w:t>" includes the risk of mines and all risks excluded by clauses 29, 30 or 31 of the International Hull Clauses (1/11/02), clauses 29 or 30 of the International Hull Clauses (1/11/03), clauses 24, 25 or 26 of the Institute Time Clauses (Hulls) (1/11/95) or clauses 23, 24 or 25 of the Institute Time Clauses (Hulls) (1/10/83) or any equivalent provision.</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w:t>
      </w:r>
      <w:r>
        <w:rPr>
          <w:sz w:val="20"/>
          <w:szCs w:val="20"/>
          <w:color w:val="auto"/>
        </w:rPr>
        <w:tab/>
      </w:r>
      <w:r>
        <w:rPr>
          <w:rFonts w:ascii="Times New Roman" w:cs="Times New Roman" w:eastAsia="Times New Roman" w:hAnsi="Times New Roman"/>
          <w:sz w:val="11"/>
          <w:szCs w:val="11"/>
          <w:b w:val="1"/>
          <w:bCs w:val="1"/>
          <w:color w:val="auto"/>
        </w:rPr>
        <w:t>Agreed forms of Finance Documents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References in Clause 1.1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 to any Finance Document being in "agreed form" are to that Finance Document:</w:t>
      </w:r>
    </w:p>
    <w:p>
      <w:pPr>
        <w:spacing w:after="0" w:line="152" w:lineRule="exact"/>
        <w:rPr>
          <w:sz w:val="20"/>
          <w:szCs w:val="20"/>
          <w:color w:val="auto"/>
        </w:rPr>
      </w:pPr>
    </w:p>
    <w:p>
      <w:pPr>
        <w:ind w:left="428" w:hanging="428"/>
        <w:spacing w:after="0"/>
        <w:tabs>
          <w:tab w:leader="none" w:pos="428" w:val="left"/>
        </w:tabs>
        <w:numPr>
          <w:ilvl w:val="0"/>
          <w:numId w:val="6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form attached to a certificate dated the same date as this Agreement (and signed by each Borrower and the Facility Agent); 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any other form agreed in writing between each Borrower and the Facility Agent acting with the authorisation of the Majority Lenders or, where Clause 45.2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applies, all the Lenders.</w:t>
      </w:r>
    </w:p>
    <w:p>
      <w:pPr>
        <w:spacing w:after="0" w:line="15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22" w:name="page423"/>
    <w:bookmarkEnd w:id="42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w:t>
      </w:r>
      <w:r>
        <w:rPr>
          <w:sz w:val="20"/>
          <w:szCs w:val="20"/>
          <w:color w:val="auto"/>
        </w:rPr>
        <w:tab/>
      </w:r>
      <w:r>
        <w:rPr>
          <w:rFonts w:ascii="Times New Roman" w:cs="Times New Roman" w:eastAsia="Times New Roman" w:hAnsi="Times New Roman"/>
          <w:sz w:val="11"/>
          <w:szCs w:val="11"/>
          <w:b w:val="1"/>
          <w:bCs w:val="1"/>
          <w:color w:val="auto"/>
        </w:rPr>
        <w:t>Third party rights</w:t>
      </w:r>
    </w:p>
    <w:p>
      <w:pPr>
        <w:spacing w:after="0" w:line="150" w:lineRule="exact"/>
        <w:rPr>
          <w:sz w:val="20"/>
          <w:szCs w:val="20"/>
          <w:color w:val="auto"/>
        </w:rPr>
      </w:pPr>
    </w:p>
    <w:p>
      <w:pPr>
        <w:ind w:left="428" w:hanging="428"/>
        <w:spacing w:after="0" w:line="286" w:lineRule="auto"/>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expressly provided to the contrary in a Finance Document, a person who is not a Party has no right under the Contracts (Rights of Third Parties) Act 1999 (the "</w:t>
      </w:r>
      <w:r>
        <w:rPr>
          <w:rFonts w:ascii="Times New Roman" w:cs="Times New Roman" w:eastAsia="Times New Roman" w:hAnsi="Times New Roman"/>
          <w:sz w:val="12"/>
          <w:szCs w:val="12"/>
          <w:b w:val="1"/>
          <w:bCs w:val="1"/>
          <w:color w:val="auto"/>
        </w:rPr>
        <w:t>Third Parties Act</w:t>
      </w:r>
      <w:r>
        <w:rPr>
          <w:rFonts w:ascii="Times New Roman" w:cs="Times New Roman" w:eastAsia="Times New Roman" w:hAnsi="Times New Roman"/>
          <w:sz w:val="12"/>
          <w:szCs w:val="12"/>
          <w:color w:val="auto"/>
        </w:rPr>
        <w:t>") to enforce or to enjoy the benefit of any term of this Agreement.</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term of any Finance Document, the consent of any person who is not a Party is not required to rescind or vary this Agreement at any time.</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6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Receiver, Delegate or any other person described in paragraph (d) of Clause 15.2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paragraph (b) of Clause 32.10 (</w:t>
      </w:r>
      <w:r>
        <w:rPr>
          <w:rFonts w:ascii="Times New Roman" w:cs="Times New Roman" w:eastAsia="Times New Roman" w:hAnsi="Times New Roman"/>
          <w:sz w:val="12"/>
          <w:szCs w:val="12"/>
          <w:i w:val="1"/>
          <w:iCs w:val="1"/>
          <w:color w:val="auto"/>
        </w:rPr>
        <w:t>Exclusion of liability</w:t>
      </w:r>
      <w:r>
        <w:rPr>
          <w:rFonts w:ascii="Times New Roman" w:cs="Times New Roman" w:eastAsia="Times New Roman" w:hAnsi="Times New Roman"/>
          <w:sz w:val="12"/>
          <w:szCs w:val="12"/>
          <w:color w:val="auto"/>
        </w:rPr>
        <w:t>) or paragraph (b) of Clause 33.11 (</w:t>
      </w:r>
      <w:r>
        <w:rPr>
          <w:rFonts w:ascii="Times New Roman" w:cs="Times New Roman" w:eastAsia="Times New Roman" w:hAnsi="Times New Roman"/>
          <w:sz w:val="12"/>
          <w:szCs w:val="12"/>
          <w:i w:val="1"/>
          <w:iCs w:val="1"/>
          <w:color w:val="auto"/>
        </w:rPr>
        <w:t>Exclusion of</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liability</w:t>
      </w:r>
      <w:r>
        <w:rPr>
          <w:rFonts w:ascii="Times New Roman" w:cs="Times New Roman" w:eastAsia="Times New Roman" w:hAnsi="Times New Roman"/>
          <w:sz w:val="12"/>
          <w:szCs w:val="12"/>
          <w:color w:val="auto"/>
        </w:rPr>
        <w:t>), may subject to this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Third Parties Act, rely on any Clause of this Agreement which expressly confers rights on it.</w:t>
      </w:r>
    </w:p>
    <w:p>
      <w:pPr>
        <w:spacing w:after="0" w:line="10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93" w:right="299" w:bottom="1440" w:gutter="0" w:footer="0" w:header="0"/>
        </w:sectPr>
      </w:pPr>
    </w:p>
    <w:bookmarkStart w:id="423" w:name="page424"/>
    <w:bookmarkEnd w:id="42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2</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FACILITY</w:t>
      </w:r>
    </w:p>
    <w:p>
      <w:pPr>
        <w:spacing w:after="0" w:line="150" w:lineRule="exact"/>
        <w:rPr>
          <w:sz w:val="20"/>
          <w:szCs w:val="20"/>
          <w:color w:val="auto"/>
        </w:rPr>
      </w:pPr>
    </w:p>
    <w:p>
      <w:pPr>
        <w:ind w:left="428" w:hanging="428"/>
        <w:spacing w:after="0"/>
        <w:tabs>
          <w:tab w:leader="none" w:pos="428" w:val="left"/>
        </w:tabs>
        <w:numPr>
          <w:ilvl w:val="0"/>
          <w:numId w:val="6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FACILITY</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2.1The Facility</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Subject to the terms of this Agreement, the Lenders make available to the Borrowers a dollar term loan facility, in one advance, in an aggregate amount not exceeding the Total Commitments.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w:t>
      </w:r>
      <w:r>
        <w:rPr>
          <w:sz w:val="20"/>
          <w:szCs w:val="20"/>
          <w:color w:val="auto"/>
        </w:rPr>
        <w:tab/>
      </w:r>
      <w:r>
        <w:rPr>
          <w:rFonts w:ascii="Times New Roman" w:cs="Times New Roman" w:eastAsia="Times New Roman" w:hAnsi="Times New Roman"/>
          <w:sz w:val="11"/>
          <w:szCs w:val="11"/>
          <w:b w:val="1"/>
          <w:bCs w:val="1"/>
          <w:color w:val="auto"/>
        </w:rPr>
        <w:t>Finance Parties' rights and obligations</w:t>
      </w:r>
    </w:p>
    <w:p>
      <w:pPr>
        <w:spacing w:after="0" w:line="154" w:lineRule="exact"/>
        <w:rPr>
          <w:sz w:val="20"/>
          <w:szCs w:val="20"/>
          <w:color w:val="auto"/>
        </w:rPr>
      </w:pPr>
    </w:p>
    <w:p>
      <w:pPr>
        <w:ind w:left="428" w:hanging="428"/>
        <w:spacing w:after="0" w:line="279" w:lineRule="auto"/>
        <w:tabs>
          <w:tab w:leader="none" w:pos="428" w:val="left"/>
        </w:tabs>
        <w:numPr>
          <w:ilvl w:val="0"/>
          <w:numId w:val="6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6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of each Finance Party under or in connection with the Finance Documents are separate and independent rights and any debt arising under the Finance Documents to a Finance Party from a Transaction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the Loan or any other amount owed by a Transaction Obligor which relates to a Finance Party's participation in the Facility or its role under a Finance Document (including any such amount payable to the Facility Agent on its behalf) is a debt owing to that Finance Party by that Transaction Obligor.</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may, except as specifically provided in the Finance Documents, separately enforce its rights under or in connection with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w:t>
      </w:r>
      <w:r>
        <w:rPr>
          <w:sz w:val="20"/>
          <w:szCs w:val="20"/>
          <w:color w:val="auto"/>
        </w:rPr>
        <w:tab/>
      </w:r>
      <w:r>
        <w:rPr>
          <w:rFonts w:ascii="Times New Roman" w:cs="Times New Roman" w:eastAsia="Times New Roman" w:hAnsi="Times New Roman"/>
          <w:sz w:val="11"/>
          <w:szCs w:val="11"/>
          <w:b w:val="1"/>
          <w:bCs w:val="1"/>
          <w:color w:val="auto"/>
        </w:rPr>
        <w:t>Borrowers' Agent</w:t>
      </w:r>
    </w:p>
    <w:p>
      <w:pPr>
        <w:spacing w:after="0" w:line="154" w:lineRule="exact"/>
        <w:rPr>
          <w:sz w:val="20"/>
          <w:szCs w:val="20"/>
          <w:color w:val="auto"/>
        </w:rPr>
      </w:pPr>
    </w:p>
    <w:p>
      <w:pPr>
        <w:ind w:left="428" w:hanging="428"/>
        <w:spacing w:after="0"/>
        <w:tabs>
          <w:tab w:leader="none" w:pos="428" w:val="left"/>
        </w:tabs>
        <w:numPr>
          <w:ilvl w:val="0"/>
          <w:numId w:val="6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by its execution of this Agreement irrevocably appoints the Guarantor to act on its behalf as its agent in relation to the Finance Documents and irrevocably authorises: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6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on its behalf to supply all information concerning itself contemplated by this Agreement to the Finance Parties and to give all notices and instructions (including the Utilisation Request), to make such agreements and to effect the relevant amendments, supplements and variations capable of being given, made or effected by any Borrower notwithstanding that they may affect that Borrower, without further reference to or the consent of that Borrower;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to give any notice, demand or other communication to that Borrower pursuant to the Finance Documents to the Guarantor,</w:t>
      </w:r>
    </w:p>
    <w:p>
      <w:pPr>
        <w:spacing w:after="0" w:line="150"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and in each case each Borrower shall be bound as though the Borrowers themselves had given the notices and instructions (including, without limitation, the Utilisation Request) or executed or made the agreements or effected the amendments, supplements or variations, or received the relevant notice, demand or other communication.</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24" w:name="page425"/>
    <w:bookmarkEnd w:id="424"/>
    <w:p>
      <w:pPr>
        <w:jc w:val="both"/>
        <w:ind w:left="428" w:hanging="428"/>
        <w:spacing w:after="0" w:line="265" w:lineRule="auto"/>
        <w:tabs>
          <w:tab w:leader="none" w:pos="428" w:val="left"/>
        </w:tabs>
        <w:numPr>
          <w:ilvl w:val="0"/>
          <w:numId w:val="6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Every act, omission, agreement, undertaking, settlement, waiver, amendment, supplement, variation, notice or other communication given or made by the Guarantor or given to the Guarantor under any Finance Document on behalf of a Borrower or in connection with any Finance Document (whether or not known to any Borrower) shall be binding for all purposes on that Borrower as if that Borrower had expressly made, given or concurred with it. In the event of any conflict between any notices or other communications of the Guarantor and any Borrower, those of the Guarantor shall prevail.</w:t>
      </w:r>
    </w:p>
    <w:p>
      <w:pPr>
        <w:spacing w:after="0" w:line="115" w:lineRule="exact"/>
        <w:rPr>
          <w:sz w:val="20"/>
          <w:szCs w:val="20"/>
          <w:color w:val="auto"/>
        </w:rPr>
      </w:pPr>
    </w:p>
    <w:p>
      <w:pPr>
        <w:ind w:left="428" w:hanging="428"/>
        <w:spacing w:after="0"/>
        <w:tabs>
          <w:tab w:leader="none" w:pos="428" w:val="left"/>
        </w:tabs>
        <w:numPr>
          <w:ilvl w:val="0"/>
          <w:numId w:val="66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PURPOSE</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3.1Purpose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apply all amounts borrowed by it under the Facility only for the purposes stated in the preamble (</w:t>
      </w:r>
      <w:r>
        <w:rPr>
          <w:rFonts w:ascii="Times New Roman" w:cs="Times New Roman" w:eastAsia="Times New Roman" w:hAnsi="Times New Roman"/>
          <w:sz w:val="12"/>
          <w:szCs w:val="12"/>
          <w:i w:val="1"/>
          <w:iCs w:val="1"/>
          <w:color w:val="auto"/>
        </w:rPr>
        <w:t>Background</w:t>
      </w:r>
      <w:r>
        <w:rPr>
          <w:rFonts w:ascii="Times New Roman" w:cs="Times New Roman" w:eastAsia="Times New Roman" w:hAnsi="Times New Roman"/>
          <w:sz w:val="12"/>
          <w:szCs w:val="12"/>
          <w:color w:val="auto"/>
        </w:rPr>
        <w:t>) to this Agreement.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w:t>
      </w:r>
      <w:r>
        <w:rPr>
          <w:sz w:val="20"/>
          <w:szCs w:val="20"/>
          <w:color w:val="auto"/>
        </w:rPr>
        <w:tab/>
      </w:r>
      <w:r>
        <w:rPr>
          <w:rFonts w:ascii="Times New Roman" w:cs="Times New Roman" w:eastAsia="Times New Roman" w:hAnsi="Times New Roman"/>
          <w:sz w:val="11"/>
          <w:szCs w:val="11"/>
          <w:b w:val="1"/>
          <w:bCs w:val="1"/>
          <w:color w:val="auto"/>
        </w:rPr>
        <w:t>Monitoring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Finance Party is bound to monitor or verify the application of any amount borrowed pursuant to this Agreement.</w:t>
      </w:r>
    </w:p>
    <w:p>
      <w:pPr>
        <w:spacing w:after="0" w:line="146" w:lineRule="exact"/>
        <w:rPr>
          <w:sz w:val="20"/>
          <w:szCs w:val="20"/>
          <w:color w:val="auto"/>
        </w:rPr>
      </w:pPr>
    </w:p>
    <w:p>
      <w:pPr>
        <w:ind w:left="428" w:hanging="428"/>
        <w:spacing w:after="0"/>
        <w:tabs>
          <w:tab w:leader="none" w:pos="428" w:val="left"/>
        </w:tabs>
        <w:numPr>
          <w:ilvl w:val="0"/>
          <w:numId w:val="6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CONDITIONS OF UTILISATION</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4.1</w:t>
      </w:r>
      <w:r>
        <w:rPr>
          <w:rFonts w:ascii="Times New Roman" w:cs="Times New Roman" w:eastAsia="Times New Roman" w:hAnsi="Times New Roman"/>
          <w:sz w:val="11"/>
          <w:szCs w:val="11"/>
          <w:b w:val="1"/>
          <w:bCs w:val="1"/>
          <w:color w:val="auto"/>
        </w:rPr>
        <w:t>Initial conditions precedent</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Borrowers may not deliver the Utilisation Request unless the Facility Agent has received all of the documents and other evidence listed in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in form and substance satisfactory to the Facility Agent.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4.2</w:t>
      </w:r>
      <w:r>
        <w:rPr>
          <w:sz w:val="20"/>
          <w:szCs w:val="20"/>
          <w:color w:val="auto"/>
        </w:rPr>
        <w:tab/>
      </w:r>
      <w:r>
        <w:rPr>
          <w:rFonts w:ascii="Times New Roman" w:cs="Times New Roman" w:eastAsia="Times New Roman" w:hAnsi="Times New Roman"/>
          <w:sz w:val="11"/>
          <w:szCs w:val="11"/>
          <w:b w:val="1"/>
          <w:bCs w:val="1"/>
          <w:color w:val="auto"/>
        </w:rPr>
        <w:t>Further conditions precedent</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Lenders will only be obliged to comply with Clause 5.4 (</w:t>
      </w:r>
      <w:r>
        <w:rPr>
          <w:rFonts w:ascii="Times New Roman" w:cs="Times New Roman" w:eastAsia="Times New Roman" w:hAnsi="Times New Roman"/>
          <w:sz w:val="12"/>
          <w:szCs w:val="12"/>
          <w:i w:val="1"/>
          <w:iCs w:val="1"/>
          <w:color w:val="auto"/>
        </w:rPr>
        <w:t>Lenders' participation</w:t>
      </w:r>
      <w:r>
        <w:rPr>
          <w:rFonts w:ascii="Times New Roman" w:cs="Times New Roman" w:eastAsia="Times New Roman" w:hAnsi="Times New Roman"/>
          <w:sz w:val="12"/>
          <w:szCs w:val="12"/>
          <w:color w:val="auto"/>
        </w:rPr>
        <w:t>) if:</w:t>
      </w:r>
    </w:p>
    <w:p>
      <w:pPr>
        <w:spacing w:after="0" w:line="152" w:lineRule="exact"/>
        <w:rPr>
          <w:sz w:val="20"/>
          <w:szCs w:val="20"/>
          <w:color w:val="auto"/>
        </w:rPr>
      </w:pPr>
    </w:p>
    <w:p>
      <w:pPr>
        <w:ind w:left="428" w:hanging="428"/>
        <w:spacing w:after="0"/>
        <w:tabs>
          <w:tab w:leader="none" w:pos="428" w:val="left"/>
        </w:tabs>
        <w:numPr>
          <w:ilvl w:val="0"/>
          <w:numId w:val="6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date of the Utilisation Request and on the proposed Utilisation Date and before the Loan is made available: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is continuing or would result from the proposed making of the Loan;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Repeating Representations to be made by each Obligor on its own behalf or on behalf of any other Transaction Obligor or any Approved Manager are true;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know-your-customer checks for each of the Obligors have been conducted to the Facility Agent's and the Lenders' satisfaction; and</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6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has received on or before the Utilisation Date, or is satisfied it will receive when the Loan is made available, all of the documents and other evidence listed in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in form and substance satisfactory to the Facility Agent.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4.3</w:t>
      </w:r>
      <w:r>
        <w:rPr>
          <w:sz w:val="20"/>
          <w:szCs w:val="20"/>
          <w:color w:val="auto"/>
        </w:rPr>
        <w:tab/>
      </w:r>
      <w:r>
        <w:rPr>
          <w:rFonts w:ascii="Times New Roman" w:cs="Times New Roman" w:eastAsia="Times New Roman" w:hAnsi="Times New Roman"/>
          <w:sz w:val="11"/>
          <w:szCs w:val="11"/>
          <w:b w:val="1"/>
          <w:bCs w:val="1"/>
          <w:color w:val="auto"/>
        </w:rPr>
        <w:t>Notification of satisfaction of conditions precedent</w:t>
      </w:r>
    </w:p>
    <w:p>
      <w:pPr>
        <w:spacing w:after="0" w:line="152" w:lineRule="exact"/>
        <w:rPr>
          <w:sz w:val="20"/>
          <w:szCs w:val="20"/>
          <w:color w:val="auto"/>
        </w:rPr>
      </w:pPr>
    </w:p>
    <w:p>
      <w:pPr>
        <w:ind w:left="428" w:hanging="428"/>
        <w:spacing w:after="0" w:line="283" w:lineRule="auto"/>
        <w:tabs>
          <w:tab w:leader="none" w:pos="428" w:val="left"/>
        </w:tabs>
        <w:numPr>
          <w:ilvl w:val="0"/>
          <w:numId w:val="6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and the Lenders promptly upon being satisfied as to the satisfaction of the conditions precedent referred to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and Clause 4.2 (</w:t>
      </w:r>
      <w:r>
        <w:rPr>
          <w:rFonts w:ascii="Times New Roman" w:cs="Times New Roman" w:eastAsia="Times New Roman" w:hAnsi="Times New Roman"/>
          <w:sz w:val="12"/>
          <w:szCs w:val="12"/>
          <w:i w:val="1"/>
          <w:iCs w:val="1"/>
          <w:color w:val="auto"/>
        </w:rPr>
        <w:t>Further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w:t>
      </w:r>
    </w:p>
    <w:p>
      <w:pPr>
        <w:spacing w:after="0" w:line="10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25" w:name="page426"/>
    <w:bookmarkEnd w:id="425"/>
    <w:p>
      <w:pPr>
        <w:ind w:left="428" w:hanging="428"/>
        <w:spacing w:after="0" w:line="279" w:lineRule="auto"/>
        <w:tabs>
          <w:tab w:leader="none" w:pos="428" w:val="left"/>
        </w:tabs>
        <w:numPr>
          <w:ilvl w:val="0"/>
          <w:numId w:val="6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to the extent that the Majority Lenders notify the Facility Agent in writing to the contrary before the Facility Agent gives the notification described in paragraph (a) above, the Lenders authorise (but do not require) the Facility Agent to give that notification. The Facility Agent shall not be liable for any damages, costs or losses whatsoever as a result of giving any such notification.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4.4</w:t>
      </w:r>
      <w:r>
        <w:rPr>
          <w:sz w:val="20"/>
          <w:szCs w:val="20"/>
          <w:color w:val="auto"/>
        </w:rPr>
        <w:tab/>
      </w:r>
      <w:r>
        <w:rPr>
          <w:rFonts w:ascii="Times New Roman" w:cs="Times New Roman" w:eastAsia="Times New Roman" w:hAnsi="Times New Roman"/>
          <w:sz w:val="11"/>
          <w:szCs w:val="11"/>
          <w:b w:val="1"/>
          <w:bCs w:val="1"/>
          <w:color w:val="auto"/>
        </w:rPr>
        <w:t>Waiver of conditions precedent</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If the Majority Lenders, at their discretion, permit the Loan to be borrowed before any of the conditions precedent referred to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or Clause 4.2 (</w:t>
      </w:r>
      <w:r>
        <w:rPr>
          <w:rFonts w:ascii="Times New Roman" w:cs="Times New Roman" w:eastAsia="Times New Roman" w:hAnsi="Times New Roman"/>
          <w:sz w:val="12"/>
          <w:szCs w:val="12"/>
          <w:i w:val="1"/>
          <w:iCs w:val="1"/>
          <w:color w:val="auto"/>
        </w:rPr>
        <w:t>Further conditions precedent</w:t>
      </w:r>
      <w:r>
        <w:rPr>
          <w:rFonts w:ascii="Times New Roman" w:cs="Times New Roman" w:eastAsia="Times New Roman" w:hAnsi="Times New Roman"/>
          <w:sz w:val="12"/>
          <w:szCs w:val="12"/>
          <w:color w:val="auto"/>
        </w:rPr>
        <w:t>) has been satisfied, the Borrowers shall ensure that that condition is satisfied within 10 Business Days after the Utilisation Date or such later date as the Facility Agent, acting with the authorisation of the Majority Lenders, may agree in writing with the Borrowers.</w:t>
      </w:r>
    </w:p>
    <w:p>
      <w:pPr>
        <w:spacing w:after="0" w:line="11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39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26" w:name="page427"/>
    <w:bookmarkEnd w:id="42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3</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UTILISATION</w:t>
      </w:r>
    </w:p>
    <w:p>
      <w:pPr>
        <w:spacing w:after="0" w:line="150" w:lineRule="exact"/>
        <w:rPr>
          <w:sz w:val="20"/>
          <w:szCs w:val="20"/>
          <w:color w:val="auto"/>
        </w:rPr>
      </w:pPr>
    </w:p>
    <w:p>
      <w:pPr>
        <w:ind w:left="428" w:hanging="428"/>
        <w:spacing w:after="0"/>
        <w:tabs>
          <w:tab w:leader="none" w:pos="428" w:val="left"/>
        </w:tabs>
        <w:numPr>
          <w:ilvl w:val="0"/>
          <w:numId w:val="66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UTILISATION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5.1</w:t>
      </w:r>
      <w:r>
        <w:rPr>
          <w:sz w:val="20"/>
          <w:szCs w:val="20"/>
          <w:color w:val="auto"/>
        </w:rPr>
        <w:tab/>
      </w:r>
      <w:r>
        <w:rPr>
          <w:rFonts w:ascii="Times New Roman" w:cs="Times New Roman" w:eastAsia="Times New Roman" w:hAnsi="Times New Roman"/>
          <w:sz w:val="11"/>
          <w:szCs w:val="11"/>
          <w:b w:val="1"/>
          <w:bCs w:val="1"/>
          <w:color w:val="auto"/>
        </w:rPr>
        <w:t>Delivery of Utilisation Request</w:t>
      </w:r>
    </w:p>
    <w:p>
      <w:pPr>
        <w:spacing w:after="0" w:line="154" w:lineRule="exact"/>
        <w:rPr>
          <w:sz w:val="20"/>
          <w:szCs w:val="20"/>
          <w:color w:val="auto"/>
        </w:rPr>
      </w:pPr>
    </w:p>
    <w:p>
      <w:pPr>
        <w:ind w:left="428" w:hanging="428"/>
        <w:spacing w:after="0"/>
        <w:tabs>
          <w:tab w:leader="none" w:pos="428" w:val="left"/>
        </w:tabs>
        <w:numPr>
          <w:ilvl w:val="0"/>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utilise the Facility in a single amount by delivery to the Facility Agent of a duly completed Utilisation Request not later than the Specified Time.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not deliver more than one Utilisation Request in respect of the Loan.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5.2</w:t>
      </w:r>
      <w:r>
        <w:rPr>
          <w:sz w:val="20"/>
          <w:szCs w:val="20"/>
          <w:color w:val="auto"/>
        </w:rPr>
        <w:tab/>
      </w:r>
      <w:r>
        <w:rPr>
          <w:rFonts w:ascii="Times New Roman" w:cs="Times New Roman" w:eastAsia="Times New Roman" w:hAnsi="Times New Roman"/>
          <w:sz w:val="12"/>
          <w:szCs w:val="12"/>
          <w:b w:val="1"/>
          <w:bCs w:val="1"/>
          <w:color w:val="auto"/>
        </w:rPr>
        <w:t>Completion of Utilisation Request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Utilisation Request is irrevocable and will not be regarded as having been duly completed unless:</w:t>
      </w:r>
    </w:p>
    <w:p>
      <w:pPr>
        <w:spacing w:after="0" w:line="150" w:lineRule="exact"/>
        <w:rPr>
          <w:sz w:val="20"/>
          <w:szCs w:val="20"/>
          <w:color w:val="auto"/>
        </w:rPr>
      </w:pPr>
    </w:p>
    <w:p>
      <w:pPr>
        <w:ind w:left="428" w:hanging="428"/>
        <w:spacing w:after="0"/>
        <w:tabs>
          <w:tab w:leader="none" w:pos="428" w:val="left"/>
        </w:tabs>
        <w:numPr>
          <w:ilvl w:val="0"/>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Utilisation Date is a Business Day within the Availability Period;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and amount of the Utilisation comply with Clause 5.3 (</w:t>
      </w:r>
      <w:r>
        <w:rPr>
          <w:rFonts w:ascii="Times New Roman" w:cs="Times New Roman" w:eastAsia="Times New Roman" w:hAnsi="Times New Roman"/>
          <w:sz w:val="12"/>
          <w:szCs w:val="12"/>
          <w:i w:val="1"/>
          <w:iCs w:val="1"/>
          <w:color w:val="auto"/>
        </w:rPr>
        <w:t>Currency and amount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applicable deductible items have been completed; and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Interest Period complies with Clause 10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5.3</w:t>
      </w:r>
      <w:r>
        <w:rPr>
          <w:sz w:val="20"/>
          <w:szCs w:val="20"/>
          <w:color w:val="auto"/>
        </w:rPr>
        <w:tab/>
      </w:r>
      <w:r>
        <w:rPr>
          <w:rFonts w:ascii="Times New Roman" w:cs="Times New Roman" w:eastAsia="Times New Roman" w:hAnsi="Times New Roman"/>
          <w:sz w:val="11"/>
          <w:szCs w:val="11"/>
          <w:b w:val="1"/>
          <w:bCs w:val="1"/>
          <w:color w:val="auto"/>
        </w:rPr>
        <w:t>Currency and amount</w:t>
      </w:r>
    </w:p>
    <w:p>
      <w:pPr>
        <w:spacing w:after="0" w:line="154" w:lineRule="exact"/>
        <w:rPr>
          <w:sz w:val="20"/>
          <w:szCs w:val="20"/>
          <w:color w:val="auto"/>
        </w:rPr>
      </w:pPr>
    </w:p>
    <w:p>
      <w:pPr>
        <w:ind w:left="428" w:hanging="428"/>
        <w:spacing w:after="0"/>
        <w:tabs>
          <w:tab w:leader="none" w:pos="428" w:val="left"/>
        </w:tabs>
        <w:numPr>
          <w:ilvl w:val="0"/>
          <w:numId w:val="6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currency specified in the Utilisation Request must be dollars.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the Loan must be an amount which is not more than (i) $85,000,000 and (ii) 50 per cent. of the aggregate Initial Market Value of the Ships to be financed by this Agreement on the proposed Utilisation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5.4</w:t>
      </w:r>
      <w:r>
        <w:rPr>
          <w:sz w:val="20"/>
          <w:szCs w:val="20"/>
          <w:color w:val="auto"/>
        </w:rPr>
        <w:tab/>
      </w:r>
      <w:r>
        <w:rPr>
          <w:rFonts w:ascii="Times New Roman" w:cs="Times New Roman" w:eastAsia="Times New Roman" w:hAnsi="Times New Roman"/>
          <w:sz w:val="11"/>
          <w:szCs w:val="11"/>
          <w:b w:val="1"/>
          <w:bCs w:val="1"/>
          <w:color w:val="auto"/>
        </w:rPr>
        <w:t>Lenders' participation</w:t>
      </w:r>
    </w:p>
    <w:p>
      <w:pPr>
        <w:spacing w:after="0" w:line="154" w:lineRule="exact"/>
        <w:rPr>
          <w:sz w:val="20"/>
          <w:szCs w:val="20"/>
          <w:color w:val="auto"/>
        </w:rPr>
      </w:pPr>
    </w:p>
    <w:p>
      <w:pPr>
        <w:ind w:left="428" w:hanging="428"/>
        <w:spacing w:after="0"/>
        <w:tabs>
          <w:tab w:leader="none" w:pos="428" w:val="left"/>
        </w:tabs>
        <w:numPr>
          <w:ilvl w:val="0"/>
          <w:numId w:val="6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conditions set out in this Agreement have been met, each Lender shall make its participation in the Loan available by the Utilisation Date through its Facility Office.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of each Lender's participation in the Loan will be equal to the proportion borne by its Available Commitment to the Available Facility immediately before making that Commitment.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each Lender of the amount of its participation in the Loan by the Specified Time.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5.5</w:t>
      </w:r>
      <w:r>
        <w:rPr>
          <w:sz w:val="20"/>
          <w:szCs w:val="20"/>
          <w:color w:val="auto"/>
        </w:rPr>
        <w:tab/>
      </w:r>
      <w:r>
        <w:rPr>
          <w:rFonts w:ascii="Times New Roman" w:cs="Times New Roman" w:eastAsia="Times New Roman" w:hAnsi="Times New Roman"/>
          <w:sz w:val="11"/>
          <w:szCs w:val="11"/>
          <w:b w:val="1"/>
          <w:bCs w:val="1"/>
          <w:color w:val="auto"/>
        </w:rPr>
        <w:t>Cancellation of Commitments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Commitments which are not utilised at the end of the Availability Period shall then be cancelled.</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27" w:name="page428"/>
    <w:bookmarkEnd w:id="427"/>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5.6</w:t>
      </w:r>
      <w:r>
        <w:rPr>
          <w:sz w:val="20"/>
          <w:szCs w:val="20"/>
          <w:color w:val="auto"/>
        </w:rPr>
        <w:tab/>
      </w:r>
      <w:r>
        <w:rPr>
          <w:rFonts w:ascii="Times New Roman" w:cs="Times New Roman" w:eastAsia="Times New Roman" w:hAnsi="Times New Roman"/>
          <w:sz w:val="12"/>
          <w:szCs w:val="12"/>
          <w:b w:val="1"/>
          <w:bCs w:val="1"/>
          <w:color w:val="auto"/>
        </w:rPr>
        <w:t>Payment to third parties</w:t>
      </w:r>
    </w:p>
    <w:p>
      <w:pPr>
        <w:spacing w:after="0" w:line="154" w:lineRule="exact"/>
        <w:rPr>
          <w:sz w:val="20"/>
          <w:szCs w:val="20"/>
          <w:color w:val="auto"/>
        </w:rPr>
      </w:pPr>
    </w:p>
    <w:p>
      <w:pPr>
        <w:ind w:left="420" w:right="20"/>
        <w:spacing w:after="0" w:line="279" w:lineRule="auto"/>
        <w:rPr>
          <w:sz w:val="20"/>
          <w:szCs w:val="20"/>
          <w:color w:val="auto"/>
        </w:rPr>
      </w:pPr>
      <w:r>
        <w:rPr>
          <w:rFonts w:ascii="Times New Roman" w:cs="Times New Roman" w:eastAsia="Times New Roman" w:hAnsi="Times New Roman"/>
          <w:sz w:val="12"/>
          <w:szCs w:val="12"/>
          <w:color w:val="auto"/>
        </w:rPr>
        <w:t>Each Borrower irrevocably authorises the Facility Agent on the Utilisation Date, to pay to, or for the account of, the Borrowers the amounts which the Facility Agent receives from the Lenders in respect of the Loan. That payment shall be made in like funds as the Facility Agent received from the Lenders in respect of the Loan to the account which the Borrowers specify in the Utilisation Request.</w:t>
      </w:r>
    </w:p>
    <w:p>
      <w:pPr>
        <w:spacing w:after="0" w:line="10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2"/>
          <w:szCs w:val="12"/>
          <w:b w:val="1"/>
          <w:bCs w:val="1"/>
          <w:color w:val="auto"/>
        </w:rPr>
        <w:t>5.7</w:t>
      </w:r>
      <w:r>
        <w:rPr>
          <w:sz w:val="20"/>
          <w:szCs w:val="20"/>
          <w:color w:val="auto"/>
        </w:rPr>
        <w:tab/>
      </w:r>
      <w:r>
        <w:rPr>
          <w:rFonts w:ascii="Times New Roman" w:cs="Times New Roman" w:eastAsia="Times New Roman" w:hAnsi="Times New Roman"/>
          <w:sz w:val="11"/>
          <w:szCs w:val="11"/>
          <w:b w:val="1"/>
          <w:bCs w:val="1"/>
          <w:color w:val="auto"/>
        </w:rPr>
        <w:t>Disbursement of the Loan to third party</w:t>
      </w:r>
    </w:p>
    <w:p>
      <w:pPr>
        <w:spacing w:after="0" w:line="152" w:lineRule="exact"/>
        <w:rPr>
          <w:sz w:val="20"/>
          <w:szCs w:val="20"/>
          <w:color w:val="auto"/>
        </w:rPr>
      </w:pPr>
    </w:p>
    <w:p>
      <w:pPr>
        <w:ind w:left="420"/>
        <w:spacing w:after="0" w:line="283" w:lineRule="auto"/>
        <w:rPr>
          <w:sz w:val="20"/>
          <w:szCs w:val="20"/>
          <w:color w:val="auto"/>
        </w:rPr>
      </w:pPr>
      <w:r>
        <w:rPr>
          <w:rFonts w:ascii="Times New Roman" w:cs="Times New Roman" w:eastAsia="Times New Roman" w:hAnsi="Times New Roman"/>
          <w:sz w:val="12"/>
          <w:szCs w:val="12"/>
          <w:color w:val="auto"/>
        </w:rPr>
        <w:t>Payment by the Facility Agent under Clause 5.6 (</w:t>
      </w:r>
      <w:r>
        <w:rPr>
          <w:rFonts w:ascii="Times New Roman" w:cs="Times New Roman" w:eastAsia="Times New Roman" w:hAnsi="Times New Roman"/>
          <w:sz w:val="12"/>
          <w:szCs w:val="12"/>
          <w:i w:val="1"/>
          <w:iCs w:val="1"/>
          <w:color w:val="auto"/>
        </w:rPr>
        <w:t>Payment to third parties</w:t>
      </w:r>
      <w:r>
        <w:rPr>
          <w:rFonts w:ascii="Times New Roman" w:cs="Times New Roman" w:eastAsia="Times New Roman" w:hAnsi="Times New Roman"/>
          <w:sz w:val="12"/>
          <w:szCs w:val="12"/>
          <w:color w:val="auto"/>
        </w:rPr>
        <w:t>) to a person other than a Borrower shall constitute the advance of the Loan and the Borrowers shall at that time become indebted, as principal and direct obligors, to each Lender in an amount equal to that Lender's participation in the Loan.</w:t>
      </w:r>
    </w:p>
    <w:p>
      <w:pPr>
        <w:spacing w:after="0" w:line="325" w:lineRule="exact"/>
        <w:rPr>
          <w:sz w:val="20"/>
          <w:szCs w:val="20"/>
          <w:color w:val="auto"/>
        </w:rPr>
      </w:pPr>
    </w:p>
    <w:p>
      <w:pPr>
        <w:jc w:val="both"/>
        <w:ind w:left="5580"/>
        <w:spacing w:after="0"/>
        <w:tabs>
          <w:tab w:leader="none" w:pos="10180"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1" w:right="299" w:bottom="1440" w:gutter="0" w:footer="0" w:header="0"/>
        </w:sectPr>
      </w:pPr>
    </w:p>
    <w:bookmarkStart w:id="428" w:name="page429"/>
    <w:bookmarkEnd w:id="42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4</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REPAYMENT, PREPAYMENT AND CANCELLATION</w:t>
      </w:r>
    </w:p>
    <w:p>
      <w:pPr>
        <w:spacing w:after="0" w:line="150" w:lineRule="exact"/>
        <w:rPr>
          <w:sz w:val="20"/>
          <w:szCs w:val="20"/>
          <w:color w:val="auto"/>
        </w:rPr>
      </w:pPr>
    </w:p>
    <w:p>
      <w:pPr>
        <w:ind w:left="428" w:hanging="428"/>
        <w:spacing w:after="0"/>
        <w:tabs>
          <w:tab w:leader="none" w:pos="428" w:val="left"/>
        </w:tabs>
        <w:numPr>
          <w:ilvl w:val="0"/>
          <w:numId w:val="67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REPAYMENT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6.1</w:t>
      </w:r>
      <w:r>
        <w:rPr>
          <w:sz w:val="20"/>
          <w:szCs w:val="20"/>
          <w:color w:val="auto"/>
        </w:rPr>
        <w:tab/>
      </w:r>
      <w:r>
        <w:rPr>
          <w:rFonts w:ascii="Times New Roman" w:cs="Times New Roman" w:eastAsia="Times New Roman" w:hAnsi="Times New Roman"/>
          <w:sz w:val="11"/>
          <w:szCs w:val="11"/>
          <w:b w:val="1"/>
          <w:bCs w:val="1"/>
          <w:color w:val="auto"/>
        </w:rPr>
        <w:t>Repayment of Loan</w:t>
      </w:r>
    </w:p>
    <w:p>
      <w:pPr>
        <w:spacing w:after="0" w:line="150" w:lineRule="exact"/>
        <w:rPr>
          <w:sz w:val="20"/>
          <w:szCs w:val="20"/>
          <w:color w:val="auto"/>
        </w:rPr>
      </w:pPr>
    </w:p>
    <w:p>
      <w:pPr>
        <w:jc w:val="both"/>
        <w:ind w:left="428" w:hanging="428"/>
        <w:spacing w:after="0" w:line="268" w:lineRule="auto"/>
        <w:tabs>
          <w:tab w:leader="none" w:pos="428" w:val="left"/>
        </w:tabs>
        <w:numPr>
          <w:ilvl w:val="0"/>
          <w:numId w:val="6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repay the Loan by way of 12 equal consecutive quarterly instalments, each in the amount of $7,000,000 (each, a "</w:t>
      </w:r>
      <w:r>
        <w:rPr>
          <w:rFonts w:ascii="Times New Roman" w:cs="Times New Roman" w:eastAsia="Times New Roman" w:hAnsi="Times New Roman"/>
          <w:sz w:val="12"/>
          <w:szCs w:val="12"/>
          <w:b w:val="1"/>
          <w:bCs w:val="1"/>
          <w:color w:val="auto"/>
        </w:rPr>
        <w:t>Repayment Instalment</w:t>
      </w:r>
      <w:r>
        <w:rPr>
          <w:rFonts w:ascii="Times New Roman" w:cs="Times New Roman" w:eastAsia="Times New Roman" w:hAnsi="Times New Roman"/>
          <w:sz w:val="12"/>
          <w:szCs w:val="12"/>
          <w:color w:val="auto"/>
        </w:rPr>
        <w:t>" and collectively the "</w:t>
      </w:r>
      <w:r>
        <w:rPr>
          <w:rFonts w:ascii="Times New Roman" w:cs="Times New Roman" w:eastAsia="Times New Roman" w:hAnsi="Times New Roman"/>
          <w:sz w:val="12"/>
          <w:szCs w:val="12"/>
          <w:b w:val="1"/>
          <w:bCs w:val="1"/>
          <w:color w:val="auto"/>
        </w:rPr>
        <w:t>Repayment Instalments</w:t>
      </w:r>
      <w:r>
        <w:rPr>
          <w:rFonts w:ascii="Times New Roman" w:cs="Times New Roman" w:eastAsia="Times New Roman" w:hAnsi="Times New Roman"/>
          <w:sz w:val="12"/>
          <w:szCs w:val="12"/>
          <w:color w:val="auto"/>
        </w:rPr>
        <w:t>"), together with a balloon instalment in the amount of $1,000,000 (the "</w:t>
      </w:r>
      <w:r>
        <w:rPr>
          <w:rFonts w:ascii="Times New Roman" w:cs="Times New Roman" w:eastAsia="Times New Roman" w:hAnsi="Times New Roman"/>
          <w:sz w:val="12"/>
          <w:szCs w:val="12"/>
          <w:b w:val="1"/>
          <w:bCs w:val="1"/>
          <w:color w:val="auto"/>
        </w:rPr>
        <w:t>Balloon Instalment</w:t>
      </w:r>
      <w:r>
        <w:rPr>
          <w:rFonts w:ascii="Times New Roman" w:cs="Times New Roman" w:eastAsia="Times New Roman" w:hAnsi="Times New Roman"/>
          <w:sz w:val="12"/>
          <w:szCs w:val="12"/>
          <w:color w:val="auto"/>
        </w:rPr>
        <w:t xml:space="preserve">") payable together with the last Repayment Instalment,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if the amount advanced is less than the maximum amount of the Loan, each Repayment Instalment relating to the Loan and the Balloon Instalment shall be reduced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by an amount equal to the undrawn amount.</w:t>
      </w:r>
    </w:p>
    <w:p>
      <w:pPr>
        <w:spacing w:after="0" w:line="117"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6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Repayment Instalment shall be repaid on the date falling three Months after the Utilisation Date, each subsequent Repayment Instalment at three monthly intervals thereafter and the last Repayment Instalment shall be repaid together with the Balloon Instalment on the Termination Date.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6.2</w:t>
      </w:r>
      <w:r>
        <w:rPr>
          <w:sz w:val="20"/>
          <w:szCs w:val="20"/>
          <w:color w:val="auto"/>
        </w:rPr>
        <w:tab/>
      </w:r>
      <w:r>
        <w:rPr>
          <w:rFonts w:ascii="Times New Roman" w:cs="Times New Roman" w:eastAsia="Times New Roman" w:hAnsi="Times New Roman"/>
          <w:sz w:val="11"/>
          <w:szCs w:val="11"/>
          <w:b w:val="1"/>
          <w:bCs w:val="1"/>
          <w:color w:val="auto"/>
        </w:rPr>
        <w:t>Effect of cancellation and prepayment on scheduled repayments</w:t>
      </w:r>
    </w:p>
    <w:p>
      <w:pPr>
        <w:spacing w:after="0" w:line="152" w:lineRule="exact"/>
        <w:rPr>
          <w:sz w:val="20"/>
          <w:szCs w:val="20"/>
          <w:color w:val="auto"/>
        </w:rPr>
      </w:pPr>
    </w:p>
    <w:p>
      <w:pPr>
        <w:jc w:val="both"/>
        <w:ind w:left="428" w:hanging="428"/>
        <w:spacing w:after="0" w:line="266" w:lineRule="auto"/>
        <w:tabs>
          <w:tab w:leader="none" w:pos="428" w:val="left"/>
        </w:tabs>
        <w:numPr>
          <w:ilvl w:val="0"/>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cancel the whole or any part of any Commitment in accordance with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or if the Available Commitment of any Lender is cancelled under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xml:space="preserve">) then the Repayment Instalments and the Balloon Instalment for each Repayment Date falling after that cancellation will be reduced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by the amount of the Available Commitments so cancelled.</w:t>
      </w:r>
    </w:p>
    <w:p>
      <w:pPr>
        <w:spacing w:after="0" w:line="117"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 of any Commitment is cancelled pursuant to Clause 5.5 (</w:t>
      </w:r>
      <w:r>
        <w:rPr>
          <w:rFonts w:ascii="Times New Roman" w:cs="Times New Roman" w:eastAsia="Times New Roman" w:hAnsi="Times New Roman"/>
          <w:sz w:val="12"/>
          <w:szCs w:val="12"/>
          <w:i w:val="1"/>
          <w:iCs w:val="1"/>
          <w:color w:val="auto"/>
        </w:rPr>
        <w:t>Cancellation of Commitments</w:t>
      </w:r>
      <w:r>
        <w:rPr>
          <w:rFonts w:ascii="Times New Roman" w:cs="Times New Roman" w:eastAsia="Times New Roman" w:hAnsi="Times New Roman"/>
          <w:sz w:val="12"/>
          <w:szCs w:val="12"/>
          <w:color w:val="auto"/>
        </w:rPr>
        <w:t xml:space="preserve">), the Repayment Instalments for each Repayment Date falling after that cancellation and the Balloon Instalment will be reduced </w:t>
      </w:r>
      <w:r>
        <w:rPr>
          <w:rFonts w:ascii="Times New Roman" w:cs="Times New Roman" w:eastAsia="Times New Roman" w:hAnsi="Times New Roman"/>
          <w:sz w:val="12"/>
          <w:szCs w:val="12"/>
          <w:i w:val="1"/>
          <w:iCs w:val="1"/>
          <w:color w:val="auto"/>
        </w:rPr>
        <w:t xml:space="preserve">pro rata </w:t>
      </w:r>
      <w:r>
        <w:rPr>
          <w:rFonts w:ascii="Times New Roman" w:cs="Times New Roman" w:eastAsia="Times New Roman" w:hAnsi="Times New Roman"/>
          <w:sz w:val="12"/>
          <w:szCs w:val="12"/>
          <w:color w:val="auto"/>
        </w:rPr>
        <w:t>by the amount of the Commitments so cancelled.</w:t>
      </w:r>
    </w:p>
    <w:p>
      <w:pPr>
        <w:spacing w:after="0" w:line="106"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 of the Loan is repaid or prepaid in accordance with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or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xml:space="preserve">) then the Repayment Instalments for each Repayment Date falling after that repayment or prepayment and the Balloon Instalment will be reduced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by the amount of the Loan repaid or prepaid.</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part of the Loan is prepaid in accordance with:</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7.3 (</w:t>
      </w:r>
      <w:r>
        <w:rPr>
          <w:rFonts w:ascii="Times New Roman" w:cs="Times New Roman" w:eastAsia="Times New Roman" w:hAnsi="Times New Roman"/>
          <w:sz w:val="12"/>
          <w:szCs w:val="12"/>
          <w:i w:val="1"/>
          <w:iCs w:val="1"/>
          <w:color w:val="auto"/>
        </w:rPr>
        <w:t>Voluntary prepayment of Loan</w:t>
      </w:r>
      <w:r>
        <w:rPr>
          <w:rFonts w:ascii="Times New Roman" w:cs="Times New Roman" w:eastAsia="Times New Roman" w:hAnsi="Times New Roman"/>
          <w:sz w:val="12"/>
          <w:szCs w:val="12"/>
          <w:color w:val="auto"/>
        </w:rPr>
        <w:t>), the prepayment shall be applied against the Loan in the manner specified by the Borrowers (at their discretion) in their confirmative and irrevocable prepayment notice delivered under that Clause; and</w:t>
      </w:r>
    </w:p>
    <w:p>
      <w:pPr>
        <w:spacing w:after="0" w:line="106"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6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in the case of a sale, Total Loss or refinancing of any Ship, or 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the prepayment shall be applied pro rata against the then outstanding Repayment Instalments in respect of the Loan and the Balloon Instalment.</w:t>
      </w:r>
    </w:p>
    <w:p>
      <w:pPr>
        <w:spacing w:after="0" w:line="10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29" w:name="page430"/>
    <w:bookmarkEnd w:id="42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6.3</w:t>
      </w:r>
      <w:r>
        <w:rPr>
          <w:sz w:val="20"/>
          <w:szCs w:val="20"/>
          <w:color w:val="auto"/>
        </w:rPr>
        <w:tab/>
      </w:r>
      <w:r>
        <w:rPr>
          <w:rFonts w:ascii="Times New Roman" w:cs="Times New Roman" w:eastAsia="Times New Roman" w:hAnsi="Times New Roman"/>
          <w:sz w:val="11"/>
          <w:szCs w:val="11"/>
          <w:b w:val="1"/>
          <w:bCs w:val="1"/>
          <w:color w:val="auto"/>
        </w:rPr>
        <w:t>Termination Date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the Termination Date, the Borrowers shall additionally pay to the Facility Agent for the account of the Finance Parties all other sums then accrued and owing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6.4</w:t>
      </w:r>
      <w:r>
        <w:rPr>
          <w:sz w:val="20"/>
          <w:szCs w:val="20"/>
          <w:color w:val="auto"/>
        </w:rPr>
        <w:tab/>
      </w:r>
      <w:r>
        <w:rPr>
          <w:rFonts w:ascii="Times New Roman" w:cs="Times New Roman" w:eastAsia="Times New Roman" w:hAnsi="Times New Roman"/>
          <w:sz w:val="12"/>
          <w:szCs w:val="12"/>
          <w:b w:val="1"/>
          <w:bCs w:val="1"/>
          <w:color w:val="auto"/>
        </w:rPr>
        <w:t>Reborrowing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may reborrow any part of the Facility which is repaid.</w:t>
      </w:r>
    </w:p>
    <w:p>
      <w:pPr>
        <w:spacing w:after="0" w:line="146" w:lineRule="exact"/>
        <w:rPr>
          <w:sz w:val="20"/>
          <w:szCs w:val="20"/>
          <w:color w:val="auto"/>
        </w:rPr>
      </w:pPr>
    </w:p>
    <w:p>
      <w:pPr>
        <w:ind w:left="428" w:hanging="428"/>
        <w:spacing w:after="0"/>
        <w:tabs>
          <w:tab w:leader="none" w:pos="428" w:val="left"/>
        </w:tabs>
        <w:numPr>
          <w:ilvl w:val="0"/>
          <w:numId w:val="67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PREPAYMENT AND CANCELLATION</w:t>
      </w:r>
    </w:p>
    <w:p>
      <w:pPr>
        <w:spacing w:after="0" w:line="150" w:lineRule="exact"/>
        <w:rPr>
          <w:rFonts w:ascii="Times New Roman" w:cs="Times New Roman" w:eastAsia="Times New Roman" w:hAnsi="Times New Roman"/>
          <w:sz w:val="12"/>
          <w:szCs w:val="12"/>
          <w:b w:val="1"/>
          <w:bCs w:val="1"/>
          <w:color w:val="auto"/>
        </w:rPr>
      </w:pPr>
    </w:p>
    <w:p>
      <w:pPr>
        <w:ind w:left="428" w:right="8720" w:hanging="425"/>
        <w:spacing w:after="0" w:line="504"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7.1Illegality and Sanctions affecting a Lender </w:t>
      </w:r>
      <w:r>
        <w:rPr>
          <w:rFonts w:ascii="Times New Roman" w:cs="Times New Roman" w:eastAsia="Times New Roman" w:hAnsi="Times New Roman"/>
          <w:sz w:val="12"/>
          <w:szCs w:val="12"/>
          <w:color w:val="auto"/>
        </w:rPr>
        <w:t>If:</w:t>
      </w:r>
    </w:p>
    <w:p>
      <w:pPr>
        <w:ind w:left="428" w:right="20" w:hanging="428"/>
        <w:spacing w:after="0" w:line="279" w:lineRule="auto"/>
        <w:tabs>
          <w:tab w:leader="none" w:pos="428" w:val="left"/>
        </w:tabs>
        <w:numPr>
          <w:ilvl w:val="0"/>
          <w:numId w:val="6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or contrary to Sanctions in any applicable jurisdiction for a Lender to perform any of its obligations as contemplated by the Finance Documents or to fund or maintain its participation in the Loan or it becomes unlawful for any Affiliate of a Lender for that Lender to do so; or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Sanction applies to any obligations of a Lender as contemplated by the Finance Documents or its funding or participation in any part of the Loan or if its Affiliate may be in breach of any Sanction as a result of that Lender doing so:</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Lender shall promptly notify the Facility Agent upon becoming aware of that event;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Facility Agent notifying the Borrowers, the Available Commitment of that Lender will be immediately cancelled;</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6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prepay that Lender's participation in each part of the Loan on the last day of the Interest Period applicable to that part of the Loan occurring after the Facility Agent has notified the Borrowers or, if earlier, the date specified by that Lender in the notice delivered to the Facility Agent (being no earlier than the last day of any applicable grace period permitted by law) and that Lender's corresponding Commitment shall be immediately cancelled in the amount of the participation prepaid;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accrued interest and all other amounts accrued for that Lender under the Finance Documents shall be immediately due and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7.2</w:t>
      </w:r>
      <w:r>
        <w:rPr>
          <w:sz w:val="20"/>
          <w:szCs w:val="20"/>
          <w:color w:val="auto"/>
        </w:rPr>
        <w:tab/>
      </w:r>
      <w:r>
        <w:rPr>
          <w:rFonts w:ascii="Times New Roman" w:cs="Times New Roman" w:eastAsia="Times New Roman" w:hAnsi="Times New Roman"/>
          <w:sz w:val="11"/>
          <w:szCs w:val="11"/>
          <w:b w:val="1"/>
          <w:bCs w:val="1"/>
          <w:color w:val="auto"/>
        </w:rPr>
        <w:t>Voluntary and automatic cancellation</w:t>
      </w:r>
    </w:p>
    <w:p>
      <w:pPr>
        <w:spacing w:after="0" w:line="154" w:lineRule="exact"/>
        <w:rPr>
          <w:sz w:val="20"/>
          <w:szCs w:val="20"/>
          <w:color w:val="auto"/>
        </w:rPr>
      </w:pPr>
    </w:p>
    <w:p>
      <w:pPr>
        <w:ind w:left="428" w:hanging="428"/>
        <w:spacing w:after="0" w:line="279" w:lineRule="auto"/>
        <w:tabs>
          <w:tab w:leader="none" w:pos="428" w:val="left"/>
        </w:tabs>
        <w:numPr>
          <w:ilvl w:val="0"/>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if they give the Facility Agent not less than five Business Days' (or such shorter period as the Majority Lenders may agree) prior notice, cancel the whole or any part (being a minimum amount of $1,000,000 or a multiple of that amount) of the Available Facility. Any cancellation under this Clause shall reduce the Commitments of the Lenders rateably and the amount of the Loan.</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unutilised Commitments (if any) of each Lender shall be automatically cancelled at close of business at the end of the Availability Period.</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30" w:name="page431"/>
    <w:bookmarkEnd w:id="43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7.3</w:t>
      </w:r>
      <w:r>
        <w:rPr>
          <w:sz w:val="20"/>
          <w:szCs w:val="20"/>
          <w:color w:val="auto"/>
        </w:rPr>
        <w:tab/>
      </w:r>
      <w:r>
        <w:rPr>
          <w:rFonts w:ascii="Times New Roman" w:cs="Times New Roman" w:eastAsia="Times New Roman" w:hAnsi="Times New Roman"/>
          <w:sz w:val="11"/>
          <w:szCs w:val="11"/>
          <w:b w:val="1"/>
          <w:bCs w:val="1"/>
          <w:color w:val="auto"/>
        </w:rPr>
        <w:t>Voluntary prepayment of Loan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The Borrowers may, if they give the Facility Agent not less than ten Business Days' prior indicative notice and five Business Days' prior confirmative and irrevocable written notice (or such shorter notice as the Facility Agent may agree), prepay the whole or any part of the Loan (but, if in part, being a minimum amount of $1,000,000 or a multiple of that amount) on the last day of an Interest Period.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7.4</w:t>
      </w:r>
      <w:r>
        <w:rPr>
          <w:sz w:val="20"/>
          <w:szCs w:val="20"/>
          <w:color w:val="auto"/>
        </w:rPr>
        <w:tab/>
      </w:r>
      <w:r>
        <w:rPr>
          <w:rFonts w:ascii="Times New Roman" w:cs="Times New Roman" w:eastAsia="Times New Roman" w:hAnsi="Times New Roman"/>
          <w:sz w:val="11"/>
          <w:szCs w:val="11"/>
          <w:b w:val="1"/>
          <w:bCs w:val="1"/>
          <w:color w:val="auto"/>
        </w:rPr>
        <w:t>Mandatory prepayment on sale, refinancing or Total Loss</w:t>
      </w:r>
    </w:p>
    <w:p>
      <w:pPr>
        <w:spacing w:after="0" w:line="152" w:lineRule="exact"/>
        <w:rPr>
          <w:sz w:val="20"/>
          <w:szCs w:val="20"/>
          <w:color w:val="auto"/>
        </w:rPr>
      </w:pPr>
    </w:p>
    <w:p>
      <w:pPr>
        <w:ind w:left="428" w:hanging="428"/>
        <w:spacing w:after="0" w:line="283" w:lineRule="auto"/>
        <w:tabs>
          <w:tab w:leader="none" w:pos="428" w:val="left"/>
        </w:tabs>
        <w:numPr>
          <w:ilvl w:val="0"/>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Ship is sold (without prejudice to paragraph (a) of Clause 23.12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or becomes a Total Loss or is refinanced, the Borrowers shall, subject to Clause 6.2(d) (</w:t>
      </w:r>
      <w:r>
        <w:rPr>
          <w:rFonts w:ascii="Times New Roman" w:cs="Times New Roman" w:eastAsia="Times New Roman" w:hAnsi="Times New Roman"/>
          <w:sz w:val="12"/>
          <w:szCs w:val="12"/>
          <w:i w:val="1"/>
          <w:iCs w:val="1"/>
          <w:color w:val="auto"/>
        </w:rPr>
        <w:t>Effect of cancellation and prepayment on scheduled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repayments</w:t>
      </w:r>
      <w:r>
        <w:rPr>
          <w:rFonts w:ascii="Times New Roman" w:cs="Times New Roman" w:eastAsia="Times New Roman" w:hAnsi="Times New Roman"/>
          <w:sz w:val="12"/>
          <w:szCs w:val="12"/>
          <w:color w:val="auto"/>
        </w:rPr>
        <w:t>), prepay the Relevant Amount on the Relevant Date.</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that no Default has occurred and is continuing, any remaining proceeds of the sale, refinancing or, Total Loss of a Ship after the prepayment referred to in paragraph (a) above has been made, together with all other amounts that are payable on any such prepayment pursuant to the Finance Documents, shall be paid to the Borrower that owned the relevant Ship.</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undertakes, in the case of a sale or Total Loss of the Ship owned by it, to deposit the sale proceeds relating to such sale or the insurance proceeds relating to such Total Loss (as the case may be) to the Earnings Account of that Borrower to be applied towards the prepayment of the Loan as required to be made by the Borrowers pursuant to paragraph (a) and (b) above.</w:t>
      </w:r>
    </w:p>
    <w:p>
      <w:pPr>
        <w:spacing w:after="0" w:line="109"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48" w:lineRule="exact"/>
        <w:rPr>
          <w:rFonts w:ascii="Times New Roman" w:cs="Times New Roman" w:eastAsia="Times New Roman" w:hAnsi="Times New Roman"/>
          <w:sz w:val="12"/>
          <w:szCs w:val="12"/>
          <w:color w:val="auto"/>
        </w:rPr>
      </w:pPr>
    </w:p>
    <w:p>
      <w:pPr>
        <w:jc w:val="both"/>
        <w:ind w:left="428"/>
        <w:spacing w:after="0" w:line="268"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Amount</w:t>
      </w:r>
      <w:r>
        <w:rPr>
          <w:rFonts w:ascii="Times New Roman" w:cs="Times New Roman" w:eastAsia="Times New Roman" w:hAnsi="Times New Roman"/>
          <w:sz w:val="12"/>
          <w:szCs w:val="12"/>
          <w:color w:val="auto"/>
        </w:rPr>
        <w:t>" means, in relation to a Ship that has been sold or has become a Total Loss or is being refinanced, an amount equal to an amount of the Loan which, after giving effect to the prepayment required to be made pursuant to this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results in the Security Cover Ratio being not less than the higher of (A) the Security Cover Ratio maintained immediately prior to the prepayment made pursuant to this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and (B) the Relevant Percentage.</w:t>
      </w:r>
    </w:p>
    <w:p>
      <w:pPr>
        <w:spacing w:after="0" w:line="11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Date</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sale of a Ship, the date falling on the earlier of:</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the sale is completed by delivery of that Ship to the buyer of that Ship;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receipt by the relevant Borrower or the Security Agent of the proceeds relating to such sale;</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Total Loss of a Ship, the date falling on the earlier of:</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falling 120 days after the Total Loss Date; and</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2"/>
          <w:numId w:val="6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of receipt by the Security Agent of the proceeds of insurance relating to such Total Loss; and</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31" w:name="page432"/>
    <w:bookmarkEnd w:id="431"/>
    <w:p>
      <w:pPr>
        <w:ind w:left="868" w:hanging="436"/>
        <w:spacing w:after="0"/>
        <w:tabs>
          <w:tab w:leader="none" w:pos="868" w:val="left"/>
        </w:tabs>
        <w:numPr>
          <w:ilvl w:val="0"/>
          <w:numId w:val="6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case of a refinancing of a Ship, on the date on which the refinancing or the release (as applicable) is completed by the discharge of the Mortgage over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7.5</w:t>
      </w:r>
      <w:r>
        <w:rPr>
          <w:sz w:val="20"/>
          <w:szCs w:val="20"/>
          <w:color w:val="auto"/>
        </w:rPr>
        <w:tab/>
      </w:r>
      <w:r>
        <w:rPr>
          <w:rFonts w:ascii="Times New Roman" w:cs="Times New Roman" w:eastAsia="Times New Roman" w:hAnsi="Times New Roman"/>
          <w:sz w:val="11"/>
          <w:szCs w:val="11"/>
          <w:b w:val="1"/>
          <w:bCs w:val="1"/>
          <w:color w:val="auto"/>
        </w:rPr>
        <w:t>Change of Control</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 Change of Control occurs the Borrowers and the Guarantor shall promptly notify the Facility Agent upon becoming aware of that event and if the Majority Lenders so require, the Facility Agent shall (acting on the instructions of the Majority Lenders), by not less than 15 days' notice to the Borrowers, cancel the Facility and declare the Loan, together with accrued interest, and all other amounts accrued under the Finance Documents immediately due and payable, whereupon the Facility will be cancelled and the Loan and all such outstanding interest and other amounts will become immediately due and payable.</w:t>
      </w:r>
    </w:p>
    <w:p>
      <w:pPr>
        <w:spacing w:after="0" w:line="11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purpose of this clause, a "</w:t>
      </w:r>
      <w:r>
        <w:rPr>
          <w:rFonts w:ascii="Times New Roman" w:cs="Times New Roman" w:eastAsia="Times New Roman" w:hAnsi="Times New Roman"/>
          <w:sz w:val="12"/>
          <w:szCs w:val="12"/>
          <w:b w:val="1"/>
          <w:bCs w:val="1"/>
          <w:color w:val="auto"/>
        </w:rPr>
        <w:t>Change of Control</w:t>
      </w:r>
      <w:r>
        <w:rPr>
          <w:rFonts w:ascii="Times New Roman" w:cs="Times New Roman" w:eastAsia="Times New Roman" w:hAnsi="Times New Roman"/>
          <w:sz w:val="12"/>
          <w:szCs w:val="12"/>
          <w:color w:val="auto"/>
        </w:rPr>
        <w:t>" occurs if, during the Security Period:</w:t>
      </w:r>
    </w:p>
    <w:p>
      <w:pPr>
        <w:spacing w:after="0" w:line="152" w:lineRule="exact"/>
        <w:rPr>
          <w:sz w:val="20"/>
          <w:szCs w:val="20"/>
          <w:color w:val="auto"/>
        </w:rPr>
      </w:pPr>
    </w:p>
    <w:p>
      <w:pPr>
        <w:ind w:left="428" w:hanging="428"/>
        <w:spacing w:after="0"/>
        <w:tabs>
          <w:tab w:leader="none" w:pos="428" w:val="left"/>
        </w:tabs>
        <w:numPr>
          <w:ilvl w:val="0"/>
          <w:numId w:val="6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as otherwise permitted pursuant to paragraph (e) of Clause 23.17 (</w:t>
      </w:r>
      <w:r>
        <w:rPr>
          <w:rFonts w:ascii="Times New Roman" w:cs="Times New Roman" w:eastAsia="Times New Roman" w:hAnsi="Times New Roman"/>
          <w:sz w:val="12"/>
          <w:szCs w:val="12"/>
          <w:i w:val="1"/>
          <w:iCs w:val="1"/>
          <w:color w:val="auto"/>
        </w:rPr>
        <w:t>LLC interests and ownership of Borrowers</w:t>
      </w:r>
      <w:r>
        <w:rPr>
          <w:rFonts w:ascii="Times New Roman" w:cs="Times New Roman" w:eastAsia="Times New Roman" w:hAnsi="Times New Roman"/>
          <w:sz w:val="12"/>
          <w:szCs w:val="12"/>
          <w:color w:val="auto"/>
        </w:rPr>
        <w:t>), a Borrower is not or ceases to be a wholly-owned direct or indirect Subsidiary of the Guarantor;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own at least 1 per cent. of the shares in the Guarantor (either directly or through one or more of his affiliates);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George Giouroukos ceases to be the Executive Chairman of (or to hold an equivalent executive officer position in) the Guarantor other than by reason of death or other incapacity in managing his affairs;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person(s) own(s) more than 15 per cent. of the shares in the Guarantor, other than Mr George Giouroukos (either directly or through one or more of his affiliates).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7.6</w:t>
      </w:r>
      <w:r>
        <w:rPr>
          <w:sz w:val="20"/>
          <w:szCs w:val="20"/>
          <w:color w:val="auto"/>
        </w:rPr>
        <w:tab/>
      </w:r>
      <w:r>
        <w:rPr>
          <w:rFonts w:ascii="Times New Roman" w:cs="Times New Roman" w:eastAsia="Times New Roman" w:hAnsi="Times New Roman"/>
          <w:sz w:val="11"/>
          <w:szCs w:val="11"/>
          <w:b w:val="1"/>
          <w:bCs w:val="1"/>
          <w:color w:val="auto"/>
        </w:rPr>
        <w:t>Right of repayment and cancellation in relation to a single Lender</w:t>
      </w:r>
    </w:p>
    <w:p>
      <w:pPr>
        <w:spacing w:after="0" w:line="154" w:lineRule="exact"/>
        <w:rPr>
          <w:sz w:val="20"/>
          <w:szCs w:val="20"/>
          <w:color w:val="auto"/>
        </w:rPr>
      </w:pPr>
    </w:p>
    <w:p>
      <w:pPr>
        <w:ind w:left="428" w:hanging="428"/>
        <w:spacing w:after="0"/>
        <w:tabs>
          <w:tab w:leader="none" w:pos="428" w:val="left"/>
        </w:tabs>
        <w:numPr>
          <w:ilvl w:val="0"/>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sum payable to any Lender by a Transaction Obligor is required to be increased under paragraph (c) of Clause 13.2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 under that Clause as incorporated by reference or in full in any other Finance Document; or</w:t>
      </w:r>
    </w:p>
    <w:p>
      <w:pPr>
        <w:spacing w:after="0" w:line="10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claims indemnification from a Borrower under Clause 13.3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or Clause 14.1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may, whilst the circumstance giving rise to the requirement for that increase or indemnification continues, give the Facility Agent notice of cancellation of the Commitment of that Lender and its intention to procure the repayment of that Lender's participation in the Loan.</w:t>
      </w:r>
    </w:p>
    <w:p>
      <w:pPr>
        <w:spacing w:after="0" w:line="111" w:lineRule="exact"/>
        <w:rPr>
          <w:sz w:val="20"/>
          <w:szCs w:val="20"/>
          <w:color w:val="auto"/>
        </w:rPr>
      </w:pPr>
    </w:p>
    <w:p>
      <w:pPr>
        <w:ind w:left="428" w:hanging="428"/>
        <w:spacing w:after="0"/>
        <w:tabs>
          <w:tab w:leader="none" w:pos="428" w:val="left"/>
        </w:tabs>
        <w:numPr>
          <w:ilvl w:val="0"/>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receipt of a notice of cancellation referred to in paragraph (a) above, the Commitment of that Lender shall immediately be reduced to zero.</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last day of each Interest Period which ends after the Borrowers have given notice of cancellation under paragraph (a) above in relation to a Lender (or, if earlier, the date specified by the Borrowers in that notice), the Borrowers shall repay that Lender's participation in the Loan.</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32" w:name="page433"/>
    <w:bookmarkEnd w:id="43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7.7</w:t>
      </w:r>
      <w:r>
        <w:rPr>
          <w:sz w:val="20"/>
          <w:szCs w:val="20"/>
          <w:color w:val="auto"/>
        </w:rPr>
        <w:tab/>
      </w:r>
      <w:r>
        <w:rPr>
          <w:rFonts w:ascii="Times New Roman" w:cs="Times New Roman" w:eastAsia="Times New Roman" w:hAnsi="Times New Roman"/>
          <w:sz w:val="11"/>
          <w:szCs w:val="11"/>
          <w:b w:val="1"/>
          <w:bCs w:val="1"/>
          <w:color w:val="auto"/>
        </w:rPr>
        <w:t>Restrictions</w:t>
      </w:r>
    </w:p>
    <w:p>
      <w:pPr>
        <w:spacing w:after="0" w:line="152" w:lineRule="exact"/>
        <w:rPr>
          <w:sz w:val="20"/>
          <w:szCs w:val="20"/>
          <w:color w:val="auto"/>
        </w:rPr>
      </w:pPr>
    </w:p>
    <w:p>
      <w:pPr>
        <w:ind w:left="428" w:hanging="428"/>
        <w:spacing w:after="0" w:line="283" w:lineRule="auto"/>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of cancellation or prepayment given by any Party under this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shall be irrevocable and, unless a contrary indication appears in this Agreement, shall specify the date or dates upon which the relevant cancellation or prepayment is to be made, the amount of that cancellation or prepayment and, if relevant, the part of the Loan to be prepaid or cancelled.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prepayment under this Agreement shall be made together with accrued interest on the amount prepaid and, subject to i) any Break Costs, if applicable and ii) Clause 12.1 (</w:t>
      </w:r>
      <w:r>
        <w:rPr>
          <w:rFonts w:ascii="Times New Roman" w:cs="Times New Roman" w:eastAsia="Times New Roman" w:hAnsi="Times New Roman"/>
          <w:sz w:val="12"/>
          <w:szCs w:val="12"/>
          <w:i w:val="1"/>
          <w:iCs w:val="1"/>
          <w:color w:val="auto"/>
        </w:rPr>
        <w:t>Prepayment fee</w:t>
      </w:r>
      <w:r>
        <w:rPr>
          <w:rFonts w:ascii="Times New Roman" w:cs="Times New Roman" w:eastAsia="Times New Roman" w:hAnsi="Times New Roman"/>
          <w:sz w:val="12"/>
          <w:szCs w:val="12"/>
          <w:color w:val="auto"/>
        </w:rPr>
        <w:t>) without premium or penalty.</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may reborrow any part of the Facility which is prepaid.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repay or prepay all or any part of the Loan or cancel all or any part of the Commitments except at the times and in the manner expressly provided for in this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amount of the Total Commitments cancelled under this Agreement may be subsequently reinstated.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a notice under this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it shall promptly forward a copy of that notice to either the Borrowers and/or the affected Lenders, as appropriate.</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all or part of any Lender's participation in the Loan is repaid or prepaid, an amount of that Lender's Commitment (equal to the amount of the participation which is repaid or prepaid) will be deemed to be cancelled on the date of repayment or prepayment.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7.8</w:t>
      </w:r>
      <w:r>
        <w:rPr>
          <w:sz w:val="20"/>
          <w:szCs w:val="20"/>
          <w:color w:val="auto"/>
        </w:rPr>
        <w:tab/>
      </w:r>
      <w:r>
        <w:rPr>
          <w:rFonts w:ascii="Times New Roman" w:cs="Times New Roman" w:eastAsia="Times New Roman" w:hAnsi="Times New Roman"/>
          <w:sz w:val="11"/>
          <w:szCs w:val="11"/>
          <w:b w:val="1"/>
          <w:bCs w:val="1"/>
          <w:color w:val="auto"/>
        </w:rPr>
        <w:t>Application of repayments and prepayments</w:t>
      </w:r>
    </w:p>
    <w:p>
      <w:pPr>
        <w:spacing w:after="0" w:line="152" w:lineRule="exact"/>
        <w:rPr>
          <w:sz w:val="20"/>
          <w:szCs w:val="20"/>
          <w:color w:val="auto"/>
        </w:rPr>
      </w:pPr>
    </w:p>
    <w:p>
      <w:pPr>
        <w:jc w:val="both"/>
        <w:ind w:left="428" w:hanging="428"/>
        <w:spacing w:after="0" w:line="266" w:lineRule="auto"/>
        <w:tabs>
          <w:tab w:leader="none" w:pos="428" w:val="left"/>
        </w:tabs>
        <w:numPr>
          <w:ilvl w:val="0"/>
          <w:numId w:val="6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prepayment of any part of the Loan (other than a prepayment pursuant to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or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or Clause 7.6 (</w:t>
      </w:r>
      <w:r>
        <w:rPr>
          <w:rFonts w:ascii="Times New Roman" w:cs="Times New Roman" w:eastAsia="Times New Roman" w:hAnsi="Times New Roman"/>
          <w:sz w:val="12"/>
          <w:szCs w:val="12"/>
          <w:i w:val="1"/>
          <w:iCs w:val="1"/>
          <w:color w:val="auto"/>
        </w:rPr>
        <w:t>Right of repayment and cancellation in relation to a single Lender</w:t>
      </w:r>
      <w:r>
        <w:rPr>
          <w:rFonts w:ascii="Times New Roman" w:cs="Times New Roman" w:eastAsia="Times New Roman" w:hAnsi="Times New Roman"/>
          <w:sz w:val="12"/>
          <w:szCs w:val="12"/>
          <w:color w:val="auto"/>
        </w:rPr>
        <w:t>)) shall be applied, at the Borrowers' option, in order of maturity or inverse order of maturity or rateably against the remaining Repayment Instalments and the Balloon Instalment.</w:t>
      </w:r>
    </w:p>
    <w:p>
      <w:pPr>
        <w:spacing w:after="0" w:line="11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repayment made in accordance with Clause 6.1 (</w:t>
      </w:r>
      <w:r>
        <w:rPr>
          <w:rFonts w:ascii="Times New Roman" w:cs="Times New Roman" w:eastAsia="Times New Roman" w:hAnsi="Times New Roman"/>
          <w:sz w:val="12"/>
          <w:szCs w:val="12"/>
          <w:i w:val="1"/>
          <w:iCs w:val="1"/>
          <w:color w:val="auto"/>
        </w:rPr>
        <w:t>Repayment of Loan</w:t>
      </w:r>
      <w:r>
        <w:rPr>
          <w:rFonts w:ascii="Times New Roman" w:cs="Times New Roman" w:eastAsia="Times New Roman" w:hAnsi="Times New Roman"/>
          <w:sz w:val="12"/>
          <w:szCs w:val="12"/>
          <w:color w:val="auto"/>
        </w:rPr>
        <w:t>) shall be distributed by the Facility Agent to each Lender pro rata to that Lender's participation in the Loan.</w:t>
      </w:r>
    </w:p>
    <w:p>
      <w:pPr>
        <w:spacing w:after="0" w:line="15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33" w:name="page434"/>
    <w:bookmarkEnd w:id="43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5</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COSTS OF UTILISATION</w:t>
      </w:r>
    </w:p>
    <w:p>
      <w:pPr>
        <w:spacing w:after="0" w:line="150" w:lineRule="exact"/>
        <w:rPr>
          <w:sz w:val="20"/>
          <w:szCs w:val="20"/>
          <w:color w:val="auto"/>
        </w:rPr>
      </w:pPr>
    </w:p>
    <w:p>
      <w:pPr>
        <w:ind w:left="428" w:hanging="428"/>
        <w:spacing w:after="0"/>
        <w:tabs>
          <w:tab w:leader="none" w:pos="428" w:val="left"/>
        </w:tabs>
        <w:numPr>
          <w:ilvl w:val="0"/>
          <w:numId w:val="68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RATE SWITCH</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8.1</w:t>
      </w:r>
      <w:r>
        <w:rPr>
          <w:sz w:val="20"/>
          <w:szCs w:val="20"/>
          <w:color w:val="auto"/>
        </w:rPr>
        <w:tab/>
      </w:r>
      <w:r>
        <w:rPr>
          <w:rFonts w:ascii="Times New Roman" w:cs="Times New Roman" w:eastAsia="Times New Roman" w:hAnsi="Times New Roman"/>
          <w:sz w:val="11"/>
          <w:szCs w:val="11"/>
          <w:b w:val="1"/>
          <w:bCs w:val="1"/>
          <w:color w:val="auto"/>
        </w:rPr>
        <w:t>Switch to Compounded Reference Rate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8.2 (</w:t>
      </w:r>
      <w:r>
        <w:rPr>
          <w:rFonts w:ascii="Times New Roman" w:cs="Times New Roman" w:eastAsia="Times New Roman" w:hAnsi="Times New Roman"/>
          <w:sz w:val="12"/>
          <w:szCs w:val="12"/>
          <w:i w:val="1"/>
          <w:iCs w:val="1"/>
          <w:color w:val="auto"/>
        </w:rPr>
        <w:t>Delayed switch for existing Forward Rate Loans</w:t>
      </w:r>
      <w:r>
        <w:rPr>
          <w:rFonts w:ascii="Times New Roman" w:cs="Times New Roman" w:eastAsia="Times New Roman" w:hAnsi="Times New Roman"/>
          <w:sz w:val="12"/>
          <w:szCs w:val="12"/>
          <w:color w:val="auto"/>
        </w:rPr>
        <w:t>), on and from the Rate Switch Date:</w:t>
      </w:r>
    </w:p>
    <w:p>
      <w:pPr>
        <w:spacing w:after="0" w:line="152" w:lineRule="exact"/>
        <w:rPr>
          <w:sz w:val="20"/>
          <w:szCs w:val="20"/>
          <w:color w:val="auto"/>
        </w:rPr>
      </w:pPr>
    </w:p>
    <w:p>
      <w:pPr>
        <w:ind w:left="428" w:hanging="428"/>
        <w:spacing w:after="0"/>
        <w:tabs>
          <w:tab w:leader="none" w:pos="428" w:val="left"/>
        </w:tabs>
        <w:numPr>
          <w:ilvl w:val="0"/>
          <w:numId w:val="6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use of the Compounded Reference Rate will replace the use of the Forward Rate for the calculation of interest for the Loan or any part of the Loan; and</w:t>
      </w:r>
    </w:p>
    <w:p>
      <w:pPr>
        <w:spacing w:after="0" w:line="14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any part of the Loan or Unpaid Sum shall be a "</w:t>
      </w:r>
      <w:r>
        <w:rPr>
          <w:rFonts w:ascii="Times New Roman" w:cs="Times New Roman" w:eastAsia="Times New Roman" w:hAnsi="Times New Roman"/>
          <w:sz w:val="12"/>
          <w:szCs w:val="12"/>
          <w:b w:val="1"/>
          <w:bCs w:val="1"/>
          <w:color w:val="auto"/>
        </w:rPr>
        <w:t>Compounded Rate Loan</w:t>
      </w:r>
      <w:r>
        <w:rPr>
          <w:rFonts w:ascii="Times New Roman" w:cs="Times New Roman" w:eastAsia="Times New Roman" w:hAnsi="Times New Roman"/>
          <w:sz w:val="12"/>
          <w:szCs w:val="12"/>
          <w:color w:val="auto"/>
        </w:rPr>
        <w:t>" and Clause 9.2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shall apply to the Loan, any such part of the Loan or Unpaid Sum.</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8.2</w:t>
      </w:r>
      <w:r>
        <w:rPr>
          <w:sz w:val="20"/>
          <w:szCs w:val="20"/>
          <w:color w:val="auto"/>
        </w:rPr>
        <w:tab/>
      </w:r>
      <w:r>
        <w:rPr>
          <w:rFonts w:ascii="Times New Roman" w:cs="Times New Roman" w:eastAsia="Times New Roman" w:hAnsi="Times New Roman"/>
          <w:sz w:val="11"/>
          <w:szCs w:val="11"/>
          <w:b w:val="1"/>
          <w:bCs w:val="1"/>
          <w:color w:val="auto"/>
        </w:rPr>
        <w:t>Delayed switch for existing Forward Rate Loans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the Rate Switch Date falls before the last day of an Interest Period for a Forward Rate Loan:</w:t>
      </w:r>
    </w:p>
    <w:p>
      <w:pPr>
        <w:spacing w:after="0" w:line="148" w:lineRule="exact"/>
        <w:rPr>
          <w:sz w:val="20"/>
          <w:szCs w:val="20"/>
          <w:color w:val="auto"/>
        </w:rPr>
      </w:pPr>
    </w:p>
    <w:p>
      <w:pPr>
        <w:ind w:left="428" w:hanging="428"/>
        <w:spacing w:after="0" w:line="283" w:lineRule="auto"/>
        <w:tabs>
          <w:tab w:leader="none" w:pos="428" w:val="left"/>
        </w:tabs>
        <w:numPr>
          <w:ilvl w:val="0"/>
          <w:numId w:val="6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relevant part of the Loan or Unpaid Sum (as applicable) shall continue to be a Forward Rate Loan for that Interest Period and the terms of Clause 9.1 (</w:t>
      </w:r>
      <w:r>
        <w:rPr>
          <w:rFonts w:ascii="Times New Roman" w:cs="Times New Roman" w:eastAsia="Times New Roman" w:hAnsi="Times New Roman"/>
          <w:sz w:val="12"/>
          <w:szCs w:val="12"/>
          <w:i w:val="1"/>
          <w:iCs w:val="1"/>
          <w:color w:val="auto"/>
        </w:rPr>
        <w:t>Calculation of Interest – Forward Rate Loans</w:t>
      </w:r>
      <w:r>
        <w:rPr>
          <w:rFonts w:ascii="Times New Roman" w:cs="Times New Roman" w:eastAsia="Times New Roman" w:hAnsi="Times New Roman"/>
          <w:sz w:val="12"/>
          <w:szCs w:val="12"/>
          <w:color w:val="auto"/>
        </w:rPr>
        <w:t>) shall continue to apply to the Loan, relevant part of the Loan or Unpaid Sum for that Interest Period;</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 of this Agreement which is expressed to relate to a Compounded Rate Loan shall not apply in relation to the Loan, relevant part of the Loan or Unpaid Sum (as applicable) for that Interest Period;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and from the first day of the next Interest Period (if any) for the Loan, relevant part of the Loan or Unpaid Sum (as applicable):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relevant part of the Loan or Unpaid Sum (as applicable) shall be a "Compounded Rate Loan"; and</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9.2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shall apply to the Loan, relevant part of the Loan or Unpaid Sum.</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8.3</w:t>
      </w:r>
      <w:r>
        <w:rPr>
          <w:sz w:val="20"/>
          <w:szCs w:val="20"/>
          <w:color w:val="auto"/>
        </w:rPr>
        <w:tab/>
      </w:r>
      <w:r>
        <w:rPr>
          <w:rFonts w:ascii="Times New Roman" w:cs="Times New Roman" w:eastAsia="Times New Roman" w:hAnsi="Times New Roman"/>
          <w:sz w:val="11"/>
          <w:szCs w:val="11"/>
          <w:b w:val="1"/>
          <w:bCs w:val="1"/>
          <w:color w:val="auto"/>
        </w:rPr>
        <w:t>Notifications by Agent</w:t>
      </w:r>
    </w:p>
    <w:p>
      <w:pPr>
        <w:spacing w:after="0" w:line="154" w:lineRule="exact"/>
        <w:rPr>
          <w:sz w:val="20"/>
          <w:szCs w:val="20"/>
          <w:color w:val="auto"/>
        </w:rPr>
      </w:pPr>
    </w:p>
    <w:p>
      <w:pPr>
        <w:ind w:left="428" w:hanging="428"/>
        <w:spacing w:after="0"/>
        <w:tabs>
          <w:tab w:leader="none" w:pos="428" w:val="left"/>
        </w:tabs>
        <w:numPr>
          <w:ilvl w:val="0"/>
          <w:numId w:val="6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 Rate Switch Trigger Event the Facility Agent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 occurrence of that Rate Switch Trigger Event, notify the Borrowers and the Lenders of that occurrence;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 Rate Switch Trigger Event Date applicable to that Rate Switch Trigger Event, notify the Borrowers and the Lenders of that date.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promptly upon becoming aware of the occurrence of the Rate Switch Date, notify the Borrowers and the Lenders of that occurrence.</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34" w:name="page435"/>
    <w:bookmarkEnd w:id="434"/>
    <w:p>
      <w:pPr>
        <w:ind w:left="428" w:hanging="428"/>
        <w:spacing w:after="0"/>
        <w:tabs>
          <w:tab w:leader="none" w:pos="428" w:val="left"/>
        </w:tabs>
        <w:numPr>
          <w:ilvl w:val="0"/>
          <w:numId w:val="68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INTEREST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9.1</w:t>
      </w:r>
      <w:r>
        <w:rPr>
          <w:sz w:val="20"/>
          <w:szCs w:val="20"/>
          <w:color w:val="auto"/>
        </w:rPr>
        <w:tab/>
      </w:r>
      <w:r>
        <w:rPr>
          <w:rFonts w:ascii="Times New Roman" w:cs="Times New Roman" w:eastAsia="Times New Roman" w:hAnsi="Times New Roman"/>
          <w:sz w:val="11"/>
          <w:szCs w:val="11"/>
          <w:b w:val="1"/>
          <w:bCs w:val="1"/>
          <w:color w:val="auto"/>
        </w:rPr>
        <w:t>Calculation of interest – Forward Rate Loans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rate of interest on each Forward Rate Loan for each Interest Period is the percentage rate per annum which is the aggregate of the:</w:t>
      </w:r>
    </w:p>
    <w:p>
      <w:pPr>
        <w:spacing w:after="0" w:line="150" w:lineRule="exact"/>
        <w:rPr>
          <w:sz w:val="20"/>
          <w:szCs w:val="20"/>
          <w:color w:val="auto"/>
        </w:rPr>
      </w:pPr>
    </w:p>
    <w:p>
      <w:pPr>
        <w:ind w:left="428" w:hanging="428"/>
        <w:spacing w:after="0"/>
        <w:tabs>
          <w:tab w:leader="none" w:pos="428" w:val="left"/>
        </w:tabs>
        <w:numPr>
          <w:ilvl w:val="0"/>
          <w:numId w:val="6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Margin;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applicable Forward Reference Rate.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9.2</w:t>
      </w:r>
      <w:r>
        <w:rPr>
          <w:sz w:val="20"/>
          <w:szCs w:val="20"/>
          <w:color w:val="auto"/>
        </w:rPr>
        <w:tab/>
      </w:r>
      <w:r>
        <w:rPr>
          <w:rFonts w:ascii="Times New Roman" w:cs="Times New Roman" w:eastAsia="Times New Roman" w:hAnsi="Times New Roman"/>
          <w:sz w:val="11"/>
          <w:szCs w:val="11"/>
          <w:b w:val="1"/>
          <w:bCs w:val="1"/>
          <w:color w:val="auto"/>
        </w:rPr>
        <w:t>Calculation of interest – Compounded Rate Loans</w:t>
      </w:r>
    </w:p>
    <w:p>
      <w:pPr>
        <w:spacing w:after="0" w:line="154" w:lineRule="exact"/>
        <w:rPr>
          <w:sz w:val="20"/>
          <w:szCs w:val="20"/>
          <w:color w:val="auto"/>
        </w:rPr>
      </w:pPr>
    </w:p>
    <w:p>
      <w:pPr>
        <w:ind w:left="428" w:hanging="428"/>
        <w:spacing w:after="0"/>
        <w:tabs>
          <w:tab w:leader="none" w:pos="428" w:val="left"/>
        </w:tabs>
        <w:numPr>
          <w:ilvl w:val="0"/>
          <w:numId w:val="6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of interest on each Compounded Rate Loan for any day during an Interest Period is the percentage rate per annum which is the aggregate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Margin;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Compounded Reference Rate for that day.</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6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day during an Interest Period for a Compounded Rate Loan is not a RFR Banking Day, the rate of interest on that Compounded Rate Loan for that day will be the rate applicable to the immediately preceding RFR Banking Day.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9.3</w:t>
      </w:r>
      <w:r>
        <w:rPr>
          <w:sz w:val="20"/>
          <w:szCs w:val="20"/>
          <w:color w:val="auto"/>
        </w:rPr>
        <w:tab/>
      </w:r>
      <w:r>
        <w:rPr>
          <w:rFonts w:ascii="Times New Roman" w:cs="Times New Roman" w:eastAsia="Times New Roman" w:hAnsi="Times New Roman"/>
          <w:sz w:val="11"/>
          <w:szCs w:val="11"/>
          <w:b w:val="1"/>
          <w:bCs w:val="1"/>
          <w:color w:val="auto"/>
        </w:rPr>
        <w:t>Payment of interest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Borrowers shall pay accrued interest on the Loan or any part of the Loan on the last day of each Interest Period.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9.4</w:t>
      </w:r>
      <w:r>
        <w:rPr>
          <w:sz w:val="20"/>
          <w:szCs w:val="20"/>
          <w:color w:val="auto"/>
        </w:rPr>
        <w:tab/>
      </w:r>
      <w:r>
        <w:rPr>
          <w:rFonts w:ascii="Times New Roman" w:cs="Times New Roman" w:eastAsia="Times New Roman" w:hAnsi="Times New Roman"/>
          <w:sz w:val="11"/>
          <w:szCs w:val="11"/>
          <w:b w:val="1"/>
          <w:bCs w:val="1"/>
          <w:color w:val="auto"/>
        </w:rPr>
        <w:t>Default interest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6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or a Transaction Obligor fails to pay any amount payable by it under a Finance Document on its due date, interest shall accrue on the Unpaid Sum from the due date up to the date of actual payment (both before and after judgment) at a rate which is 2 per cent. per annum higher than the rate which would have been payable if the Unpaid Sum had, during the period of non-payment, constituted part of the Loan in the currency of the Unpaid Sum for successive Interest Periods, each of a duration selected by the Facility Agent. Any interest accruing under this Clause 9.4 (</w:t>
      </w:r>
      <w:r>
        <w:rPr>
          <w:rFonts w:ascii="Times New Roman" w:cs="Times New Roman" w:eastAsia="Times New Roman" w:hAnsi="Times New Roman"/>
          <w:sz w:val="12"/>
          <w:szCs w:val="12"/>
          <w:i w:val="1"/>
          <w:iCs w:val="1"/>
          <w:color w:val="auto"/>
        </w:rPr>
        <w:t>Default Interest</w:t>
      </w:r>
      <w:r>
        <w:rPr>
          <w:rFonts w:ascii="Times New Roman" w:cs="Times New Roman" w:eastAsia="Times New Roman" w:hAnsi="Times New Roman"/>
          <w:sz w:val="12"/>
          <w:szCs w:val="12"/>
          <w:color w:val="auto"/>
        </w:rPr>
        <w:t>) shall be immediately payable by the Borrowers on demand by the Facility Agent.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Unpaid Sum consists of all or part of a Forward Rate Loan which became due on a day which was not the last day of an Interest Period relating to that Forward Rate Loan: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Interest Period for that Unpaid Sum shall have a duration equal to the unexpired portion of the current Interest Period relating to the Loan or that part of the Loan;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rate of interest applying to that Unpaid Sum during that first Interest Period shall be 2 per cent. per annum higher than the rate which would have applied if that Unpaid Sum had not become due.</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35" w:name="page436"/>
    <w:bookmarkEnd w:id="435"/>
    <w:p>
      <w:pPr>
        <w:ind w:left="428" w:hanging="428"/>
        <w:spacing w:after="0"/>
        <w:tabs>
          <w:tab w:leader="none" w:pos="428" w:val="left"/>
        </w:tabs>
        <w:numPr>
          <w:ilvl w:val="0"/>
          <w:numId w:val="6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Default interest (if unpaid) arising on an Unpaid Sum will be compounded with the Unpaid Sum at the end of each Interest Period applicable to that Unpaid Sum but will remain immediately due and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9.5</w:t>
      </w:r>
      <w:r>
        <w:rPr>
          <w:sz w:val="20"/>
          <w:szCs w:val="20"/>
          <w:color w:val="auto"/>
        </w:rPr>
        <w:tab/>
      </w:r>
      <w:r>
        <w:rPr>
          <w:rFonts w:ascii="Times New Roman" w:cs="Times New Roman" w:eastAsia="Times New Roman" w:hAnsi="Times New Roman"/>
          <w:sz w:val="11"/>
          <w:szCs w:val="11"/>
          <w:b w:val="1"/>
          <w:bCs w:val="1"/>
          <w:color w:val="auto"/>
        </w:rPr>
        <w:t>Notifications</w:t>
      </w:r>
    </w:p>
    <w:p>
      <w:pPr>
        <w:spacing w:after="0" w:line="154" w:lineRule="exact"/>
        <w:rPr>
          <w:sz w:val="20"/>
          <w:szCs w:val="20"/>
          <w:color w:val="auto"/>
        </w:rPr>
      </w:pPr>
    </w:p>
    <w:p>
      <w:pPr>
        <w:ind w:left="428" w:hanging="428"/>
        <w:spacing w:after="0"/>
        <w:tabs>
          <w:tab w:leader="none" w:pos="428" w:val="left"/>
        </w:tabs>
        <w:numPr>
          <w:ilvl w:val="0"/>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promptly notify the Lenders and the Borrowers of the determination of a Forward Reference Rate.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as soon as practicable (and in any event within two Business Days in the case of sub-paragraphs (i) and (ii) below) upon a Compounded Rate Interest Payment being determinable, notify: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of that Compounded Rate Interest Payment;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of the proportion of that Compounded Rate Interest Payment which relates to that Lender's participation in the relevant Compounded Rate Loan;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Lenders and the Borrowers of each applicable rate of interest relating to the determination of that Compounded Rate Interest Payment.</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9.5 (</w:t>
      </w:r>
      <w:r>
        <w:rPr>
          <w:rFonts w:ascii="Times New Roman" w:cs="Times New Roman" w:eastAsia="Times New Roman" w:hAnsi="Times New Roman"/>
          <w:sz w:val="12"/>
          <w:szCs w:val="12"/>
          <w:i w:val="1"/>
          <w:iCs w:val="1"/>
          <w:color w:val="auto"/>
        </w:rPr>
        <w:t>Notifications</w:t>
      </w:r>
      <w:r>
        <w:rPr>
          <w:rFonts w:ascii="Times New Roman" w:cs="Times New Roman" w:eastAsia="Times New Roman" w:hAnsi="Times New Roman"/>
          <w:sz w:val="12"/>
          <w:szCs w:val="12"/>
          <w:color w:val="auto"/>
        </w:rPr>
        <w:t>) shall not require the Facility Agent to make any notification to any Party on a day which is not a Business Day.</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w:t>
      </w:r>
      <w:r>
        <w:rPr>
          <w:sz w:val="20"/>
          <w:szCs w:val="20"/>
          <w:color w:val="auto"/>
        </w:rPr>
        <w:tab/>
      </w:r>
      <w:r>
        <w:rPr>
          <w:rFonts w:ascii="Times New Roman" w:cs="Times New Roman" w:eastAsia="Times New Roman" w:hAnsi="Times New Roman"/>
          <w:sz w:val="12"/>
          <w:szCs w:val="12"/>
          <w:b w:val="1"/>
          <w:bCs w:val="1"/>
          <w:color w:val="auto"/>
        </w:rPr>
        <w:t>INTEREST PERIODS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10.1</w:t>
      </w:r>
      <w:r>
        <w:rPr>
          <w:sz w:val="20"/>
          <w:szCs w:val="20"/>
          <w:color w:val="auto"/>
        </w:rPr>
        <w:tab/>
      </w:r>
      <w:r>
        <w:rPr>
          <w:rFonts w:ascii="Times New Roman" w:cs="Times New Roman" w:eastAsia="Times New Roman" w:hAnsi="Times New Roman"/>
          <w:sz w:val="11"/>
          <w:szCs w:val="11"/>
          <w:b w:val="1"/>
          <w:bCs w:val="1"/>
          <w:color w:val="auto"/>
        </w:rPr>
        <w:t>Selection of Interest Periods</w:t>
      </w:r>
    </w:p>
    <w:p>
      <w:pPr>
        <w:spacing w:after="0" w:line="152" w:lineRule="exact"/>
        <w:rPr>
          <w:sz w:val="20"/>
          <w:szCs w:val="20"/>
          <w:color w:val="auto"/>
        </w:rPr>
      </w:pPr>
    </w:p>
    <w:p>
      <w:pPr>
        <w:ind w:left="428" w:hanging="428"/>
        <w:spacing w:after="0" w:line="283" w:lineRule="auto"/>
        <w:tabs>
          <w:tab w:leader="none" w:pos="428" w:val="left"/>
        </w:tabs>
        <w:numPr>
          <w:ilvl w:val="0"/>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select the Interest Period for the Loan in the Utilisation Request and subject to Clause 10.2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the Borrowers may select each subsequent Interest Period for the Loan in a Selection Notice.</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Selection Notice is irrevocable and must be delivered to the Facility Agent by the Borrowers not later than the Specified Time.</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fail to select an Interest Period in the Utilisation Request or fail to deliver a Selection Notice to the Facility Agent in accordance with paragraphs (a) and (b) above, the relevant Interest Period will, subject to Clause 10.2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be the period specified in the Risk Free Rate Terms.</w:t>
      </w:r>
    </w:p>
    <w:p>
      <w:pPr>
        <w:spacing w:after="0" w:line="109"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this Clause 10 (</w:t>
      </w:r>
      <w:r>
        <w:rPr>
          <w:rFonts w:ascii="Times New Roman" w:cs="Times New Roman" w:eastAsia="Times New Roman" w:hAnsi="Times New Roman"/>
          <w:sz w:val="12"/>
          <w:szCs w:val="12"/>
          <w:i w:val="1"/>
          <w:iCs w:val="1"/>
          <w:color w:val="auto"/>
        </w:rPr>
        <w:t>Interest Periods</w:t>
      </w:r>
      <w:r>
        <w:rPr>
          <w:rFonts w:ascii="Times New Roman" w:cs="Times New Roman" w:eastAsia="Times New Roman" w:hAnsi="Times New Roman"/>
          <w:sz w:val="12"/>
          <w:szCs w:val="12"/>
          <w:color w:val="auto"/>
        </w:rPr>
        <w:t>), the Borrowers may select an Interest Period of any period specified in the Risk Free Rate Terms or any other period agreed between the Borrowers and the Facility Agent (acting on the instructions of all the Lenders).</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Interest Period in respect of the Loan or any part of the Loan shall not extend beyond the Termination Date.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6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Repayment Instalment, the Borrowers may request in the relevant Selection Notice that an Interest Period for a part of the Loan equal to such Repayment Instalment shall end on the Repayment Date relating to it and, subject to paragraph (d) above, select a longer Interest Period for the remaining part of the Loan.</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49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36" w:name="page437"/>
    <w:bookmarkEnd w:id="436"/>
    <w:p>
      <w:pPr>
        <w:ind w:left="428" w:hanging="428"/>
        <w:spacing w:after="0"/>
        <w:tabs>
          <w:tab w:leader="none" w:pos="428" w:val="left"/>
        </w:tabs>
        <w:numPr>
          <w:ilvl w:val="0"/>
          <w:numId w:val="6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first Interest Period for the Loan shall start on the Utilisation Date and each subsequent Interest Period shall start on the last day of its preceding Interest Period.</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the purposes of Clause 10.2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the Loan shall have one Interest Period only at any time.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10.2</w:t>
      </w:r>
      <w:r>
        <w:rPr>
          <w:sz w:val="20"/>
          <w:szCs w:val="20"/>
          <w:color w:val="auto"/>
        </w:rPr>
        <w:tab/>
      </w:r>
      <w:r>
        <w:rPr>
          <w:rFonts w:ascii="Times New Roman" w:cs="Times New Roman" w:eastAsia="Times New Roman" w:hAnsi="Times New Roman"/>
          <w:sz w:val="11"/>
          <w:szCs w:val="11"/>
          <w:b w:val="1"/>
          <w:bCs w:val="1"/>
          <w:color w:val="auto"/>
        </w:rPr>
        <w:t>Changes to Interest Periods</w:t>
      </w:r>
    </w:p>
    <w:p>
      <w:pPr>
        <w:spacing w:after="0" w:line="154" w:lineRule="exact"/>
        <w:rPr>
          <w:sz w:val="20"/>
          <w:szCs w:val="20"/>
          <w:color w:val="auto"/>
        </w:rPr>
      </w:pPr>
    </w:p>
    <w:p>
      <w:pPr>
        <w:ind w:left="428" w:hanging="428"/>
        <w:spacing w:after="0" w:line="279" w:lineRule="auto"/>
        <w:tabs>
          <w:tab w:leader="none" w:pos="428" w:val="left"/>
        </w:tabs>
        <w:numPr>
          <w:ilvl w:val="0"/>
          <w:numId w:val="6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Repayment Instalment, prior to commencement of an Interest Period, the Facility Agent may establish an Interest Period for a part of the Loan equal to such Repayment Instalment to end on the Repayment Date relating to it and the remaining part of the Loan shall have the Interest Period selected in the relevant Selection Notice, subject to paragraph (d) of Clause 10.1 (</w:t>
      </w:r>
      <w:r>
        <w:rPr>
          <w:rFonts w:ascii="Times New Roman" w:cs="Times New Roman" w:eastAsia="Times New Roman" w:hAnsi="Times New Roman"/>
          <w:sz w:val="12"/>
          <w:szCs w:val="12"/>
          <w:i w:val="1"/>
          <w:iCs w:val="1"/>
          <w:color w:val="auto"/>
        </w:rPr>
        <w:t>Selection of Interest Periods</w:t>
      </w:r>
      <w:r>
        <w:rPr>
          <w:rFonts w:ascii="Times New Roman" w:cs="Times New Roman" w:eastAsia="Times New Roman" w:hAnsi="Times New Roman"/>
          <w:sz w:val="12"/>
          <w:szCs w:val="12"/>
          <w:color w:val="auto"/>
        </w:rPr>
        <w:t>).</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makes any change to an Interest Period referred to in this Clause 10.2 (</w:t>
      </w:r>
      <w:r>
        <w:rPr>
          <w:rFonts w:ascii="Times New Roman" w:cs="Times New Roman" w:eastAsia="Times New Roman" w:hAnsi="Times New Roman"/>
          <w:sz w:val="12"/>
          <w:szCs w:val="12"/>
          <w:i w:val="1"/>
          <w:iCs w:val="1"/>
          <w:color w:val="auto"/>
        </w:rPr>
        <w:t>Changes to Interest Periods</w:t>
      </w:r>
      <w:r>
        <w:rPr>
          <w:rFonts w:ascii="Times New Roman" w:cs="Times New Roman" w:eastAsia="Times New Roman" w:hAnsi="Times New Roman"/>
          <w:sz w:val="12"/>
          <w:szCs w:val="12"/>
          <w:color w:val="auto"/>
        </w:rPr>
        <w:t>), it shall promptly notify the Borrowers and the Lenders.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10.3</w:t>
      </w:r>
      <w:r>
        <w:rPr>
          <w:sz w:val="20"/>
          <w:szCs w:val="20"/>
          <w:color w:val="auto"/>
        </w:rPr>
        <w:tab/>
      </w:r>
      <w:r>
        <w:rPr>
          <w:rFonts w:ascii="Times New Roman" w:cs="Times New Roman" w:eastAsia="Times New Roman" w:hAnsi="Times New Roman"/>
          <w:sz w:val="12"/>
          <w:szCs w:val="12"/>
          <w:b w:val="1"/>
          <w:bCs w:val="1"/>
          <w:color w:val="auto"/>
        </w:rPr>
        <w:t>Non-Business Days</w:t>
      </w:r>
    </w:p>
    <w:p>
      <w:pPr>
        <w:spacing w:after="0" w:line="154" w:lineRule="exact"/>
        <w:rPr>
          <w:sz w:val="20"/>
          <w:szCs w:val="20"/>
          <w:color w:val="auto"/>
        </w:rPr>
      </w:pPr>
    </w:p>
    <w:p>
      <w:pPr>
        <w:ind w:left="428" w:hanging="428"/>
        <w:spacing w:after="0" w:line="279" w:lineRule="auto"/>
        <w:tabs>
          <w:tab w:leader="none" w:pos="428" w:val="left"/>
        </w:tabs>
        <w:numPr>
          <w:ilvl w:val="0"/>
          <w:numId w:val="6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where paragraph (b) below applies, if an Interest Period would otherwise end on a day which is not a Business Day, that Interest Period will instead end on the next Business Day in that calendar month (if there is one) or the preceding Business Day (if there is not).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6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Compounded Rate Loan, if there are rules specified as "Business Day Conventions" in the Risk Free Rate Terms, those rules shall apply to each Interest Period for that Compounded Rate Loan.</w:t>
      </w:r>
    </w:p>
    <w:p>
      <w:pPr>
        <w:spacing w:after="0" w:line="146" w:lineRule="exact"/>
        <w:rPr>
          <w:sz w:val="20"/>
          <w:szCs w:val="20"/>
          <w:color w:val="auto"/>
        </w:rPr>
      </w:pPr>
    </w:p>
    <w:p>
      <w:pPr>
        <w:ind w:left="8" w:right="8000" w:hanging="8"/>
        <w:spacing w:after="0" w:line="502" w:lineRule="auto"/>
        <w:tabs>
          <w:tab w:leader="none" w:pos="431" w:val="left"/>
        </w:tabs>
        <w:numPr>
          <w:ilvl w:val="0"/>
          <w:numId w:val="69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CHANGES TO THE CALCULATION OF INTEREST 11.1 Unavailability of Forward Rate before Rate Switch Date</w:t>
      </w:r>
    </w:p>
    <w:p>
      <w:pPr>
        <w:spacing w:after="0" w:line="1" w:lineRule="exact"/>
        <w:rPr>
          <w:sz w:val="20"/>
          <w:szCs w:val="20"/>
          <w:color w:val="auto"/>
        </w:rPr>
      </w:pPr>
    </w:p>
    <w:p>
      <w:pPr>
        <w:ind w:left="428" w:hanging="428"/>
        <w:spacing w:after="0" w:line="283" w:lineRule="auto"/>
        <w:tabs>
          <w:tab w:leader="none" w:pos="428" w:val="left"/>
        </w:tabs>
        <w:numPr>
          <w:ilvl w:val="0"/>
          <w:numId w:val="7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Interpolated Forward Rate</w:t>
      </w:r>
      <w:r>
        <w:rPr>
          <w:rFonts w:ascii="Times New Roman" w:cs="Times New Roman" w:eastAsia="Times New Roman" w:hAnsi="Times New Roman"/>
          <w:sz w:val="12"/>
          <w:szCs w:val="12"/>
          <w:color w:val="auto"/>
        </w:rPr>
        <w:t>: If no Forward Rate is available for the Interest Period of a Forward Rate Loan, the applicable Forward Reference Rate shall be the Interpolated Forward Rate for a period equal in length to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Interest Period of that Forward Rate Loan.</w:t>
      </w:r>
    </w:p>
    <w:p>
      <w:pPr>
        <w:spacing w:after="0" w:line="106"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7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Historic Forward Rate</w:t>
      </w:r>
      <w:r>
        <w:rPr>
          <w:rFonts w:ascii="Times New Roman" w:cs="Times New Roman" w:eastAsia="Times New Roman" w:hAnsi="Times New Roman"/>
          <w:sz w:val="12"/>
          <w:szCs w:val="12"/>
          <w:color w:val="auto"/>
        </w:rPr>
        <w:t>: If no Forward Rate is available for the Interest Period of a Forward Rate Loan and it is not possible to calculate the Interpolated Forward Rate, the applicable Forward Reference Rate shall be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Historic Forward Rate for that Forward Rate Loan.</w:t>
      </w:r>
    </w:p>
    <w:p>
      <w:pPr>
        <w:spacing w:after="0" w:line="10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7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Interpolated Historic Forward Rate</w:t>
      </w:r>
      <w:r>
        <w:rPr>
          <w:rFonts w:ascii="Times New Roman" w:cs="Times New Roman" w:eastAsia="Times New Roman" w:hAnsi="Times New Roman"/>
          <w:sz w:val="12"/>
          <w:szCs w:val="12"/>
          <w:color w:val="auto"/>
        </w:rPr>
        <w:t>: If no Forward Rate is available for the Interest Period of a Forward Rate Loan and it is not possible to calculate the Interpolated Forward Rate or the Historic Forward Rate, the applicable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Forward Reference Rate shall be the Interpolated Historic Forward Rate for that Forward Rate Loan.</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Compounded Rate Loan</w:t>
      </w:r>
      <w:r>
        <w:rPr>
          <w:rFonts w:ascii="Times New Roman" w:cs="Times New Roman" w:eastAsia="Times New Roman" w:hAnsi="Times New Roman"/>
          <w:sz w:val="12"/>
          <w:szCs w:val="12"/>
          <w:color w:val="auto"/>
        </w:rPr>
        <w:t>: If paragraph (c) above applies but it is not possible to calculate the Interpolated Historic Forward Rate, then:</w:t>
      </w:r>
    </w:p>
    <w:p>
      <w:pPr>
        <w:spacing w:after="0" w:line="150" w:lineRule="exact"/>
        <w:rPr>
          <w:sz w:val="20"/>
          <w:szCs w:val="20"/>
          <w:color w:val="auto"/>
        </w:rPr>
      </w:pPr>
    </w:p>
    <w:p>
      <w:pPr>
        <w:ind w:left="848" w:right="20" w:hanging="425"/>
        <w:spacing w:after="0" w:line="283" w:lineRule="auto"/>
        <w:tabs>
          <w:tab w:leader="none" w:pos="848" w:val="left"/>
        </w:tabs>
        <w:numPr>
          <w:ilvl w:val="0"/>
          <w:numId w:val="7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shall be no Forward Reference Rate for the Loan or that part of the Loan (as applicable) and Clause 9.1 (</w:t>
      </w:r>
      <w:r>
        <w:rPr>
          <w:rFonts w:ascii="Times New Roman" w:cs="Times New Roman" w:eastAsia="Times New Roman" w:hAnsi="Times New Roman"/>
          <w:sz w:val="12"/>
          <w:szCs w:val="12"/>
          <w:i w:val="1"/>
          <w:iCs w:val="1"/>
          <w:color w:val="auto"/>
        </w:rPr>
        <w:t>Calculation of interest – Forward Rate Loans</w:t>
      </w:r>
      <w:r>
        <w:rPr>
          <w:rFonts w:ascii="Times New Roman" w:cs="Times New Roman" w:eastAsia="Times New Roman" w:hAnsi="Times New Roman"/>
          <w:sz w:val="12"/>
          <w:szCs w:val="12"/>
          <w:color w:val="auto"/>
        </w:rPr>
        <w:t>) will not apply for that Interest Period for the Loan or that part of the Loan; and</w:t>
      </w:r>
    </w:p>
    <w:p>
      <w:pPr>
        <w:spacing w:after="0" w:line="10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37" w:name="page438"/>
    <w:bookmarkEnd w:id="437"/>
    <w:p>
      <w:pPr>
        <w:ind w:left="848" w:right="20" w:hanging="425"/>
        <w:spacing w:after="0" w:line="283" w:lineRule="auto"/>
        <w:tabs>
          <w:tab w:leader="none" w:pos="848" w:val="left"/>
        </w:tabs>
        <w:numPr>
          <w:ilvl w:val="1"/>
          <w:numId w:val="7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that part of the Loan shall be a "Compounded Rate Loan" for that Interest Period and Clause 9.2 (</w:t>
      </w:r>
      <w:r>
        <w:rPr>
          <w:rFonts w:ascii="Times New Roman" w:cs="Times New Roman" w:eastAsia="Times New Roman" w:hAnsi="Times New Roman"/>
          <w:sz w:val="12"/>
          <w:szCs w:val="12"/>
          <w:i w:val="1"/>
          <w:iCs w:val="1"/>
          <w:color w:val="auto"/>
        </w:rPr>
        <w:t>Calculation of interest – Compounded Rate Loans</w:t>
      </w:r>
      <w:r>
        <w:rPr>
          <w:rFonts w:ascii="Times New Roman" w:cs="Times New Roman" w:eastAsia="Times New Roman" w:hAnsi="Times New Roman"/>
          <w:sz w:val="12"/>
          <w:szCs w:val="12"/>
          <w:color w:val="auto"/>
        </w:rPr>
        <w:t>) shall apply to the Loan or that part of the Loan (as applicable) subject to paragraph (e) below.</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paragraph (d) above applies and the Facility Agent (acting on the instructions of the Majority Lenders) or the Borrowers so require, the Facility Agent and the Borrowers shall enter into negotiations (for a period of not more than thirty days) with a view to agreeing a substitute basis for determining the rate of interest.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alternative basis agreed pursuant to paragraph (e) above shall, with the prior consent of the Facility Agent and the Borrowers, be binding on all Parties.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11.2</w:t>
      </w:r>
      <w:r>
        <w:rPr>
          <w:sz w:val="20"/>
          <w:szCs w:val="20"/>
          <w:color w:val="auto"/>
        </w:rPr>
        <w:tab/>
      </w:r>
      <w:r>
        <w:rPr>
          <w:rFonts w:ascii="Times New Roman" w:cs="Times New Roman" w:eastAsia="Times New Roman" w:hAnsi="Times New Roman"/>
          <w:sz w:val="11"/>
          <w:szCs w:val="11"/>
          <w:b w:val="1"/>
          <w:bCs w:val="1"/>
          <w:color w:val="auto"/>
        </w:rPr>
        <w:t>Break Costs</w:t>
      </w:r>
    </w:p>
    <w:p>
      <w:pPr>
        <w:spacing w:after="0" w:line="154" w:lineRule="exact"/>
        <w:rPr>
          <w:sz w:val="20"/>
          <w:szCs w:val="20"/>
          <w:color w:val="auto"/>
        </w:rPr>
      </w:pPr>
    </w:p>
    <w:p>
      <w:pPr>
        <w:ind w:left="428" w:hanging="428"/>
        <w:spacing w:after="0" w:line="279" w:lineRule="auto"/>
        <w:tabs>
          <w:tab w:leader="none" w:pos="428" w:val="left"/>
        </w:tabs>
        <w:numPr>
          <w:ilvl w:val="0"/>
          <w:numId w:val="7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within three Business Days of demand by a Finance Party, pay to that Finance Party its Break Costs (if any) attributable to all or any part of the Loan or Unpaid Sum being paid by the Borrowers on a day prior to the last day of an Interest Period for the Loan, the relevant part of the Loan or that Unpaid Sum.</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as soon as reasonably practicable after a demand by the Facility Agent, provide a certificate confirming the amount of its Break Costs for any Interest Period in respect of which they become, or may become, payable.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w:t>
      </w:r>
      <w:r>
        <w:rPr>
          <w:sz w:val="20"/>
          <w:szCs w:val="20"/>
          <w:color w:val="auto"/>
        </w:rPr>
        <w:tab/>
      </w:r>
      <w:r>
        <w:rPr>
          <w:rFonts w:ascii="Times New Roman" w:cs="Times New Roman" w:eastAsia="Times New Roman" w:hAnsi="Times New Roman"/>
          <w:sz w:val="12"/>
          <w:szCs w:val="12"/>
          <w:b w:val="1"/>
          <w:bCs w:val="1"/>
          <w:color w:val="auto"/>
        </w:rPr>
        <w:t>FEES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12.1</w:t>
      </w:r>
      <w:r>
        <w:rPr>
          <w:sz w:val="20"/>
          <w:szCs w:val="20"/>
          <w:color w:val="auto"/>
        </w:rPr>
        <w:tab/>
      </w:r>
      <w:r>
        <w:rPr>
          <w:rFonts w:ascii="Times New Roman" w:cs="Times New Roman" w:eastAsia="Times New Roman" w:hAnsi="Times New Roman"/>
          <w:sz w:val="11"/>
          <w:szCs w:val="11"/>
          <w:b w:val="1"/>
          <w:bCs w:val="1"/>
          <w:color w:val="auto"/>
        </w:rPr>
        <w:t>Prepayment fee</w:t>
      </w:r>
    </w:p>
    <w:p>
      <w:pPr>
        <w:spacing w:after="0" w:line="154" w:lineRule="exact"/>
        <w:rPr>
          <w:sz w:val="20"/>
          <w:szCs w:val="20"/>
          <w:color w:val="auto"/>
        </w:rPr>
      </w:pPr>
    </w:p>
    <w:p>
      <w:pPr>
        <w:ind w:left="428" w:hanging="428"/>
        <w:spacing w:after="0" w:line="279" w:lineRule="auto"/>
        <w:tabs>
          <w:tab w:leader="none" w:pos="428"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Borrowers voluntarily prepay all or any part of a Compounded Rate Loan on a day other than the last day of an Interest Period for that Compounded Rate Loan, the relevant part of the Compounded Rate Loan or the relevant Unpaid Sum, the Borrowers shall pay to the Facility Agent (for the account of each Lender) a prepayment fee of $5,000 on the date of such voluntary prepayment.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prepayment fee shall be payable under paragraph (a) above: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the first two prepayments of all or part of a Compounded Rate Loan or an Unpaid Sum in each calendar year, or</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7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prepayment of all or part of the Loan or an Unpaid Sum is made under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Clause 27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or Clause 7.1 (</w:t>
      </w:r>
      <w:r>
        <w:rPr>
          <w:rFonts w:ascii="Times New Roman" w:cs="Times New Roman" w:eastAsia="Times New Roman" w:hAnsi="Times New Roman"/>
          <w:sz w:val="12"/>
          <w:szCs w:val="12"/>
          <w:i w:val="1"/>
          <w:iCs w:val="1"/>
          <w:color w:val="auto"/>
        </w:rPr>
        <w:t>Illegality and Sanctions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affecting a Lender</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12.2</w:t>
      </w:r>
      <w:r>
        <w:rPr>
          <w:sz w:val="20"/>
          <w:szCs w:val="20"/>
          <w:color w:val="auto"/>
        </w:rPr>
        <w:tab/>
      </w:r>
      <w:r>
        <w:rPr>
          <w:rFonts w:ascii="Times New Roman" w:cs="Times New Roman" w:eastAsia="Times New Roman" w:hAnsi="Times New Roman"/>
          <w:sz w:val="11"/>
          <w:szCs w:val="11"/>
          <w:b w:val="1"/>
          <w:bCs w:val="1"/>
          <w:color w:val="auto"/>
        </w:rPr>
        <w:t>Arrangement fee</w:t>
      </w:r>
    </w:p>
    <w:p>
      <w:pPr>
        <w:spacing w:after="0" w:line="15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The Borrowers shall pay to the Facility Agent, on the Utilisation Date, a non-refundable arrangement fee of $850,000 for distribution among the Lenders in the proportions agreed by the Facility Agent and the Lenders.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3" w:right="299" w:bottom="1440" w:gutter="0" w:footer="0" w:header="0"/>
        </w:sectPr>
      </w:pPr>
    </w:p>
    <w:bookmarkStart w:id="438" w:name="page439"/>
    <w:bookmarkEnd w:id="43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6</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ADDITIONAL PAYMENT OBLIGATIONS</w:t>
      </w:r>
    </w:p>
    <w:p>
      <w:pPr>
        <w:spacing w:after="0" w:line="150" w:lineRule="exact"/>
        <w:rPr>
          <w:sz w:val="20"/>
          <w:szCs w:val="20"/>
          <w:color w:val="auto"/>
        </w:rPr>
      </w:pPr>
    </w:p>
    <w:p>
      <w:pPr>
        <w:ind w:left="8" w:right="8880" w:hanging="8"/>
        <w:spacing w:after="0" w:line="504" w:lineRule="auto"/>
        <w:tabs>
          <w:tab w:leader="none" w:pos="431" w:val="left"/>
        </w:tabs>
        <w:numPr>
          <w:ilvl w:val="0"/>
          <w:numId w:val="70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TAX GROSS UP AND INDEMNITIES 13.1 Definitions</w:t>
      </w:r>
    </w:p>
    <w:p>
      <w:pPr>
        <w:ind w:left="428" w:hanging="428"/>
        <w:spacing w:after="0"/>
        <w:tabs>
          <w:tab w:leader="none" w:pos="428" w:val="left"/>
        </w:tabs>
        <w:numPr>
          <w:ilvl w:val="0"/>
          <w:numId w:val="7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Agreement:</w:t>
      </w:r>
    </w:p>
    <w:p>
      <w:pPr>
        <w:spacing w:after="0" w:line="146" w:lineRule="exact"/>
        <w:rPr>
          <w:rFonts w:ascii="Times New Roman" w:cs="Times New Roman" w:eastAsia="Times New Roman" w:hAnsi="Times New Roman"/>
          <w:sz w:val="12"/>
          <w:szCs w:val="12"/>
          <w:color w:val="auto"/>
        </w:rPr>
      </w:pPr>
    </w:p>
    <w:p>
      <w:pPr>
        <w:ind w:left="428"/>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Protected Party</w:t>
      </w:r>
      <w:r>
        <w:rPr>
          <w:rFonts w:ascii="Times New Roman" w:cs="Times New Roman" w:eastAsia="Times New Roman" w:hAnsi="Times New Roman"/>
          <w:sz w:val="12"/>
          <w:szCs w:val="12"/>
          <w:color w:val="auto"/>
        </w:rPr>
        <w:t>" means a Finance Party which is or will be subject to any liability, or required to make any payment, for or on account of Tax in relation to a sum received or receivable (or any sum deemed for the purposes of Tax to be received or receivable) under a Finance Document.</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Credit</w:t>
      </w:r>
      <w:r>
        <w:rPr>
          <w:rFonts w:ascii="Times New Roman" w:cs="Times New Roman" w:eastAsia="Times New Roman" w:hAnsi="Times New Roman"/>
          <w:sz w:val="12"/>
          <w:szCs w:val="12"/>
          <w:color w:val="auto"/>
        </w:rPr>
        <w:t>" means a credit against, relief or remission for, or repayment of any Tax.</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Deduction</w:t>
      </w:r>
      <w:r>
        <w:rPr>
          <w:rFonts w:ascii="Times New Roman" w:cs="Times New Roman" w:eastAsia="Times New Roman" w:hAnsi="Times New Roman"/>
          <w:sz w:val="12"/>
          <w:szCs w:val="12"/>
          <w:color w:val="auto"/>
        </w:rPr>
        <w:t>" means a deduction or withholding for or on account of Tax from a payment under a Finance Document, other than a FATCA Deduction.</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Tax Payment</w:t>
      </w:r>
      <w:r>
        <w:rPr>
          <w:rFonts w:ascii="Times New Roman" w:cs="Times New Roman" w:eastAsia="Times New Roman" w:hAnsi="Times New Roman"/>
          <w:sz w:val="12"/>
          <w:szCs w:val="12"/>
          <w:color w:val="auto"/>
        </w:rPr>
        <w:t>" means either the increase in a payment made by an Obligor to a Finance Party under Clause 13.2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 a payment under Clause 13.3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this Clause 13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reference to "determines" or "determined" means a determination made in the absolute discretion of the person making the determination.</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13.2</w:t>
      </w:r>
      <w:r>
        <w:rPr>
          <w:sz w:val="20"/>
          <w:szCs w:val="20"/>
          <w:color w:val="auto"/>
        </w:rPr>
        <w:tab/>
      </w:r>
      <w:r>
        <w:rPr>
          <w:rFonts w:ascii="Times New Roman" w:cs="Times New Roman" w:eastAsia="Times New Roman" w:hAnsi="Times New Roman"/>
          <w:sz w:val="11"/>
          <w:szCs w:val="11"/>
          <w:b w:val="1"/>
          <w:bCs w:val="1"/>
          <w:color w:val="auto"/>
        </w:rPr>
        <w:t>Tax gross-up</w:t>
      </w:r>
    </w:p>
    <w:p>
      <w:pPr>
        <w:spacing w:after="0" w:line="154" w:lineRule="exact"/>
        <w:rPr>
          <w:sz w:val="20"/>
          <w:szCs w:val="20"/>
          <w:color w:val="auto"/>
        </w:rPr>
      </w:pPr>
    </w:p>
    <w:p>
      <w:pPr>
        <w:ind w:left="428" w:hanging="428"/>
        <w:spacing w:after="0"/>
        <w:tabs>
          <w:tab w:leader="none" w:pos="428"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make all payments to be made by it without any Tax Deduction, unless a Tax Deduction is required by law.</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promptly upon becoming aware that an Obligor must make a Tax Deduction (or that there is any change in the rate or the basis of a Tax Deduction) notify the Facility Agent accordingly. Similarly, a Lender shall notify the Facility Agent on becoming so aware in respect of a payment payable to that Lender. If the Facility Agent receives such notification from a Lender it shall notify the Borrowers and that Obligor.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Tax Deduction is required by law to be made by an Obligor, the amount of the payment due from that Obligor shall be increased to an amount which (after making any Tax Deduction) leaves an amount equal to the payment which would have been due if no Tax Deduction had been required.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Within thirty days of making either a Tax Deduction or any payment required in connection with that Tax Deduction, the Obligor making that Tax Deduction shall deliver to the Facility Agent for the Finance Party entitled to the payment evidence reasonably satisfactory to that Finance Party that the Tax Deduction has been made or (as applicable) any appropriate payment paid to the relevant taxing authority.</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39" w:name="page440"/>
    <w:bookmarkEnd w:id="43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13.3</w:t>
      </w:r>
      <w:r>
        <w:rPr>
          <w:sz w:val="20"/>
          <w:szCs w:val="20"/>
          <w:color w:val="auto"/>
        </w:rPr>
        <w:tab/>
      </w:r>
      <w:r>
        <w:rPr>
          <w:rFonts w:ascii="Times New Roman" w:cs="Times New Roman" w:eastAsia="Times New Roman" w:hAnsi="Times New Roman"/>
          <w:sz w:val="11"/>
          <w:szCs w:val="11"/>
          <w:b w:val="1"/>
          <w:bCs w:val="1"/>
          <w:color w:val="auto"/>
        </w:rPr>
        <w:t>Tax indemnity</w:t>
      </w:r>
    </w:p>
    <w:p>
      <w:pPr>
        <w:spacing w:after="0" w:line="154" w:lineRule="exact"/>
        <w:rPr>
          <w:sz w:val="20"/>
          <w:szCs w:val="20"/>
          <w:color w:val="auto"/>
        </w:rPr>
      </w:pPr>
    </w:p>
    <w:p>
      <w:pPr>
        <w:ind w:left="428" w:hanging="428"/>
        <w:spacing w:after="0" w:line="279" w:lineRule="auto"/>
        <w:tabs>
          <w:tab w:leader="none" w:pos="428" w:val="left"/>
        </w:tabs>
        <w:numPr>
          <w:ilvl w:val="0"/>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(within three Business Days of demand by the Facility Agent) pay to a Protected Party an amount equal to the loss, liability or cost which that Protected Party determines will be or has been directly suffered for or on account of Tax by that Protected Party in respect of a Finance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any Tax assessed on a Finance Party: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law of the jurisdiction in which that Finance Party is incorporated or, if different, the jurisdiction (or jurisdictions) in which that Finance Party is treated as resident for tax purposes;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 the law of the jurisdiction in which that Finance Party's Facility Office is located in respect of amounts received or receivable in that jurisdiction,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that Tax is imposed on or calculated by reference to the net income received or receivable (but not any sum deemed to be received or receivable) by that Finance Party; or</w:t>
      </w:r>
    </w:p>
    <w:p>
      <w:pPr>
        <w:spacing w:after="0" w:line="150" w:lineRule="exact"/>
        <w:rPr>
          <w:sz w:val="20"/>
          <w:szCs w:val="20"/>
          <w:color w:val="auto"/>
        </w:rPr>
      </w:pPr>
    </w:p>
    <w:p>
      <w:pPr>
        <w:ind w:left="848" w:hanging="425"/>
        <w:spacing w:after="0"/>
        <w:tabs>
          <w:tab w:leader="none" w:pos="848" w:val="left"/>
        </w:tabs>
        <w:numPr>
          <w:ilvl w:val="1"/>
          <w:numId w:val="7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a loss, liability or cost:</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compensated for by an increased payment under Clause 13.2 (</w:t>
      </w:r>
      <w:r>
        <w:rPr>
          <w:rFonts w:ascii="Times New Roman" w:cs="Times New Roman" w:eastAsia="Times New Roman" w:hAnsi="Times New Roman"/>
          <w:sz w:val="12"/>
          <w:szCs w:val="12"/>
          <w:i w:val="1"/>
          <w:iCs w:val="1"/>
          <w:color w:val="auto"/>
        </w:rPr>
        <w:t>Tax gross-up</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a FATCA Deduction required to be made by a Party.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Protected Party making, or intending to make, a claim under paragraph (a) above shall promptly notify the Facility Agent of the event which will give, or has given, rise to the claim, following which the Facility Agent shall notify the Obligors.</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Protected Party shall, on receiving a payment from an Obligor under this Clause 13.3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notify the Facility Agent.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13.4</w:t>
      </w:r>
      <w:r>
        <w:rPr>
          <w:sz w:val="20"/>
          <w:szCs w:val="20"/>
          <w:color w:val="auto"/>
        </w:rPr>
        <w:tab/>
      </w:r>
      <w:r>
        <w:rPr>
          <w:rFonts w:ascii="Times New Roman" w:cs="Times New Roman" w:eastAsia="Times New Roman" w:hAnsi="Times New Roman"/>
          <w:sz w:val="11"/>
          <w:szCs w:val="11"/>
          <w:b w:val="1"/>
          <w:bCs w:val="1"/>
          <w:color w:val="auto"/>
        </w:rPr>
        <w:t>Tax Credit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 Obligor makes a Tax Payment and the relevant Finance Party determines that:</w:t>
      </w:r>
    </w:p>
    <w:p>
      <w:pPr>
        <w:spacing w:after="0" w:line="150" w:lineRule="exact"/>
        <w:rPr>
          <w:sz w:val="20"/>
          <w:szCs w:val="20"/>
          <w:color w:val="auto"/>
        </w:rPr>
      </w:pPr>
    </w:p>
    <w:p>
      <w:pPr>
        <w:ind w:left="428" w:hanging="428"/>
        <w:spacing w:after="0"/>
        <w:tabs>
          <w:tab w:leader="none" w:pos="428"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Tax Credit is attributable to an increased payment of which that Tax Payment forms part, to that Tax Payment or to a Tax Deduction in consequence of which that Tax Payment was received;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Finance Party has obtained and utilised that Tax Credit,</w:t>
      </w:r>
    </w:p>
    <w:p>
      <w:pPr>
        <w:spacing w:after="0" w:line="150" w:lineRule="exact"/>
        <w:rPr>
          <w:rFonts w:ascii="Times New Roman" w:cs="Times New Roman" w:eastAsia="Times New Roman" w:hAnsi="Times New Roman"/>
          <w:sz w:val="12"/>
          <w:szCs w:val="12"/>
          <w:color w:val="auto"/>
        </w:rPr>
      </w:pPr>
    </w:p>
    <w:p>
      <w:pPr>
        <w:ind w:left="42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13.5</w:t>
      </w:r>
      <w:r>
        <w:rPr>
          <w:sz w:val="20"/>
          <w:szCs w:val="20"/>
          <w:color w:val="auto"/>
        </w:rPr>
        <w:tab/>
      </w:r>
      <w:r>
        <w:rPr>
          <w:rFonts w:ascii="Times New Roman" w:cs="Times New Roman" w:eastAsia="Times New Roman" w:hAnsi="Times New Roman"/>
          <w:sz w:val="11"/>
          <w:szCs w:val="11"/>
          <w:b w:val="1"/>
          <w:bCs w:val="1"/>
          <w:color w:val="auto"/>
        </w:rPr>
        <w:t>Stamp taxes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pay and, within three Business Days of demand, indemnify each Secured Party against any cost, loss or liability which that Secured Party incurs in relation to all stamp duty, registration and other similar Taxes payable in respect of any Finance Document.</w:t>
      </w:r>
    </w:p>
    <w:p>
      <w:pPr>
        <w:spacing w:after="0" w:line="111" w:lineRule="exact"/>
        <w:rPr>
          <w:sz w:val="20"/>
          <w:szCs w:val="20"/>
          <w:color w:val="auto"/>
        </w:rPr>
      </w:pPr>
    </w:p>
    <w:p>
      <w:pPr>
        <w:ind w:left="5588"/>
        <w:spacing w:after="0"/>
        <w:tabs>
          <w:tab w:leader="none" w:pos="10188" w:val="left"/>
        </w:tabs>
        <w:rPr>
          <w:sz w:val="20"/>
          <w:szCs w:val="20"/>
          <w:color w:val="auto"/>
        </w:rPr>
      </w:pPr>
      <w:r>
        <w:rPr>
          <w:rFonts w:ascii="Times New Roman" w:cs="Times New Roman" w:eastAsia="Times New Roman" w:hAnsi="Times New Roman"/>
          <w:sz w:val="11"/>
          <w:szCs w:val="11"/>
          <w:color w:val="auto"/>
        </w:rPr>
        <w:t>53</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40" w:name="page441"/>
    <w:bookmarkEnd w:id="44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13.6</w:t>
      </w:r>
      <w:r>
        <w:rPr>
          <w:sz w:val="20"/>
          <w:szCs w:val="20"/>
          <w:color w:val="auto"/>
        </w:rPr>
        <w:tab/>
      </w:r>
      <w:r>
        <w:rPr>
          <w:rFonts w:ascii="Times New Roman" w:cs="Times New Roman" w:eastAsia="Times New Roman" w:hAnsi="Times New Roman"/>
          <w:sz w:val="10"/>
          <w:szCs w:val="10"/>
          <w:b w:val="1"/>
          <w:bCs w:val="1"/>
          <w:color w:val="auto"/>
        </w:rPr>
        <w:t>VAT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expressed to be payable under a Finance Document by any Party to a Finance Party which (in whole or in part) constitute the consideration for any supply for VAT purposes are deemed to be exclusive of any VAT which is chargeable on that supply, and accordingly, subject to paragraph (b) below, if VAT is or becomes chargeable on any supply made by any Finance Party to any Party under a Finance Document and such Finance Party is required to account to the relevant tax authority for the VAT, that Party must pay to such Finance Party (in addition to and at the same time as paying any other consideration for such supply) an amount equal to the amount of the VAT (and such Finance Party must promptly provide an appropriate VAT invoice to that Party).</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8" w:lineRule="auto"/>
        <w:tabs>
          <w:tab w:leader="none" w:pos="428"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VAT is or becomes chargeable on any supply made by any Finance Party (the "</w:t>
      </w:r>
      <w:r>
        <w:rPr>
          <w:rFonts w:ascii="Times New Roman" w:cs="Times New Roman" w:eastAsia="Times New Roman" w:hAnsi="Times New Roman"/>
          <w:sz w:val="12"/>
          <w:szCs w:val="12"/>
          <w:b w:val="1"/>
          <w:bCs w:val="1"/>
          <w:color w:val="auto"/>
        </w:rPr>
        <w:t>Supplier</w:t>
      </w:r>
      <w:r>
        <w:rPr>
          <w:rFonts w:ascii="Times New Roman" w:cs="Times New Roman" w:eastAsia="Times New Roman" w:hAnsi="Times New Roman"/>
          <w:sz w:val="12"/>
          <w:szCs w:val="12"/>
          <w:color w:val="auto"/>
        </w:rPr>
        <w:t>") to any other Finance Party (the "</w:t>
      </w:r>
      <w:r>
        <w:rPr>
          <w:rFonts w:ascii="Times New Roman" w:cs="Times New Roman" w:eastAsia="Times New Roman" w:hAnsi="Times New Roman"/>
          <w:sz w:val="12"/>
          <w:szCs w:val="12"/>
          <w:b w:val="1"/>
          <w:bCs w:val="1"/>
          <w:color w:val="auto"/>
        </w:rPr>
        <w:t>Recipient</w:t>
      </w:r>
      <w:r>
        <w:rPr>
          <w:rFonts w:ascii="Times New Roman" w:cs="Times New Roman" w:eastAsia="Times New Roman" w:hAnsi="Times New Roman"/>
          <w:sz w:val="12"/>
          <w:szCs w:val="12"/>
          <w:color w:val="auto"/>
        </w:rPr>
        <w:t>") under a Finance Document, and any Party other than the Recipient (the "</w:t>
      </w:r>
      <w:r>
        <w:rPr>
          <w:rFonts w:ascii="Times New Roman" w:cs="Times New Roman" w:eastAsia="Times New Roman" w:hAnsi="Times New Roman"/>
          <w:sz w:val="12"/>
          <w:szCs w:val="12"/>
          <w:b w:val="1"/>
          <w:bCs w:val="1"/>
          <w:color w:val="auto"/>
        </w:rPr>
        <w:t>Relevant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Party</w:t>
      </w:r>
      <w:r>
        <w:rPr>
          <w:rFonts w:ascii="Times New Roman" w:cs="Times New Roman" w:eastAsia="Times New Roman" w:hAnsi="Times New Roman"/>
          <w:sz w:val="12"/>
          <w:szCs w:val="12"/>
          <w:color w:val="auto"/>
        </w:rPr>
        <w:t>") is required by the terms of any Finance Document to pay an amount equal to the consideration for that supply to the Supplier (rather than being required to reimburse or indemnify the Recipient in respect of that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consideration):</w:t>
      </w:r>
    </w:p>
    <w:p>
      <w:pPr>
        <w:spacing w:after="0" w:line="117"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Supplier is the person required to account to the relevant tax authority for the VAT) the Relevant Party must also pay to the Supplier (at the same time as paying that amount) an additional amount equal to the amount of the VAT. The Recipient must (where this sub-paragraph (i) applies) promptly pay to the Relevant Party an amount equal to any credit or repayment the Recipient receives from the relevant tax authority which the Recipient reasonably determines relates to the VAT chargeable on that supply; and</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Recipient is the person required to account to the relevant tax authority for the VAT) the Relevant Party must promptly, following demand from the Recipient, pay to the Recipient an amount equal to the VAT chargeable on that supply but only to the extent that the Recipient reasonably determines that it is not entitled to credit or repayment from the relevant tax authority in respect of that VAT.</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any Party to reimburse or indemnify a Finance Party for any cost or expense, that Party shall reimburse or indemnify (as the case may be) such Finance Party for the full amount of such cost or expense, including such part of it as represents VAT, save to the extent that such Finance Party reasonably determines that it is entitled to credit or repayment in respect of such VAT from the relevant tax authority.</w:t>
      </w:r>
    </w:p>
    <w:p>
      <w:pPr>
        <w:spacing w:after="0" w:line="109"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this Clause 13.6 (</w:t>
      </w:r>
      <w:r>
        <w:rPr>
          <w:rFonts w:ascii="Times New Roman" w:cs="Times New Roman" w:eastAsia="Times New Roman" w:hAnsi="Times New Roman"/>
          <w:sz w:val="12"/>
          <w:szCs w:val="12"/>
          <w:i w:val="1"/>
          <w:iCs w:val="1"/>
          <w:color w:val="auto"/>
        </w:rPr>
        <w:t>VAT</w:t>
      </w:r>
      <w:r>
        <w:rPr>
          <w:rFonts w:ascii="Times New Roman" w:cs="Times New Roman" w:eastAsia="Times New Roman" w:hAnsi="Times New Roman"/>
          <w:sz w:val="12"/>
          <w:szCs w:val="12"/>
          <w:color w:val="auto"/>
        </w:rPr>
        <w:t>) to any Party shall, at any time when that Party is treated as a member of a group or unity (or fiscal unity) for VAT purposes, include (where appropriate and unless the context otherwise requires) a reference to the person who is treated at that time as making the supply, or (as appropriate) receiving the supply, under the grouping rules (provided for in Article 11 of Council Directive 2006/112/EC (or as implemented by the relevant member state of the European Union or equivalent provisions imposed elsewhere)) so that a reference to a Party shall be construed as a reference to that Party or the relevant group or unity (or fiscal unity) of which that Party is a member for VAT purposes at the relevant time or the relevant representative member (or representative or head) of that group or unity at the relevant time (as the case may be).</w:t>
      </w:r>
    </w:p>
    <w:p>
      <w:pPr>
        <w:spacing w:after="0" w:line="12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any supply made by a Finance Party to any Party under a Finance Document, if reasonably requested by such Finance Party, that Party must promptly provide such Finance Party with details of that Party's VAT registration and such other information as is reasonably requested in connection with such Finance Party's VAT reporting requirements in relation to such supply.</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41" w:name="page442"/>
    <w:bookmarkEnd w:id="44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13.7</w:t>
      </w:r>
      <w:r>
        <w:rPr>
          <w:sz w:val="20"/>
          <w:szCs w:val="20"/>
          <w:color w:val="auto"/>
        </w:rPr>
        <w:tab/>
      </w:r>
      <w:r>
        <w:rPr>
          <w:rFonts w:ascii="Times New Roman" w:cs="Times New Roman" w:eastAsia="Times New Roman" w:hAnsi="Times New Roman"/>
          <w:sz w:val="11"/>
          <w:szCs w:val="11"/>
          <w:b w:val="1"/>
          <w:bCs w:val="1"/>
          <w:color w:val="auto"/>
        </w:rPr>
        <w:t>FATCA Information</w:t>
      </w:r>
    </w:p>
    <w:p>
      <w:pPr>
        <w:spacing w:after="0" w:line="154" w:lineRule="exact"/>
        <w:rPr>
          <w:sz w:val="20"/>
          <w:szCs w:val="20"/>
          <w:color w:val="auto"/>
        </w:rPr>
      </w:pPr>
    </w:p>
    <w:p>
      <w:pPr>
        <w:ind w:left="428" w:hanging="428"/>
        <w:spacing w:after="0"/>
        <w:tabs>
          <w:tab w:leader="none" w:pos="428" w:val="left"/>
        </w:tabs>
        <w:numPr>
          <w:ilvl w:val="0"/>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each Party shall, within ten Business Days of a reasonable request by another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confirm to that other Party whether it is: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FATCA Exempt Party;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a FATCA Exempt Party;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under FATCA as that other Party reasonably requests for the purposes of that other Party's compliance with FATCA;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confirms to another Party pursuant to sub-paragraph (i) of paragraph (a) above that it is a FATCA Exempt Party and it subsequently becomes aware that it is not, or has ceased to be a FATCA Exempt Party, that Party shall notify that other Party reasonably promptly.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oblige any Finance Party to do anything and sub-paragraph (iii) of paragraph (a) above shall not oblige any other Party to do anything which would or might in its reasonable opinion constitute a breach of:</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fiduciary duty;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duty of confidentiality.</w:t>
      </w:r>
    </w:p>
    <w:p>
      <w:pPr>
        <w:spacing w:after="0" w:line="150" w:lineRule="exact"/>
        <w:rPr>
          <w:rFonts w:ascii="Times New Roman" w:cs="Times New Roman" w:eastAsia="Times New Roman" w:hAnsi="Times New Roman"/>
          <w:sz w:val="12"/>
          <w:szCs w:val="12"/>
          <w:color w:val="auto"/>
        </w:rPr>
      </w:pPr>
    </w:p>
    <w:p>
      <w:pPr>
        <w:jc w:val="both"/>
        <w:ind w:left="428" w:right="20" w:hanging="428"/>
        <w:spacing w:after="0" w:line="265" w:lineRule="auto"/>
        <w:tabs>
          <w:tab w:leader="none" w:pos="428" w:val="left"/>
        </w:tabs>
        <w:numPr>
          <w:ilvl w:val="0"/>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Party fails to confirm whether or not it is a FATCA Exempt Party or to supply forms, documentation or other information requested in accordance with sub-paragraphs (i) or (ii) of paragraph (a)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rely on any withholding certificate, withholding statement, document, authorisation or waiver it receives from a Lender without further verification.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13.8</w:t>
      </w:r>
      <w:r>
        <w:rPr>
          <w:sz w:val="20"/>
          <w:szCs w:val="20"/>
          <w:color w:val="auto"/>
        </w:rPr>
        <w:tab/>
      </w:r>
      <w:r>
        <w:rPr>
          <w:rFonts w:ascii="Times New Roman" w:cs="Times New Roman" w:eastAsia="Times New Roman" w:hAnsi="Times New Roman"/>
          <w:sz w:val="11"/>
          <w:szCs w:val="11"/>
          <w:b w:val="1"/>
          <w:bCs w:val="1"/>
          <w:color w:val="auto"/>
        </w:rPr>
        <w:t>FATCA Deduction</w:t>
      </w:r>
    </w:p>
    <w:p>
      <w:pPr>
        <w:spacing w:after="0" w:line="154" w:lineRule="exact"/>
        <w:rPr>
          <w:sz w:val="20"/>
          <w:szCs w:val="20"/>
          <w:color w:val="auto"/>
        </w:rPr>
      </w:pPr>
    </w:p>
    <w:p>
      <w:pPr>
        <w:ind w:left="428" w:hanging="428"/>
        <w:spacing w:after="0" w:line="279" w:lineRule="auto"/>
        <w:tabs>
          <w:tab w:leader="none" w:pos="428" w:val="left"/>
        </w:tabs>
        <w:numPr>
          <w:ilvl w:val="0"/>
          <w:numId w:val="7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42" w:name="page443"/>
    <w:bookmarkEnd w:id="442"/>
    <w:p>
      <w:pPr>
        <w:ind w:left="428" w:hanging="428"/>
        <w:spacing w:after="0" w:line="279" w:lineRule="auto"/>
        <w:tabs>
          <w:tab w:leader="none" w:pos="428" w:val="left"/>
        </w:tabs>
        <w:numPr>
          <w:ilvl w:val="0"/>
          <w:numId w:val="7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Party shall promptly, upon becoming aware that it must make a FATCA Deduction (or that there is any change in the rate or the basis of such FATCA Deduction), notify the Party to whom it is making the payment and, in addition, shall notify each Obligor and the Facility Agent and the Facility Agent shall notify the other Finance Parties.</w:t>
      </w:r>
    </w:p>
    <w:p>
      <w:pPr>
        <w:spacing w:after="0" w:line="107" w:lineRule="exact"/>
        <w:rPr>
          <w:sz w:val="20"/>
          <w:szCs w:val="20"/>
          <w:color w:val="auto"/>
        </w:rPr>
      </w:pPr>
    </w:p>
    <w:p>
      <w:pPr>
        <w:ind w:left="428" w:hanging="428"/>
        <w:spacing w:after="0"/>
        <w:tabs>
          <w:tab w:leader="none" w:pos="428" w:val="left"/>
        </w:tabs>
        <w:numPr>
          <w:ilvl w:val="0"/>
          <w:numId w:val="71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INCREASED COSTS</w:t>
      </w:r>
    </w:p>
    <w:p>
      <w:pPr>
        <w:spacing w:after="0" w:line="150" w:lineRule="exact"/>
        <w:rPr>
          <w:rFonts w:ascii="Times New Roman" w:cs="Times New Roman" w:eastAsia="Times New Roman" w:hAnsi="Times New Roman"/>
          <w:sz w:val="12"/>
          <w:szCs w:val="12"/>
          <w:b w:val="1"/>
          <w:bCs w:val="1"/>
          <w:color w:val="auto"/>
        </w:rPr>
      </w:pPr>
    </w:p>
    <w:p>
      <w:pPr>
        <w:ind w:left="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14.1   Increased costs</w:t>
      </w:r>
    </w:p>
    <w:p>
      <w:pPr>
        <w:spacing w:after="0" w:line="152" w:lineRule="exact"/>
        <w:rPr>
          <w:sz w:val="20"/>
          <w:szCs w:val="20"/>
          <w:color w:val="auto"/>
        </w:rPr>
      </w:pPr>
    </w:p>
    <w:p>
      <w:pPr>
        <w:ind w:left="428" w:hanging="428"/>
        <w:spacing w:after="0" w:line="283" w:lineRule="auto"/>
        <w:tabs>
          <w:tab w:leader="none" w:pos="428" w:val="left"/>
        </w:tabs>
        <w:numPr>
          <w:ilvl w:val="0"/>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14.3 (</w:t>
      </w:r>
      <w:r>
        <w:rPr>
          <w:rFonts w:ascii="Times New Roman" w:cs="Times New Roman" w:eastAsia="Times New Roman" w:hAnsi="Times New Roman"/>
          <w:sz w:val="12"/>
          <w:szCs w:val="12"/>
          <w:i w:val="1"/>
          <w:iCs w:val="1"/>
          <w:color w:val="auto"/>
        </w:rPr>
        <w:t>Exceptions</w:t>
      </w:r>
      <w:r>
        <w:rPr>
          <w:rFonts w:ascii="Times New Roman" w:cs="Times New Roman" w:eastAsia="Times New Roman" w:hAnsi="Times New Roman"/>
          <w:sz w:val="12"/>
          <w:szCs w:val="12"/>
          <w:color w:val="auto"/>
        </w:rPr>
        <w:t>), the Borrowers shall, within five days of a demand by the Facility Agent, pay for the account of a Finance Party the amount of any Increased Costs incurred by that Finance Party or any of its Affiliates as a result of:</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application of) any law or regulation;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with any law or regulation made; 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implementation, application of or compliance with the Dodd-Frank Wall Street Reform and Consumer Protection Act, Basel III or CRD IV or any requests, rules, guidelines, directives, law or regulation that implements or applies the Dodd-Frank Wall Street Reform and Consumer Protection Act, Basel III or CRD IV.</w:t>
      </w:r>
    </w:p>
    <w:p>
      <w:pPr>
        <w:spacing w:after="0" w:line="111"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each case after the date of this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Agreement:</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Basel III</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jc w:val="both"/>
        <w:ind w:left="1268" w:hanging="422"/>
        <w:spacing w:after="0" w:line="265" w:lineRule="auto"/>
        <w:tabs>
          <w:tab w:leader="none" w:pos="1268" w:val="left"/>
        </w:tabs>
        <w:numPr>
          <w:ilvl w:val="2"/>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w:t>
      </w:r>
    </w:p>
    <w:p>
      <w:pPr>
        <w:spacing w:after="0" w:line="118" w:lineRule="exact"/>
        <w:rPr>
          <w:rFonts w:ascii="Times New Roman" w:cs="Times New Roman" w:eastAsia="Times New Roman" w:hAnsi="Times New Roman"/>
          <w:sz w:val="12"/>
          <w:szCs w:val="12"/>
          <w:color w:val="auto"/>
        </w:rPr>
      </w:pPr>
    </w:p>
    <w:p>
      <w:pPr>
        <w:ind w:left="1268" w:right="20" w:hanging="422"/>
        <w:spacing w:after="0" w:line="279" w:lineRule="auto"/>
        <w:tabs>
          <w:tab w:leader="none" w:pos="1268" w:val="left"/>
        </w:tabs>
        <w:numPr>
          <w:ilvl w:val="2"/>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rules for global systemically important banks contained in "Global systemically important banks: assessment methodology and the additional loss absorbency requirement - Rules text" published by the Basel Committee on Banking Supervision in November 2011, as amended, supplemented or restated; and</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further guidance or standards published by the Basel Committee on Banking Supervision relating to "Basel III".</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CRD IV</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2"/>
          <w:numId w:val="7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Regulation (EU) No 575/2013 of the European Parliament and of the Council of 26 June 2013 on prudential requirements for credit institutions and investment firms and amending regulation (EU) No. 648/2012, as amended by Regulation (EU) 2019/876;</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43" w:name="page444"/>
    <w:bookmarkEnd w:id="443"/>
    <w:p>
      <w:pPr>
        <w:ind w:left="1268" w:right="20" w:hanging="422"/>
        <w:spacing w:after="0" w:line="279" w:lineRule="auto"/>
        <w:tabs>
          <w:tab w:leader="none" w:pos="1268" w:val="left"/>
        </w:tabs>
        <w:numPr>
          <w:ilvl w:val="1"/>
          <w:numId w:val="7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Directive 2013/36/EU of the European Parliament and of the Council of 26 June 2013 on access to the activity of credit institutions and the prudential supervision of credit institutions and investment firms, amending Directive 2002/87/EC and repealing Directives 2006/48/EC and 2006/49/EC, as amended by Directive (EU) 2019/878; and</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7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law or regulation which implements Basel III.</w:t>
      </w:r>
    </w:p>
    <w:p>
      <w:pPr>
        <w:spacing w:after="0" w:line="146"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Increased Costs</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rate of return from the Facility or on a Finance Party's (or its Affiliate's) overall capital;</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additional or increased cost;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7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of any amount due and payable under any Finance Document,</w:t>
      </w:r>
    </w:p>
    <w:p>
      <w:pPr>
        <w:spacing w:after="0" w:line="150" w:lineRule="exact"/>
        <w:rPr>
          <w:sz w:val="20"/>
          <w:szCs w:val="20"/>
          <w:color w:val="auto"/>
        </w:rPr>
      </w:pPr>
    </w:p>
    <w:p>
      <w:pPr>
        <w:ind w:left="848"/>
        <w:spacing w:after="0" w:line="279" w:lineRule="auto"/>
        <w:rPr>
          <w:sz w:val="20"/>
          <w:szCs w:val="20"/>
          <w:color w:val="auto"/>
        </w:rPr>
      </w:pPr>
      <w:r>
        <w:rPr>
          <w:rFonts w:ascii="Times New Roman" w:cs="Times New Roman" w:eastAsia="Times New Roman" w:hAnsi="Times New Roman"/>
          <w:sz w:val="12"/>
          <w:szCs w:val="12"/>
          <w:color w:val="auto"/>
        </w:rPr>
        <w:t>which is incurred or suffered by a Finance Party or any of its Affiliates to the extent that it is attributable to that Finance Party having entered into its Commitment or funding or performing its obligations under any Finance Document.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14.2</w:t>
      </w:r>
      <w:r>
        <w:rPr>
          <w:sz w:val="20"/>
          <w:szCs w:val="20"/>
          <w:color w:val="auto"/>
        </w:rPr>
        <w:tab/>
      </w:r>
      <w:r>
        <w:rPr>
          <w:rFonts w:ascii="Times New Roman" w:cs="Times New Roman" w:eastAsia="Times New Roman" w:hAnsi="Times New Roman"/>
          <w:sz w:val="11"/>
          <w:szCs w:val="11"/>
          <w:b w:val="1"/>
          <w:bCs w:val="1"/>
          <w:color w:val="auto"/>
        </w:rPr>
        <w:t>Increased cost claims</w:t>
      </w:r>
    </w:p>
    <w:p>
      <w:pPr>
        <w:spacing w:after="0" w:line="152" w:lineRule="exact"/>
        <w:rPr>
          <w:sz w:val="20"/>
          <w:szCs w:val="20"/>
          <w:color w:val="auto"/>
        </w:rPr>
      </w:pPr>
    </w:p>
    <w:p>
      <w:pPr>
        <w:ind w:left="428" w:hanging="428"/>
        <w:spacing w:after="0"/>
        <w:tabs>
          <w:tab w:leader="none" w:pos="428" w:val="left"/>
        </w:tabs>
        <w:numPr>
          <w:ilvl w:val="0"/>
          <w:numId w:val="7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intending to make a claim pursuant to Clause 14.1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shall notify the Facility Agent of the event giving rise to the claim, following which the Facility Agent shall promptly notify the Borrowers.</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as soon as practicable after a demand by the Facility Agent, provide a certificate confirming the amount of its Increased Costs.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14.3</w:t>
      </w:r>
      <w:r>
        <w:rPr>
          <w:sz w:val="20"/>
          <w:szCs w:val="20"/>
          <w:color w:val="auto"/>
        </w:rPr>
        <w:tab/>
      </w:r>
      <w:r>
        <w:rPr>
          <w:rFonts w:ascii="Times New Roman" w:cs="Times New Roman" w:eastAsia="Times New Roman" w:hAnsi="Times New Roman"/>
          <w:sz w:val="11"/>
          <w:szCs w:val="11"/>
          <w:b w:val="1"/>
          <w:bCs w:val="1"/>
          <w:color w:val="auto"/>
        </w:rPr>
        <w:t>Exceptions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Clause 14.1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does not apply to the extent any Increased Cost is:</w:t>
      </w:r>
    </w:p>
    <w:p>
      <w:pPr>
        <w:spacing w:after="0" w:line="152" w:lineRule="exact"/>
        <w:rPr>
          <w:sz w:val="20"/>
          <w:szCs w:val="20"/>
          <w:color w:val="auto"/>
        </w:rPr>
      </w:pPr>
    </w:p>
    <w:p>
      <w:pPr>
        <w:ind w:left="428" w:hanging="428"/>
        <w:spacing w:after="0"/>
        <w:tabs>
          <w:tab w:leader="none" w:pos="428" w:val="left"/>
        </w:tabs>
        <w:numPr>
          <w:ilvl w:val="0"/>
          <w:numId w:val="7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Tax Deduction required by law to be made by an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a FATCA Deduction required to be made by a Party;</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7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Clause 13.3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(or would have been compensated for under Clause 13.3 (</w:t>
      </w:r>
      <w:r>
        <w:rPr>
          <w:rFonts w:ascii="Times New Roman" w:cs="Times New Roman" w:eastAsia="Times New Roman" w:hAnsi="Times New Roman"/>
          <w:sz w:val="12"/>
          <w:szCs w:val="12"/>
          <w:i w:val="1"/>
          <w:iCs w:val="1"/>
          <w:color w:val="auto"/>
        </w:rPr>
        <w:t>Tax indemnity</w:t>
      </w:r>
      <w:r>
        <w:rPr>
          <w:rFonts w:ascii="Times New Roman" w:cs="Times New Roman" w:eastAsia="Times New Roman" w:hAnsi="Times New Roman"/>
          <w:sz w:val="12"/>
          <w:szCs w:val="12"/>
          <w:color w:val="auto"/>
        </w:rPr>
        <w:t>) but was not so compensated solely because any of the exclusions in paragraph (b) of Clause 13.3 (</w:t>
      </w:r>
      <w:r>
        <w:rPr>
          <w:rFonts w:ascii="Times New Roman" w:cs="Times New Roman" w:eastAsia="Times New Roman" w:hAnsi="Times New Roman"/>
          <w:sz w:val="12"/>
          <w:szCs w:val="12"/>
          <w:i w:val="1"/>
          <w:iCs w:val="1"/>
          <w:color w:val="auto"/>
        </w:rPr>
        <w:t>Tax</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indemnity</w:t>
      </w:r>
      <w:r>
        <w:rPr>
          <w:rFonts w:ascii="Times New Roman" w:cs="Times New Roman" w:eastAsia="Times New Roman" w:hAnsi="Times New Roman"/>
          <w:sz w:val="12"/>
          <w:szCs w:val="12"/>
          <w:color w:val="auto"/>
        </w:rPr>
        <w:t>) applied);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compensated for by any payment made pursuant to Clause 15.3 (</w:t>
      </w:r>
      <w:r>
        <w:rPr>
          <w:rFonts w:ascii="Times New Roman" w:cs="Times New Roman" w:eastAsia="Times New Roman" w:hAnsi="Times New Roman"/>
          <w:sz w:val="12"/>
          <w:szCs w:val="12"/>
          <w:i w:val="1"/>
          <w:iCs w:val="1"/>
          <w:color w:val="auto"/>
        </w:rPr>
        <w:t>Mandatory Cost</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attributable to the wilful breach by the relevant Finance Party or its Affiliates of any law or regulation.</w:t>
      </w:r>
    </w:p>
    <w:p>
      <w:pPr>
        <w:spacing w:after="0" w:line="146" w:lineRule="exact"/>
        <w:rPr>
          <w:sz w:val="20"/>
          <w:szCs w:val="20"/>
          <w:color w:val="auto"/>
        </w:rPr>
      </w:pPr>
    </w:p>
    <w:p>
      <w:pPr>
        <w:ind w:left="8" w:right="9600" w:hanging="8"/>
        <w:spacing w:after="0" w:line="546" w:lineRule="auto"/>
        <w:tabs>
          <w:tab w:leader="none" w:pos="431" w:val="left"/>
        </w:tabs>
        <w:numPr>
          <w:ilvl w:val="0"/>
          <w:numId w:val="723"/>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OTHER INDEMNITIES 15.1 Currency indemnity</w:t>
      </w:r>
    </w:p>
    <w:p>
      <w:pPr>
        <w:ind w:left="428" w:hanging="428"/>
        <w:spacing w:after="0" w:line="286" w:lineRule="auto"/>
        <w:tabs>
          <w:tab w:leader="none" w:pos="428" w:val="left"/>
        </w:tabs>
        <w:numPr>
          <w:ilvl w:val="0"/>
          <w:numId w:val="7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sum due from an Obligor under the Finance Documents (a "</w:t>
      </w:r>
      <w:r>
        <w:rPr>
          <w:rFonts w:ascii="Times New Roman" w:cs="Times New Roman" w:eastAsia="Times New Roman" w:hAnsi="Times New Roman"/>
          <w:sz w:val="12"/>
          <w:szCs w:val="12"/>
          <w:b w:val="1"/>
          <w:bCs w:val="1"/>
          <w:color w:val="auto"/>
        </w:rPr>
        <w:t>Sum</w:t>
      </w:r>
      <w:r>
        <w:rPr>
          <w:rFonts w:ascii="Times New Roman" w:cs="Times New Roman" w:eastAsia="Times New Roman" w:hAnsi="Times New Roman"/>
          <w:sz w:val="12"/>
          <w:szCs w:val="12"/>
          <w:color w:val="auto"/>
        </w:rPr>
        <w:t>"), or any order, judgment or award given or made in relation to a Sum, has to be converted from the currency (the "</w:t>
      </w:r>
      <w:r>
        <w:rPr>
          <w:rFonts w:ascii="Times New Roman" w:cs="Times New Roman" w:eastAsia="Times New Roman" w:hAnsi="Times New Roman"/>
          <w:sz w:val="12"/>
          <w:szCs w:val="12"/>
          <w:b w:val="1"/>
          <w:bCs w:val="1"/>
          <w:color w:val="auto"/>
        </w:rPr>
        <w:t>First Currency</w:t>
      </w:r>
      <w:r>
        <w:rPr>
          <w:rFonts w:ascii="Times New Roman" w:cs="Times New Roman" w:eastAsia="Times New Roman" w:hAnsi="Times New Roman"/>
          <w:sz w:val="12"/>
          <w:szCs w:val="12"/>
          <w:color w:val="auto"/>
        </w:rPr>
        <w:t>") in which that Sum is payable into another currency (the "</w:t>
      </w:r>
      <w:r>
        <w:rPr>
          <w:rFonts w:ascii="Times New Roman" w:cs="Times New Roman" w:eastAsia="Times New Roman" w:hAnsi="Times New Roman"/>
          <w:sz w:val="12"/>
          <w:szCs w:val="12"/>
          <w:b w:val="1"/>
          <w:bCs w:val="1"/>
          <w:color w:val="auto"/>
        </w:rPr>
        <w:t>Second Currency</w:t>
      </w:r>
      <w:r>
        <w:rPr>
          <w:rFonts w:ascii="Times New Roman" w:cs="Times New Roman" w:eastAsia="Times New Roman" w:hAnsi="Times New Roman"/>
          <w:sz w:val="12"/>
          <w:szCs w:val="12"/>
          <w:color w:val="auto"/>
        </w:rPr>
        <w:t>") for the purpose of:</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or filing a claim or proof against that Obligor;</w:t>
      </w:r>
    </w:p>
    <w:p>
      <w:pPr>
        <w:spacing w:after="0" w:line="384"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44" w:name="page445"/>
    <w:bookmarkEnd w:id="444"/>
    <w:p>
      <w:pPr>
        <w:ind w:left="848" w:hanging="425"/>
        <w:spacing w:after="0"/>
        <w:tabs>
          <w:tab w:leader="none" w:pos="848" w:val="left"/>
        </w:tabs>
        <w:numPr>
          <w:ilvl w:val="0"/>
          <w:numId w:val="7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or enforcing an order, judgment or award in relation to any litigation or arbitration proceedings;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7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protecting a Finance Party from Sanctions or secondary sanctions,</w:t>
      </w:r>
    </w:p>
    <w:p>
      <w:pPr>
        <w:spacing w:after="0" w:line="150"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that Obligor shall, as an independent obligation, within three Business Days of demand, indemnify each Secured Party to which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19" w:lineRule="exact"/>
        <w:rPr>
          <w:sz w:val="20"/>
          <w:szCs w:val="20"/>
          <w:color w:val="auto"/>
        </w:rPr>
      </w:pPr>
    </w:p>
    <w:p>
      <w:pPr>
        <w:ind w:left="428" w:hanging="428"/>
        <w:spacing w:after="0"/>
        <w:tabs>
          <w:tab w:leader="none" w:pos="428" w:val="left"/>
        </w:tabs>
        <w:numPr>
          <w:ilvl w:val="0"/>
          <w:numId w:val="7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waives any right it may have in any jurisdiction to pay any amount under the Finance Documents in a currency or currency unit other than that in which it is expressed to be payable.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15.2</w:t>
      </w:r>
      <w:r>
        <w:rPr>
          <w:sz w:val="20"/>
          <w:szCs w:val="20"/>
          <w:color w:val="auto"/>
        </w:rPr>
        <w:tab/>
      </w:r>
      <w:r>
        <w:rPr>
          <w:rFonts w:ascii="Times New Roman" w:cs="Times New Roman" w:eastAsia="Times New Roman" w:hAnsi="Times New Roman"/>
          <w:sz w:val="11"/>
          <w:szCs w:val="11"/>
          <w:b w:val="1"/>
          <w:bCs w:val="1"/>
          <w:color w:val="auto"/>
        </w:rPr>
        <w:t>Other indemnities</w:t>
      </w:r>
    </w:p>
    <w:p>
      <w:pPr>
        <w:spacing w:after="0" w:line="154" w:lineRule="exact"/>
        <w:rPr>
          <w:sz w:val="20"/>
          <w:szCs w:val="20"/>
          <w:color w:val="auto"/>
        </w:rPr>
      </w:pPr>
    </w:p>
    <w:p>
      <w:pPr>
        <w:ind w:left="428" w:hanging="428"/>
        <w:spacing w:after="0"/>
        <w:tabs>
          <w:tab w:leader="none" w:pos="428" w:val="left"/>
        </w:tabs>
        <w:numPr>
          <w:ilvl w:val="0"/>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three Business Days of any demand, indemnify each Secured Party against any cost, loss or liability incurred by it as a result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occurrence of any Event of Default;</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failure by a Transaction Obligor to pay any amount due under a Finance Document on its due date, including without limitation, any cost, loss or liability arising as a result of Clause 35 (</w:t>
      </w:r>
      <w:r>
        <w:rPr>
          <w:rFonts w:ascii="Times New Roman" w:cs="Times New Roman" w:eastAsia="Times New Roman" w:hAnsi="Times New Roman"/>
          <w:sz w:val="12"/>
          <w:szCs w:val="12"/>
          <w:i w:val="1"/>
          <w:iCs w:val="1"/>
          <w:color w:val="auto"/>
        </w:rPr>
        <w:t>Sharing among the 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Parties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funding, or making arrangements to fund, its participation in the Loan requested by the Borrowers in the Utilisation Request but not made by reason of the operation of any one or more of the provisions of this Agreement (other than by reason of default or negligence by that Secured Party alone);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Loan (or part of the Loan) not being prepaid in accordance with a notice of prepayment given by the Borrowers.</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7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on demand, indemnify each Finance Party, each Affiliate of a Finance Party and each officer or employee of a Finance Party or its Affiliate (each such person for the purposes of this Clause 15.2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indemnities</w:t>
      </w:r>
      <w:r>
        <w:rPr>
          <w:rFonts w:ascii="Times New Roman" w:cs="Times New Roman" w:eastAsia="Times New Roman" w:hAnsi="Times New Roman"/>
          <w:sz w:val="12"/>
          <w:szCs w:val="12"/>
          <w:color w:val="auto"/>
        </w:rPr>
        <w:t>) an "</w:t>
      </w:r>
      <w:r>
        <w:rPr>
          <w:rFonts w:ascii="Times New Roman" w:cs="Times New Roman" w:eastAsia="Times New Roman" w:hAnsi="Times New Roman"/>
          <w:sz w:val="12"/>
          <w:szCs w:val="12"/>
          <w:b w:val="1"/>
          <w:bCs w:val="1"/>
          <w:color w:val="auto"/>
        </w:rPr>
        <w:t>Indemnified Person</w:t>
      </w:r>
      <w:r>
        <w:rPr>
          <w:rFonts w:ascii="Times New Roman" w:cs="Times New Roman" w:eastAsia="Times New Roman" w:hAnsi="Times New Roman"/>
          <w:sz w:val="12"/>
          <w:szCs w:val="12"/>
          <w:color w:val="auto"/>
        </w:rPr>
        <w:t>"), against any cost, loss or liability incurred by that Indemnified Person pursuant to or in connection with any litigation, arbitration or administrative proceedings or regulatory enquiry, in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connection with or arising out of the entry into and the transactions contemplated by the Finance Documents, having the benefit of any Security constituted by the Finance Documents or which relates to the condition or operation of, or any incident occurring in relation to, any Ship unless such cost, loss or liability is caused by the gross negligence or wilful misconduct of that Indemnified Person.</w:t>
      </w:r>
    </w:p>
    <w:p>
      <w:pPr>
        <w:spacing w:after="0" w:line="12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45" w:name="page446"/>
    <w:bookmarkEnd w:id="445"/>
    <w:p>
      <w:pPr>
        <w:ind w:left="428" w:hanging="428"/>
        <w:spacing w:after="0"/>
        <w:tabs>
          <w:tab w:leader="none" w:pos="428" w:val="left"/>
        </w:tabs>
        <w:numPr>
          <w:ilvl w:val="0"/>
          <w:numId w:val="7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but subject to any limitations set out in paragraph (b) above, the indemnity in paragraph (b) above shall cover any cost, loss or liability incurred by each Indemnified Person in any jurisdiction: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arising or asserted under or in connection with any law relating to safety at sea, the ISM Code, any Environmental Law or any Sanctions;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Environmental Claim.</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or any officer or employee of a Finance Party or of any of its Affiliates may rely on this Clause 15.2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15.3</w:t>
      </w:r>
      <w:r>
        <w:rPr>
          <w:sz w:val="20"/>
          <w:szCs w:val="20"/>
          <w:color w:val="auto"/>
        </w:rPr>
        <w:tab/>
      </w:r>
      <w:r>
        <w:rPr>
          <w:rFonts w:ascii="Times New Roman" w:cs="Times New Roman" w:eastAsia="Times New Roman" w:hAnsi="Times New Roman"/>
          <w:sz w:val="11"/>
          <w:szCs w:val="11"/>
          <w:b w:val="1"/>
          <w:bCs w:val="1"/>
          <w:color w:val="auto"/>
        </w:rPr>
        <w:t>Mandatory Cost</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within three Business Days of any demand by the Facility Agent, pay to the Facility Agent for the account of the relevant Lender, such amount which any Lender certifies in a notice to the Facility Agent to be its good faith determination of the amount necessary to compensate it for complying with:</w:t>
      </w:r>
    </w:p>
    <w:p>
      <w:pPr>
        <w:spacing w:after="0" w:line="111" w:lineRule="exact"/>
        <w:rPr>
          <w:sz w:val="20"/>
          <w:szCs w:val="20"/>
          <w:color w:val="auto"/>
        </w:rPr>
      </w:pPr>
    </w:p>
    <w:p>
      <w:pPr>
        <w:ind w:left="428" w:hanging="428"/>
        <w:spacing w:after="0" w:line="279" w:lineRule="auto"/>
        <w:tabs>
          <w:tab w:leader="none" w:pos="428" w:val="left"/>
        </w:tabs>
        <w:numPr>
          <w:ilvl w:val="0"/>
          <w:numId w:val="7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Lender lending from a Facility Office in Switzerland, the applicable regulatory requirement(s) of the Swiss National Bank, the Swiss Financial Market Supervisory Authority (FINMA) or any other relevant regulatory authority;</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 Lender lending from a Facility Office in a Participating Member State, the minimum reserve requirements (or other requirements having the same or similar purpose) of the European Central Bank or any other authority or agency which replaces all or any of its functions in respect of loans made from that Facility Office;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7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Lender lending from a Facility Office in the United Kingdom, any reserve asset, special deposit or liquidity requirements (or other requirements having the same or similar purpose) of the Bank of England (or any other governmental authority or agency) and/or paying any fees to the Financial Conduct Authority and/or the Prudential Regulation Authority (or any other governmental authority or agency which replaces all or any of their functions),</w:t>
      </w:r>
    </w:p>
    <w:p>
      <w:pPr>
        <w:spacing w:after="0" w:line="118"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in each case, is referable to that Lender's participation in the Loan.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15.4</w:t>
      </w:r>
      <w:r>
        <w:rPr>
          <w:sz w:val="20"/>
          <w:szCs w:val="20"/>
          <w:color w:val="auto"/>
        </w:rPr>
        <w:tab/>
      </w:r>
      <w:r>
        <w:rPr>
          <w:rFonts w:ascii="Times New Roman" w:cs="Times New Roman" w:eastAsia="Times New Roman" w:hAnsi="Times New Roman"/>
          <w:sz w:val="11"/>
          <w:szCs w:val="11"/>
          <w:b w:val="1"/>
          <w:bCs w:val="1"/>
          <w:color w:val="auto"/>
        </w:rPr>
        <w:t>Indemnity to the Facility Agent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within three Business Days of any demand, indemnify the Facility Agent against:</w:t>
      </w:r>
    </w:p>
    <w:p>
      <w:pPr>
        <w:spacing w:after="0" w:line="150" w:lineRule="exact"/>
        <w:rPr>
          <w:sz w:val="20"/>
          <w:szCs w:val="20"/>
          <w:color w:val="auto"/>
        </w:rPr>
      </w:pPr>
    </w:p>
    <w:p>
      <w:pPr>
        <w:ind w:left="428" w:hanging="428"/>
        <w:spacing w:after="0"/>
        <w:tabs>
          <w:tab w:leader="none" w:pos="428" w:val="left"/>
        </w:tabs>
        <w:numPr>
          <w:ilvl w:val="0"/>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cost, loss or liability incurred by the Facility Agent (acting reasonably) as a result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investigating any event which it reasonably believes is a Default;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or relying on any notice, request or instruction which it reasonably believes to be genuine, correct and appropriately authorised;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instructing lawyers, accountants, tax advisers, surveyors or other professional advisers or experts as permitted under the Finance Documents; and</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59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46" w:name="page447"/>
    <w:bookmarkEnd w:id="446"/>
    <w:p>
      <w:pPr>
        <w:jc w:val="both"/>
        <w:ind w:left="428" w:hanging="428"/>
        <w:spacing w:after="0" w:line="266" w:lineRule="auto"/>
        <w:tabs>
          <w:tab w:leader="none" w:pos="428" w:val="left"/>
        </w:tabs>
        <w:numPr>
          <w:ilvl w:val="0"/>
          <w:numId w:val="7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cost, loss or liability incurred by the Facility Agent (otherwise than by reason of the Facility Agent's gross negligence or wilful misconduct) or, in the case of any cost, loss or liability pursuant to Clause 36.11 (</w:t>
      </w:r>
      <w:r>
        <w:rPr>
          <w:rFonts w:ascii="Times New Roman" w:cs="Times New Roman" w:eastAsia="Times New Roman" w:hAnsi="Times New Roman"/>
          <w:sz w:val="12"/>
          <w:szCs w:val="12"/>
          <w:i w:val="1"/>
          <w:iCs w:val="1"/>
          <w:color w:val="auto"/>
        </w:rPr>
        <w:t>Disruption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Payment Systems etc.</w:t>
      </w:r>
      <w:r>
        <w:rPr>
          <w:rFonts w:ascii="Times New Roman" w:cs="Times New Roman" w:eastAsia="Times New Roman" w:hAnsi="Times New Roman"/>
          <w:sz w:val="12"/>
          <w:szCs w:val="12"/>
          <w:color w:val="auto"/>
        </w:rPr>
        <w:t>) notwithstanding the Facility Agent's negligence, gross negligence or any other category of liability whatsoever but not including any claim based on the fraud of the Facility Agent in acting as Facility</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Agent under the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15.5</w:t>
      </w:r>
      <w:r>
        <w:rPr>
          <w:sz w:val="20"/>
          <w:szCs w:val="20"/>
          <w:color w:val="auto"/>
        </w:rPr>
        <w:tab/>
      </w:r>
      <w:r>
        <w:rPr>
          <w:rFonts w:ascii="Times New Roman" w:cs="Times New Roman" w:eastAsia="Times New Roman" w:hAnsi="Times New Roman"/>
          <w:sz w:val="11"/>
          <w:szCs w:val="11"/>
          <w:b w:val="1"/>
          <w:bCs w:val="1"/>
          <w:color w:val="auto"/>
        </w:rPr>
        <w:t>Indemnity to the Security Agent</w:t>
      </w:r>
    </w:p>
    <w:p>
      <w:pPr>
        <w:spacing w:after="0" w:line="154" w:lineRule="exact"/>
        <w:rPr>
          <w:sz w:val="20"/>
          <w:szCs w:val="20"/>
          <w:color w:val="auto"/>
        </w:rPr>
      </w:pPr>
    </w:p>
    <w:p>
      <w:pPr>
        <w:ind w:left="428" w:hanging="428"/>
        <w:spacing w:after="0"/>
        <w:tabs>
          <w:tab w:leader="none" w:pos="428" w:val="left"/>
        </w:tabs>
        <w:numPr>
          <w:ilvl w:val="0"/>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three Business Days of any demand, indemnify the Security Agent and every Receiver and Delegate against any cost, loss or liability incurred by any of them:</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or as a result of:</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a Borrower to comply with its obligations under Clause 17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or relying on any notice, request or instruction which it reasonably believes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holding, protection or enforcement of the Finance Documents and the Transaction Security;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any of the rights, powers, discretions, authorities and remedies vested in the Security Agent and each Receiver and Delegate by the Finance Documents or by law;</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default by any Transaction Obligor in the performance of any of the obligations expressed to be assumed by it in the Finance Documents;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action by any Transaction Obligor which vitiates, reduces the value of, or is otherwise prejudicial to, the Transaction Security;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instructing lawyers, accountants, tax advisers, surveyors or other professional advisers or experts as permitted under the Finance Documents;</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acting as Security Agent, Receiver or Delegate under the Finance Documents or which otherwise relates to any of the Security Property or the performance of the terms of this Agreement or the other Finance Documents (otherwise, in each case, than by reason of the relevant Security Agent's, Receiver's or Delegate's gross negligence or wilful misconduct).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and every Receiver and Delegate may, in priority to any payment to the Secured Parties, indemnify itself out of the Security Assets in respect of, and pay and retain, all sums necessary to give effect to the indemnity in this Clause 15.5 (</w:t>
      </w:r>
      <w:r>
        <w:rPr>
          <w:rFonts w:ascii="Times New Roman" w:cs="Times New Roman" w:eastAsia="Times New Roman" w:hAnsi="Times New Roman"/>
          <w:sz w:val="12"/>
          <w:szCs w:val="12"/>
          <w:i w:val="1"/>
          <w:iCs w:val="1"/>
          <w:color w:val="auto"/>
        </w:rPr>
        <w:t>Indemnity to the Security Agent</w:t>
      </w:r>
      <w:r>
        <w:rPr>
          <w:rFonts w:ascii="Times New Roman" w:cs="Times New Roman" w:eastAsia="Times New Roman" w:hAnsi="Times New Roman"/>
          <w:sz w:val="12"/>
          <w:szCs w:val="12"/>
          <w:color w:val="auto"/>
        </w:rPr>
        <w:t>) and shall have a lien on the Transaction Security and the proceeds of the enforcement of the Transaction Security for all monies payable to it.</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3" w:right="299" w:bottom="1440" w:gutter="0" w:footer="0" w:header="0"/>
        </w:sectPr>
      </w:pPr>
    </w:p>
    <w:bookmarkStart w:id="447" w:name="page448"/>
    <w:bookmarkEnd w:id="447"/>
    <w:p>
      <w:pPr>
        <w:ind w:left="8" w:right="8520" w:hanging="8"/>
        <w:spacing w:after="0" w:line="504" w:lineRule="auto"/>
        <w:tabs>
          <w:tab w:leader="none" w:pos="431" w:val="left"/>
        </w:tabs>
        <w:numPr>
          <w:ilvl w:val="0"/>
          <w:numId w:val="73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MITIGATION BY THE FINANCE PARTIES 16.1 Mitigation</w:t>
      </w:r>
    </w:p>
    <w:p>
      <w:pPr>
        <w:jc w:val="both"/>
        <w:ind w:left="428" w:hanging="428"/>
        <w:spacing w:after="0" w:line="265" w:lineRule="auto"/>
        <w:tabs>
          <w:tab w:leader="none" w:pos="428" w:val="left"/>
        </w:tabs>
        <w:numPr>
          <w:ilvl w:val="0"/>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in consultation with the Borrowers and following notification to the Facility Agent, take all reasonable steps to mitigate any circumstances which arise and which would result in any amount becoming payable under or pursuant to, or cancelled pursuant to, any of Clause 7.1(a)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 Clause 13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Clause 14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 or paragraph (a) of Clause 15.3 (</w:t>
      </w:r>
      <w:r>
        <w:rPr>
          <w:rFonts w:ascii="Times New Roman" w:cs="Times New Roman" w:eastAsia="Times New Roman" w:hAnsi="Times New Roman"/>
          <w:sz w:val="12"/>
          <w:szCs w:val="12"/>
          <w:i w:val="1"/>
          <w:iCs w:val="1"/>
          <w:color w:val="auto"/>
        </w:rPr>
        <w:t>Mandatory Cost</w:t>
      </w:r>
      <w:r>
        <w:rPr>
          <w:rFonts w:ascii="Times New Roman" w:cs="Times New Roman" w:eastAsia="Times New Roman" w:hAnsi="Times New Roman"/>
          <w:sz w:val="12"/>
          <w:szCs w:val="12"/>
          <w:color w:val="auto"/>
        </w:rPr>
        <w:t>) including (but not limited to) transferring its rights and obligations under the Finance Documents to another Affiliate or Facility Office.</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following consultation with the Facility Agent, take any steps that such Finance Party considers reasonable in its sole discretion, to mitigate any circumstances which arise, and which would result in any amount becoming payable under or pursuant to, or cancelled pursuant to Clause 7.1 (</w:t>
      </w:r>
      <w:r>
        <w:rPr>
          <w:rFonts w:ascii="Times New Roman" w:cs="Times New Roman" w:eastAsia="Times New Roman" w:hAnsi="Times New Roman"/>
          <w:sz w:val="12"/>
          <w:szCs w:val="12"/>
          <w:i w:val="1"/>
          <w:iCs w:val="1"/>
          <w:color w:val="auto"/>
        </w:rPr>
        <w:t>Illegality and Sanctions affecting a Lender</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does not in any way limit the obligations of any Transaction Obligor under the Finance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16.2</w:t>
      </w:r>
      <w:r>
        <w:rPr>
          <w:sz w:val="20"/>
          <w:szCs w:val="20"/>
          <w:color w:val="auto"/>
        </w:rPr>
        <w:tab/>
      </w:r>
      <w:r>
        <w:rPr>
          <w:rFonts w:ascii="Times New Roman" w:cs="Times New Roman" w:eastAsia="Times New Roman" w:hAnsi="Times New Roman"/>
          <w:sz w:val="11"/>
          <w:szCs w:val="11"/>
          <w:b w:val="1"/>
          <w:bCs w:val="1"/>
          <w:color w:val="auto"/>
        </w:rPr>
        <w:t>Limitation of liability</w:t>
      </w:r>
    </w:p>
    <w:p>
      <w:pPr>
        <w:spacing w:after="0" w:line="152" w:lineRule="exact"/>
        <w:rPr>
          <w:sz w:val="20"/>
          <w:szCs w:val="20"/>
          <w:color w:val="auto"/>
        </w:rPr>
      </w:pPr>
    </w:p>
    <w:p>
      <w:pPr>
        <w:ind w:left="428" w:hanging="428"/>
        <w:spacing w:after="0"/>
        <w:tabs>
          <w:tab w:leader="none" w:pos="428" w:val="left"/>
        </w:tabs>
        <w:numPr>
          <w:ilvl w:val="0"/>
          <w:numId w:val="7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within three Business Days of demand, indemnify each Finance Party for all costs and expenses reasonably incurred by that Finance Party as a result of steps taken by it under Clause 16.1 (</w:t>
      </w:r>
      <w:r>
        <w:rPr>
          <w:rFonts w:ascii="Times New Roman" w:cs="Times New Roman" w:eastAsia="Times New Roman" w:hAnsi="Times New Roman"/>
          <w:sz w:val="12"/>
          <w:szCs w:val="12"/>
          <w:i w:val="1"/>
          <w:iCs w:val="1"/>
          <w:color w:val="auto"/>
        </w:rPr>
        <w:t>Mitigation</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Finance Party is not obliged to take any steps under Clause 16.1 (</w:t>
      </w:r>
      <w:r>
        <w:rPr>
          <w:rFonts w:ascii="Times New Roman" w:cs="Times New Roman" w:eastAsia="Times New Roman" w:hAnsi="Times New Roman"/>
          <w:sz w:val="12"/>
          <w:szCs w:val="12"/>
          <w:i w:val="1"/>
          <w:iCs w:val="1"/>
          <w:color w:val="auto"/>
        </w:rPr>
        <w:t>Mitigation</w:t>
      </w:r>
      <w:r>
        <w:rPr>
          <w:rFonts w:ascii="Times New Roman" w:cs="Times New Roman" w:eastAsia="Times New Roman" w:hAnsi="Times New Roman"/>
          <w:sz w:val="12"/>
          <w:szCs w:val="12"/>
          <w:color w:val="auto"/>
        </w:rPr>
        <w:t>) if either: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Event of Default has occurred and is continuing;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that Finance Party (acting reasonably), to do so might be prejudicial to it.</w:t>
      </w:r>
    </w:p>
    <w:p>
      <w:pPr>
        <w:spacing w:after="0" w:line="146" w:lineRule="exact"/>
        <w:rPr>
          <w:sz w:val="20"/>
          <w:szCs w:val="20"/>
          <w:color w:val="auto"/>
        </w:rPr>
      </w:pPr>
    </w:p>
    <w:p>
      <w:pPr>
        <w:ind w:left="8" w:right="9560" w:hanging="8"/>
        <w:spacing w:after="0" w:line="550" w:lineRule="auto"/>
        <w:tabs>
          <w:tab w:leader="none" w:pos="431" w:val="left"/>
        </w:tabs>
        <w:numPr>
          <w:ilvl w:val="0"/>
          <w:numId w:val="736"/>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COSTS AND EXPENSES 17.1 Transaction expenses</w:t>
      </w:r>
    </w:p>
    <w:p>
      <w:pPr>
        <w:ind w:left="428"/>
        <w:spacing w:after="0" w:line="279" w:lineRule="auto"/>
        <w:rPr>
          <w:sz w:val="20"/>
          <w:szCs w:val="20"/>
          <w:color w:val="auto"/>
        </w:rPr>
      </w:pPr>
      <w:r>
        <w:rPr>
          <w:rFonts w:ascii="Times New Roman" w:cs="Times New Roman" w:eastAsia="Times New Roman" w:hAnsi="Times New Roman"/>
          <w:sz w:val="12"/>
          <w:szCs w:val="12"/>
          <w:color w:val="auto"/>
        </w:rPr>
        <w:t>The Obligors shall, within three Business Days of any demand, pay the Facility Agent and the Security Agent the amount of all costs and expenses (including pre-agreed legal fees) reasonably incurred by any Secured Party in connection with the negotiation, preparation, printing, execution and perfection of:</w:t>
      </w:r>
    </w:p>
    <w:p>
      <w:pPr>
        <w:spacing w:after="0" w:line="111" w:lineRule="exact"/>
        <w:rPr>
          <w:sz w:val="20"/>
          <w:szCs w:val="20"/>
          <w:color w:val="auto"/>
        </w:rPr>
      </w:pPr>
    </w:p>
    <w:p>
      <w:pPr>
        <w:ind w:left="428" w:hanging="428"/>
        <w:spacing w:after="0"/>
        <w:tabs>
          <w:tab w:leader="none" w:pos="428" w:val="left"/>
        </w:tabs>
        <w:numPr>
          <w:ilvl w:val="0"/>
          <w:numId w:val="7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and any other documents referred to in this Agreement or in a Security Document;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Finance Documents executed after the date of this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17.2</w:t>
      </w:r>
      <w:r>
        <w:rPr>
          <w:sz w:val="20"/>
          <w:szCs w:val="20"/>
          <w:color w:val="auto"/>
        </w:rPr>
        <w:tab/>
      </w:r>
      <w:r>
        <w:rPr>
          <w:rFonts w:ascii="Times New Roman" w:cs="Times New Roman" w:eastAsia="Times New Roman" w:hAnsi="Times New Roman"/>
          <w:sz w:val="11"/>
          <w:szCs w:val="11"/>
          <w:b w:val="1"/>
          <w:bCs w:val="1"/>
          <w:color w:val="auto"/>
        </w:rPr>
        <w:t>Amendment costs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17.4 (</w:t>
      </w:r>
      <w:r>
        <w:rPr>
          <w:rFonts w:ascii="Times New Roman" w:cs="Times New Roman" w:eastAsia="Times New Roman" w:hAnsi="Times New Roman"/>
          <w:sz w:val="12"/>
          <w:szCs w:val="12"/>
          <w:i w:val="1"/>
          <w:iCs w:val="1"/>
          <w:color w:val="auto"/>
        </w:rPr>
        <w:t>Reference rate transition costs</w:t>
      </w:r>
      <w:r>
        <w:rPr>
          <w:rFonts w:ascii="Times New Roman" w:cs="Times New Roman" w:eastAsia="Times New Roman" w:hAnsi="Times New Roman"/>
          <w:sz w:val="12"/>
          <w:szCs w:val="12"/>
          <w:color w:val="auto"/>
        </w:rPr>
        <w:t>) if:</w:t>
      </w:r>
    </w:p>
    <w:p>
      <w:pPr>
        <w:spacing w:after="0" w:line="152" w:lineRule="exact"/>
        <w:rPr>
          <w:sz w:val="20"/>
          <w:szCs w:val="20"/>
          <w:color w:val="auto"/>
        </w:rPr>
      </w:pPr>
    </w:p>
    <w:p>
      <w:pPr>
        <w:ind w:left="428" w:hanging="428"/>
        <w:spacing w:after="0"/>
        <w:tabs>
          <w:tab w:leader="none" w:pos="428" w:val="left"/>
        </w:tabs>
        <w:numPr>
          <w:ilvl w:val="0"/>
          <w:numId w:val="7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requests an amendment, waiver or consent; 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is required pursuant to Clause 36.9 (</w:t>
      </w:r>
      <w:r>
        <w:rPr>
          <w:rFonts w:ascii="Times New Roman" w:cs="Times New Roman" w:eastAsia="Times New Roman" w:hAnsi="Times New Roman"/>
          <w:sz w:val="12"/>
          <w:szCs w:val="12"/>
          <w:i w:val="1"/>
          <w:iCs w:val="1"/>
          <w:color w:val="auto"/>
        </w:rPr>
        <w:t>Change of currency</w:t>
      </w:r>
      <w:r>
        <w:rPr>
          <w:rFonts w:ascii="Times New Roman" w:cs="Times New Roman" w:eastAsia="Times New Roman" w:hAnsi="Times New Roman"/>
          <w:sz w:val="12"/>
          <w:szCs w:val="12"/>
          <w:color w:val="auto"/>
        </w:rPr>
        <w:t>); or</w:t>
      </w:r>
    </w:p>
    <w:p>
      <w:pPr>
        <w:spacing w:after="0" w:line="15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48" w:name="page449"/>
    <w:bookmarkEnd w:id="448"/>
    <w:p>
      <w:pPr>
        <w:ind w:left="428" w:hanging="428"/>
        <w:spacing w:after="0"/>
        <w:tabs>
          <w:tab w:leader="none" w:pos="428" w:val="left"/>
        </w:tabs>
        <w:numPr>
          <w:ilvl w:val="0"/>
          <w:numId w:val="7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requests, and the Security Agent agrees to, the release of all or any part of the Security Assets from the Transaction Security,</w:t>
      </w:r>
    </w:p>
    <w:p>
      <w:pPr>
        <w:spacing w:after="0" w:line="150"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the Obligors shall, within three Business Days of demand, reimburse each of the Facility Agent and the Security Agent for the amount of all costs and expenses (including legal fees) reasonably incurred by each Secured Party in responding to, evaluating, negotiating or complying with that request or requirement.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17.3</w:t>
      </w:r>
      <w:r>
        <w:rPr>
          <w:sz w:val="20"/>
          <w:szCs w:val="20"/>
          <w:color w:val="auto"/>
        </w:rPr>
        <w:tab/>
      </w:r>
      <w:r>
        <w:rPr>
          <w:rFonts w:ascii="Times New Roman" w:cs="Times New Roman" w:eastAsia="Times New Roman" w:hAnsi="Times New Roman"/>
          <w:sz w:val="11"/>
          <w:szCs w:val="11"/>
          <w:b w:val="1"/>
          <w:bCs w:val="1"/>
          <w:color w:val="auto"/>
        </w:rPr>
        <w:t>Enforcement and preservation costs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Obligors shall, on demand, pay to each Secured Party the amount of all costs and expenses (including legal fees) incurred by that Secured Party in connection with the enforcement of, or the preservation of any rights under, any Finance Document or the Transaction Security and with any proceedings instituted by or against that Secured Party as a consequence of it entering into a Finance Document, taking or holding the Transaction Security, or enforcing those rights.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17.4</w:t>
      </w:r>
      <w:r>
        <w:rPr>
          <w:sz w:val="20"/>
          <w:szCs w:val="20"/>
          <w:color w:val="auto"/>
        </w:rPr>
        <w:tab/>
      </w:r>
      <w:r>
        <w:rPr>
          <w:rFonts w:ascii="Times New Roman" w:cs="Times New Roman" w:eastAsia="Times New Roman" w:hAnsi="Times New Roman"/>
          <w:sz w:val="11"/>
          <w:szCs w:val="11"/>
          <w:b w:val="1"/>
          <w:bCs w:val="1"/>
          <w:color w:val="auto"/>
        </w:rPr>
        <w:t>Reference rate transition costs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The Borrowers shall within three Business Days of demand reimburse each of the Facility Agent and the Security Agent for the amount of all costs and expenses (including legal fees) reasonably incurred by each Secured Party in connection with:</w:t>
      </w:r>
    </w:p>
    <w:p>
      <w:pPr>
        <w:spacing w:after="0" w:line="111" w:lineRule="exact"/>
        <w:rPr>
          <w:sz w:val="20"/>
          <w:szCs w:val="20"/>
          <w:color w:val="auto"/>
        </w:rPr>
      </w:pPr>
    </w:p>
    <w:p>
      <w:pPr>
        <w:ind w:left="428" w:hanging="428"/>
        <w:spacing w:after="0"/>
        <w:tabs>
          <w:tab w:leader="none" w:pos="428" w:val="left"/>
        </w:tabs>
        <w:numPr>
          <w:ilvl w:val="0"/>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negotiation or entry into of any Reference Rate Supplement or Compounding Methodology Supplement;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necessary amendment, waiver or consent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transition to the Compounded Reference Rate;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Rate Supplement or Compounding Methodology Supplement; or</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arising as a result of an amendment required under Clause 45.5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49" w:name="page450"/>
    <w:bookmarkEnd w:id="44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7</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GUARANTEES AND JOINT AND SEVERAL LIABILITY OF BORROWERS</w:t>
      </w:r>
    </w:p>
    <w:p>
      <w:pPr>
        <w:spacing w:after="0" w:line="150" w:lineRule="exact"/>
        <w:rPr>
          <w:sz w:val="20"/>
          <w:szCs w:val="20"/>
          <w:color w:val="auto"/>
        </w:rPr>
      </w:pPr>
    </w:p>
    <w:p>
      <w:pPr>
        <w:ind w:left="8" w:right="8180" w:hanging="8"/>
        <w:spacing w:after="0" w:line="504" w:lineRule="auto"/>
        <w:tabs>
          <w:tab w:leader="none" w:pos="431" w:val="left"/>
        </w:tabs>
        <w:numPr>
          <w:ilvl w:val="0"/>
          <w:numId w:val="74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GUARANTEE AND INDEMNITY – GUARANTOR 18.1 Guarantee and indemnity</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The Guarantor irrevocably and unconditionally:</w:t>
      </w:r>
    </w:p>
    <w:p>
      <w:pPr>
        <w:spacing w:after="0" w:line="150" w:lineRule="exact"/>
        <w:rPr>
          <w:sz w:val="20"/>
          <w:szCs w:val="20"/>
          <w:color w:val="auto"/>
        </w:rPr>
      </w:pPr>
    </w:p>
    <w:p>
      <w:pPr>
        <w:ind w:left="428" w:hanging="428"/>
        <w:spacing w:after="0"/>
        <w:tabs>
          <w:tab w:leader="none" w:pos="428" w:val="left"/>
        </w:tabs>
        <w:numPr>
          <w:ilvl w:val="0"/>
          <w:numId w:val="7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guarantees to each Finance Party punctual performance by each Borrower of all that Borrower's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undertakes with each Finance Party that whenever a Borrower does not pay any amount when due under or in connection with any Finance Document, the Guarantor shall immediately on demand pay that amount as if it were the principal obligor; and</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7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a Borrower not paying any amount which would, but for such unenforceability, invalidity or illegality, have been payable by it under any Finance Document on the date when it would have been due. The amount payable by the Guarantor under this indemnity will not exceed the amount it would have had to pay under this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if the amount claimed had been recoverable on the basis of a guarantee.</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18.2</w:t>
      </w:r>
      <w:r>
        <w:rPr>
          <w:sz w:val="20"/>
          <w:szCs w:val="20"/>
          <w:color w:val="auto"/>
        </w:rPr>
        <w:tab/>
      </w:r>
      <w:r>
        <w:rPr>
          <w:rFonts w:ascii="Times New Roman" w:cs="Times New Roman" w:eastAsia="Times New Roman" w:hAnsi="Times New Roman"/>
          <w:sz w:val="11"/>
          <w:szCs w:val="11"/>
          <w:b w:val="1"/>
          <w:bCs w:val="1"/>
          <w:color w:val="auto"/>
        </w:rPr>
        <w:t>Continuing guarantee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This guarantee is a continuing guarantee and will extend to the ultimate balance of sums payable by each Borrower under the Finance Documents, regardless of any intermediate payment or discharge in whole or in part.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18.3</w:t>
      </w:r>
      <w:r>
        <w:rPr>
          <w:sz w:val="20"/>
          <w:szCs w:val="20"/>
          <w:color w:val="auto"/>
        </w:rPr>
        <w:tab/>
      </w:r>
      <w:r>
        <w:rPr>
          <w:rFonts w:ascii="Times New Roman" w:cs="Times New Roman" w:eastAsia="Times New Roman" w:hAnsi="Times New Roman"/>
          <w:sz w:val="12"/>
          <w:szCs w:val="12"/>
          <w:b w:val="1"/>
          <w:bCs w:val="1"/>
          <w:color w:val="auto"/>
        </w:rPr>
        <w:t>Reinstatement</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any discharge, release or arrangement (whether in respect of the obligations of any Transaction Obligor or any security for those obligations or otherwise) is made by a Secured Party in whole or in part on the basis of any payment, security or other disposition which is avoided or must be restored in insolvency, liquidation, administration or otherwise, without limitation, then the liability of the Guarantor under this Clause 18 (</w:t>
      </w:r>
      <w:r>
        <w:rPr>
          <w:rFonts w:ascii="Times New Roman" w:cs="Times New Roman" w:eastAsia="Times New Roman" w:hAnsi="Times New Roman"/>
          <w:sz w:val="12"/>
          <w:szCs w:val="12"/>
          <w:i w:val="1"/>
          <w:iCs w:val="1"/>
          <w:color w:val="auto"/>
        </w:rPr>
        <w:t>Guarantee and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Indemnity – Guarantor</w:t>
      </w:r>
      <w:r>
        <w:rPr>
          <w:rFonts w:ascii="Times New Roman" w:cs="Times New Roman" w:eastAsia="Times New Roman" w:hAnsi="Times New Roman"/>
          <w:sz w:val="12"/>
          <w:szCs w:val="12"/>
          <w:color w:val="auto"/>
        </w:rPr>
        <w:t>) will continue or be reinstated as if the discharge, release or arrangement had not occurred.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18.4</w:t>
      </w:r>
      <w:r>
        <w:rPr>
          <w:sz w:val="20"/>
          <w:szCs w:val="20"/>
          <w:color w:val="auto"/>
        </w:rPr>
        <w:tab/>
      </w:r>
      <w:r>
        <w:rPr>
          <w:rFonts w:ascii="Times New Roman" w:cs="Times New Roman" w:eastAsia="Times New Roman" w:hAnsi="Times New Roman"/>
          <w:sz w:val="11"/>
          <w:szCs w:val="11"/>
          <w:b w:val="1"/>
          <w:bCs w:val="1"/>
          <w:color w:val="auto"/>
        </w:rPr>
        <w:t>Waiver of defences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obligations of the Guarantor under this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xml:space="preserve"> and in respect of any Transaction Security will not be affected or discharged by an act, omission, matter or thing which, but for this Clause 18.4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would reduce, release or prejudice any of its obligations under this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or in respect of any Transaction Security (without limitation and whether or not known to it or any Secured Party) including:</w:t>
      </w:r>
    </w:p>
    <w:p>
      <w:pPr>
        <w:spacing w:after="0" w:line="119" w:lineRule="exact"/>
        <w:rPr>
          <w:sz w:val="20"/>
          <w:szCs w:val="20"/>
          <w:color w:val="auto"/>
        </w:rPr>
      </w:pPr>
    </w:p>
    <w:p>
      <w:pPr>
        <w:ind w:left="428" w:hanging="428"/>
        <w:spacing w:after="0"/>
        <w:tabs>
          <w:tab w:leader="none" w:pos="428" w:val="left"/>
        </w:tabs>
        <w:numPr>
          <w:ilvl w:val="0"/>
          <w:numId w:val="7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waiver or consent granted to, or composition with, any Transaction Obligor or other person;</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50" w:name="page451"/>
    <w:bookmarkEnd w:id="450"/>
    <w:p>
      <w:pPr>
        <w:ind w:left="428" w:hanging="428"/>
        <w:spacing w:after="0"/>
        <w:tabs>
          <w:tab w:leader="none" w:pos="42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other Transaction Obligor or any other person under the terms of any composition or arrangement with any creditor of any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variation, compromise, exchange, renewal or release of, or refusal or neglect to perfect or delay in perfecting, or refusal or neglect to take up or enforce, or delay in taking or enforcing any rights against, or security over assets of, any Transaction Obligor or other person or any non-presentation or non-observance of any formality or other requirement in respect of any instrument or any failure to realise the full value of any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change in the members or status of a Transaction Obligor or any other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unenforceability, illegality or invalidity of any obligation of any person under any Finance Document or any other document or security;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18.5</w:t>
      </w:r>
      <w:r>
        <w:rPr>
          <w:sz w:val="20"/>
          <w:szCs w:val="20"/>
          <w:color w:val="auto"/>
        </w:rPr>
        <w:tab/>
      </w:r>
      <w:r>
        <w:rPr>
          <w:rFonts w:ascii="Times New Roman" w:cs="Times New Roman" w:eastAsia="Times New Roman" w:hAnsi="Times New Roman"/>
          <w:sz w:val="11"/>
          <w:szCs w:val="11"/>
          <w:b w:val="1"/>
          <w:bCs w:val="1"/>
          <w:color w:val="auto"/>
        </w:rPr>
        <w:t>Immediate recourse</w:t>
      </w:r>
    </w:p>
    <w:p>
      <w:pPr>
        <w:spacing w:after="0" w:line="154" w:lineRule="exact"/>
        <w:rPr>
          <w:sz w:val="20"/>
          <w:szCs w:val="20"/>
          <w:color w:val="auto"/>
        </w:rPr>
      </w:pPr>
    </w:p>
    <w:p>
      <w:pPr>
        <w:jc w:val="both"/>
        <w:ind w:left="428" w:hanging="428"/>
        <w:spacing w:after="0" w:line="265" w:lineRule="auto"/>
        <w:tabs>
          <w:tab w:leader="none" w:pos="428" w:val="left"/>
        </w:tabs>
        <w:numPr>
          <w:ilvl w:val="0"/>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waives any right it may have of first requiring any Secured Party (or any trustee or agent on its behalf) to proceed against or enforce any other rights or security or claim payment from any person (including without limitation to commence any proceedings under any Finance Document or to enforce any Transaction Security) before claiming or commencing proceedings under this Clause 18 (</w:t>
      </w:r>
      <w:r>
        <w:rPr>
          <w:rFonts w:ascii="Times New Roman" w:cs="Times New Roman" w:eastAsia="Times New Roman" w:hAnsi="Times New Roman"/>
          <w:sz w:val="12"/>
          <w:szCs w:val="12"/>
          <w:i w:val="1"/>
          <w:iCs w:val="1"/>
          <w:color w:val="auto"/>
        </w:rPr>
        <w:t>Guarantee and Indemnity –</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Guarantor</w:t>
      </w:r>
      <w:r>
        <w:rPr>
          <w:rFonts w:ascii="Times New Roman" w:cs="Times New Roman" w:eastAsia="Times New Roman" w:hAnsi="Times New Roman"/>
          <w:sz w:val="12"/>
          <w:szCs w:val="12"/>
          <w:color w:val="auto"/>
        </w:rPr>
        <w:t>). This waiver applies irrespective of any law or any provision of a Finance Document to the contrary.</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7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acknowledges the rights of the Facility Agent pursuant to Clause 29.20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to enforce or direct the Security Agent to enforce or exercise any or all of its rights, remedies powers or directions under any guarantee or indemnity contained in this Agreement.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18.6</w:t>
      </w:r>
      <w:r>
        <w:rPr>
          <w:sz w:val="20"/>
          <w:szCs w:val="20"/>
          <w:color w:val="auto"/>
        </w:rPr>
        <w:tab/>
      </w:r>
      <w:r>
        <w:rPr>
          <w:rFonts w:ascii="Times New Roman" w:cs="Times New Roman" w:eastAsia="Times New Roman" w:hAnsi="Times New Roman"/>
          <w:sz w:val="11"/>
          <w:szCs w:val="11"/>
          <w:b w:val="1"/>
          <w:bCs w:val="1"/>
          <w:color w:val="auto"/>
        </w:rPr>
        <w:t>Appropriations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Until all amounts which may be or become payable by the Transaction Obligors under or in connection with the Finance Documents have been irrevocably paid in full, each Secured Party (or any trustee or agent on its behalf)</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w:t>
      </w:r>
    </w:p>
    <w:p>
      <w:pPr>
        <w:spacing w:after="0" w:line="139" w:lineRule="exact"/>
        <w:rPr>
          <w:sz w:val="20"/>
          <w:szCs w:val="20"/>
          <w:color w:val="auto"/>
        </w:rPr>
      </w:pPr>
    </w:p>
    <w:p>
      <w:pPr>
        <w:ind w:left="428" w:hanging="428"/>
        <w:spacing w:after="0" w:line="279" w:lineRule="auto"/>
        <w:tabs>
          <w:tab w:leader="none" w:pos="428" w:val="left"/>
        </w:tabs>
        <w:numPr>
          <w:ilvl w:val="0"/>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refrain from applying or enforcing any other moneys, security or rights held or received by that Secured Party (or any trustee or agent on its behalf) in respect of those amounts, or apply and enforce the same in such manner and order as it sees fit (whether against those amounts or otherwise) and the Guarantor shall not be entitled to the benefit of the same; and</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hold in an interest-bearing suspense account any moneys received from the Guarantor or on account of the Guarantor's liability under this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51" w:name="page452"/>
    <w:bookmarkEnd w:id="45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18.7</w:t>
      </w:r>
      <w:r>
        <w:rPr>
          <w:sz w:val="20"/>
          <w:szCs w:val="20"/>
          <w:color w:val="auto"/>
        </w:rPr>
        <w:tab/>
      </w:r>
      <w:r>
        <w:rPr>
          <w:rFonts w:ascii="Times New Roman" w:cs="Times New Roman" w:eastAsia="Times New Roman" w:hAnsi="Times New Roman"/>
          <w:sz w:val="12"/>
          <w:szCs w:val="12"/>
          <w:b w:val="1"/>
          <w:bCs w:val="1"/>
          <w:color w:val="auto"/>
        </w:rPr>
        <w:t>Deferral of Guarantor's rights</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All rights which the Guarantor at any time has (whether in respect of this guarantee, a mortgage or any other transaction) against any Borrower, any other Transaction Obligor or their respective assets shall be fully subordinated to the rights of the Secured Parties under the Finance Documents and until the end of the Security Period and unless the Facility Agent otherwise directs, the Guarantor will not exercise any rights which it may have (whether in respect of any Finance Document to which it is a Party or any other transaction) by reason of performance by it of its obligations under the Finance Documents or by reason of any amount being payable, or liability arising, under this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w:t>
      </w:r>
    </w:p>
    <w:p>
      <w:pPr>
        <w:spacing w:after="0" w:line="122" w:lineRule="exact"/>
        <w:rPr>
          <w:sz w:val="20"/>
          <w:szCs w:val="20"/>
          <w:color w:val="auto"/>
        </w:rPr>
      </w:pPr>
    </w:p>
    <w:p>
      <w:pPr>
        <w:ind w:left="428" w:hanging="428"/>
        <w:spacing w:after="0"/>
        <w:tabs>
          <w:tab w:leader="none" w:pos="428"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indemnified by a Transaction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any contribution from any third party providing security for, or any other guarantor of, any Transaction Obligor's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take the benefit (in whole or in part and whether by way of subrogation or otherwise) of any rights of the Secured Parties under the Finance Documents or of any other guarantee or security taken pursuant to, or in connection with, the Finance Documents by any Secured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bring legal or other proceedings for an order requiring any Transaction Obligor to make any payment, or perform any obligation, in respect of which the Guarantor has given a guarantee, undertaking or indemnity under Clause 18.1 (</w:t>
      </w:r>
      <w:r>
        <w:rPr>
          <w:rFonts w:ascii="Times New Roman" w:cs="Times New Roman" w:eastAsia="Times New Roman" w:hAnsi="Times New Roman"/>
          <w:sz w:val="12"/>
          <w:szCs w:val="12"/>
          <w:i w:val="1"/>
          <w:iCs w:val="1"/>
          <w:color w:val="auto"/>
        </w:rPr>
        <w:t>Guarantee and indemnity</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exercise any right of set-off against any Transaction Obligor; and/or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or prove as a creditor of any Transaction Obligor in competition with any Secured Party.</w:t>
      </w:r>
    </w:p>
    <w:p>
      <w:pPr>
        <w:spacing w:after="0" w:line="150" w:lineRule="exact"/>
        <w:rPr>
          <w:rFonts w:ascii="Times New Roman" w:cs="Times New Roman" w:eastAsia="Times New Roman" w:hAnsi="Times New Roman"/>
          <w:sz w:val="12"/>
          <w:szCs w:val="12"/>
          <w:color w:val="auto"/>
        </w:rPr>
      </w:pPr>
    </w:p>
    <w:p>
      <w:pPr>
        <w:jc w:val="both"/>
        <w:ind w:left="428"/>
        <w:spacing w:after="0" w:line="26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Guarantor receives any benefit, payment or distribution in relation to such rights it shall hold that benefit, payment or distribution to the extent necessary to enable all amounts which may be or become payable to the Secured Parties by the Transaction Obligors under or in connection with the Finance Documents to be repaid in full on trust for the Secured Parties and shall promptly pay or transfer the same to the Facility Agent or as the Facility Agent may direct for application in accordance with Clause 36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18.8</w:t>
      </w:r>
      <w:r>
        <w:rPr>
          <w:sz w:val="20"/>
          <w:szCs w:val="20"/>
          <w:color w:val="auto"/>
        </w:rPr>
        <w:tab/>
      </w:r>
      <w:r>
        <w:rPr>
          <w:rFonts w:ascii="Times New Roman" w:cs="Times New Roman" w:eastAsia="Times New Roman" w:hAnsi="Times New Roman"/>
          <w:sz w:val="11"/>
          <w:szCs w:val="11"/>
          <w:b w:val="1"/>
          <w:bCs w:val="1"/>
          <w:color w:val="auto"/>
        </w:rPr>
        <w:t>Additional security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This guarantee and any other Security given by the Guarantor is in addition to and is not in any way prejudiced by, and shall not prejudice, any other guarantee or Security or any other right of recourse now or subsequently held by any Secured Party or any right of set-off or netting or right to combine accounts in connection with the Finance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18.9</w:t>
      </w:r>
      <w:r>
        <w:rPr>
          <w:sz w:val="20"/>
          <w:szCs w:val="20"/>
          <w:color w:val="auto"/>
        </w:rPr>
        <w:tab/>
      </w:r>
      <w:r>
        <w:rPr>
          <w:rFonts w:ascii="Times New Roman" w:cs="Times New Roman" w:eastAsia="Times New Roman" w:hAnsi="Times New Roman"/>
          <w:sz w:val="11"/>
          <w:szCs w:val="11"/>
          <w:b w:val="1"/>
          <w:bCs w:val="1"/>
          <w:color w:val="auto"/>
        </w:rPr>
        <w:t>Applicability of provisions of Guarantee to other Security</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Clauses 18.2 (</w:t>
      </w:r>
      <w:r>
        <w:rPr>
          <w:rFonts w:ascii="Times New Roman" w:cs="Times New Roman" w:eastAsia="Times New Roman" w:hAnsi="Times New Roman"/>
          <w:sz w:val="12"/>
          <w:szCs w:val="12"/>
          <w:i w:val="1"/>
          <w:iCs w:val="1"/>
          <w:color w:val="auto"/>
        </w:rPr>
        <w:t>Continuing guarantee</w:t>
      </w:r>
      <w:r>
        <w:rPr>
          <w:rFonts w:ascii="Times New Roman" w:cs="Times New Roman" w:eastAsia="Times New Roman" w:hAnsi="Times New Roman"/>
          <w:sz w:val="12"/>
          <w:szCs w:val="12"/>
          <w:color w:val="auto"/>
        </w:rPr>
        <w:t>), 18.3 (</w:t>
      </w:r>
      <w:r>
        <w:rPr>
          <w:rFonts w:ascii="Times New Roman" w:cs="Times New Roman" w:eastAsia="Times New Roman" w:hAnsi="Times New Roman"/>
          <w:sz w:val="12"/>
          <w:szCs w:val="12"/>
          <w:i w:val="1"/>
          <w:iCs w:val="1"/>
          <w:color w:val="auto"/>
        </w:rPr>
        <w:t>Reinstatement</w:t>
      </w:r>
      <w:r>
        <w:rPr>
          <w:rFonts w:ascii="Times New Roman" w:cs="Times New Roman" w:eastAsia="Times New Roman" w:hAnsi="Times New Roman"/>
          <w:sz w:val="12"/>
          <w:szCs w:val="12"/>
          <w:color w:val="auto"/>
        </w:rPr>
        <w:t>), 18.4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18.5 (</w:t>
      </w:r>
      <w:r>
        <w:rPr>
          <w:rFonts w:ascii="Times New Roman" w:cs="Times New Roman" w:eastAsia="Times New Roman" w:hAnsi="Times New Roman"/>
          <w:sz w:val="12"/>
          <w:szCs w:val="12"/>
          <w:i w:val="1"/>
          <w:iCs w:val="1"/>
          <w:color w:val="auto"/>
        </w:rPr>
        <w:t>Immediate recourse</w:t>
      </w:r>
      <w:r>
        <w:rPr>
          <w:rFonts w:ascii="Times New Roman" w:cs="Times New Roman" w:eastAsia="Times New Roman" w:hAnsi="Times New Roman"/>
          <w:sz w:val="12"/>
          <w:szCs w:val="12"/>
          <w:color w:val="auto"/>
        </w:rPr>
        <w:t>), 18.6 (</w:t>
      </w:r>
      <w:r>
        <w:rPr>
          <w:rFonts w:ascii="Times New Roman" w:cs="Times New Roman" w:eastAsia="Times New Roman" w:hAnsi="Times New Roman"/>
          <w:sz w:val="12"/>
          <w:szCs w:val="12"/>
          <w:i w:val="1"/>
          <w:iCs w:val="1"/>
          <w:color w:val="auto"/>
        </w:rPr>
        <w:t>Appropriations</w:t>
      </w:r>
      <w:r>
        <w:rPr>
          <w:rFonts w:ascii="Times New Roman" w:cs="Times New Roman" w:eastAsia="Times New Roman" w:hAnsi="Times New Roman"/>
          <w:sz w:val="12"/>
          <w:szCs w:val="12"/>
          <w:color w:val="auto"/>
        </w:rPr>
        <w:t>), 18.7 (</w:t>
      </w:r>
      <w:r>
        <w:rPr>
          <w:rFonts w:ascii="Times New Roman" w:cs="Times New Roman" w:eastAsia="Times New Roman" w:hAnsi="Times New Roman"/>
          <w:sz w:val="12"/>
          <w:szCs w:val="12"/>
          <w:i w:val="1"/>
          <w:iCs w:val="1"/>
          <w:color w:val="auto"/>
        </w:rPr>
        <w:t>Deferral of Guarantor's rights</w:t>
      </w:r>
      <w:r>
        <w:rPr>
          <w:rFonts w:ascii="Times New Roman" w:cs="Times New Roman" w:eastAsia="Times New Roman" w:hAnsi="Times New Roman"/>
          <w:sz w:val="12"/>
          <w:szCs w:val="12"/>
          <w:color w:val="auto"/>
        </w:rPr>
        <w:t>) and 18.8 (</w:t>
      </w:r>
      <w:r>
        <w:rPr>
          <w:rFonts w:ascii="Times New Roman" w:cs="Times New Roman" w:eastAsia="Times New Roman" w:hAnsi="Times New Roman"/>
          <w:sz w:val="12"/>
          <w:szCs w:val="12"/>
          <w:i w:val="1"/>
          <w:iCs w:val="1"/>
          <w:color w:val="auto"/>
        </w:rPr>
        <w:t>Additional security</w:t>
      </w:r>
      <w:r>
        <w:rPr>
          <w:rFonts w:ascii="Times New Roman" w:cs="Times New Roman" w:eastAsia="Times New Roman" w:hAnsi="Times New Roman"/>
          <w:sz w:val="12"/>
          <w:szCs w:val="12"/>
          <w:color w:val="auto"/>
        </w:rPr>
        <w:t>) shall apply, with any necessary modifications, to any Security which the Guarantor creates (whether at the time at which it signs this Agreement or at any later time) to secure the Secured Liabilities or any part of them.</w:t>
      </w:r>
    </w:p>
    <w:p>
      <w:pPr>
        <w:spacing w:after="0" w:line="10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52" w:name="page453"/>
    <w:bookmarkEnd w:id="452"/>
    <w:p>
      <w:pPr>
        <w:ind w:left="8" w:right="7660" w:hanging="8"/>
        <w:spacing w:after="0" w:line="504" w:lineRule="auto"/>
        <w:tabs>
          <w:tab w:leader="none" w:pos="431" w:val="left"/>
        </w:tabs>
        <w:numPr>
          <w:ilvl w:val="0"/>
          <w:numId w:val="74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JOINT AND SEVERAL LIABILITY OF THE BORROWERS 19.1 Joint and several liability</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All liabilities and obligations of the Borrowers under this Agreement shall, whether expressed to be so or not, be joint and several.</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19.2</w:t>
      </w:r>
      <w:r>
        <w:rPr>
          <w:sz w:val="20"/>
          <w:szCs w:val="20"/>
          <w:color w:val="auto"/>
        </w:rPr>
        <w:tab/>
      </w:r>
      <w:r>
        <w:rPr>
          <w:rFonts w:ascii="Times New Roman" w:cs="Times New Roman" w:eastAsia="Times New Roman" w:hAnsi="Times New Roman"/>
          <w:sz w:val="11"/>
          <w:szCs w:val="11"/>
          <w:b w:val="1"/>
          <w:bCs w:val="1"/>
          <w:color w:val="auto"/>
        </w:rPr>
        <w:t>Waiver of defences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liabilities and obligations of a Borrower shall not be impaired by:</w:t>
      </w:r>
    </w:p>
    <w:p>
      <w:pPr>
        <w:spacing w:after="0" w:line="150" w:lineRule="exact"/>
        <w:rPr>
          <w:sz w:val="20"/>
          <w:szCs w:val="20"/>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Agreement being or later becoming void, unenforceable or illegal as regards any other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or the Security Agent entering into any rescheduling, refinancing or other arrangement of any kind with any other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or the Security Agent releasing any other Borrower or any Security created by a Finance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time, waiver or consent granted to, or composition with any other Borrower or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any other Borrower or any other person under the terms of any composition or arrangement with any creditor of any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taking, variation, compromise, exchange, renewal or release of, or refusal or neglect to perfect, take up or enforce, any rights against, or security over assets of, any other Borrower or other person or any non-presentation or non-observance of any formality or other requirement in respect of any instrument or any failure to realise the full value of any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incapacity or lack of power, authority or legal personality of or dissolution or change in the members or status of any other Borrower or any other person;</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amendment, novation, supplement, extension, restatement (however fundamental, and whether or not more onerous) or replacement of a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unenforceability, illegality or invalidity of any obligation or any person under any Finance Document or any other document or security;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insolvency or similar proceedings.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19.3</w:t>
      </w:r>
      <w:r>
        <w:rPr>
          <w:sz w:val="20"/>
          <w:szCs w:val="20"/>
          <w:color w:val="auto"/>
        </w:rPr>
        <w:tab/>
      </w:r>
      <w:r>
        <w:rPr>
          <w:rFonts w:ascii="Times New Roman" w:cs="Times New Roman" w:eastAsia="Times New Roman" w:hAnsi="Times New Roman"/>
          <w:sz w:val="11"/>
          <w:szCs w:val="11"/>
          <w:b w:val="1"/>
          <w:bCs w:val="1"/>
          <w:color w:val="auto"/>
        </w:rPr>
        <w:t>Principal Debtor</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Borrower declares that it is and will, throughout the Security Period, remain a principal debtor for all amounts owing under this Agreement and the Finance Documents and no Borrower shall, in any circumstances, be construed to be a surety for the obligations of any other Borrower under this Agreement.</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53" w:name="page454"/>
    <w:bookmarkEnd w:id="45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19.4</w:t>
      </w:r>
      <w:r>
        <w:rPr>
          <w:sz w:val="20"/>
          <w:szCs w:val="20"/>
          <w:color w:val="auto"/>
        </w:rPr>
        <w:tab/>
      </w:r>
      <w:r>
        <w:rPr>
          <w:rFonts w:ascii="Times New Roman" w:cs="Times New Roman" w:eastAsia="Times New Roman" w:hAnsi="Times New Roman"/>
          <w:sz w:val="11"/>
          <w:szCs w:val="11"/>
          <w:b w:val="1"/>
          <w:bCs w:val="1"/>
          <w:color w:val="auto"/>
        </w:rPr>
        <w:t>Borrower restrictions</w:t>
      </w:r>
    </w:p>
    <w:p>
      <w:pPr>
        <w:spacing w:after="0" w:line="154" w:lineRule="exact"/>
        <w:rPr>
          <w:sz w:val="20"/>
          <w:szCs w:val="20"/>
          <w:color w:val="auto"/>
        </w:rPr>
      </w:pPr>
    </w:p>
    <w:p>
      <w:pPr>
        <w:ind w:left="428" w:hanging="428"/>
        <w:spacing w:after="0"/>
        <w:tabs>
          <w:tab w:leader="none" w:pos="428" w:val="left"/>
        </w:tabs>
        <w:numPr>
          <w:ilvl w:val="0"/>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during the Security Period no Borrower shall:</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claim any amount which may be due to it from any other Borrower whether in respect of a payment made under, or matter arising out of, this Agreement or any Finance Document, or any matter unconnected with this Agreement or any Finance Document;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or enforce any form of security from any other Borrower for such an amount, or in any way seek to have recourse in respect of such an amount against any asset of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off such an amount against any sum due from it to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prove or claim for such an amount in any liquidation, administration, arrangement or similar procedure involving any other Borrower;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or assert any combination of the foregoing.</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7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during the Security Period, the Facility Agent, by notice to a Borrower, requires it to take any action referred to in paragraph (a) above in relation to any other Borrower, that Borrower shall take that action as soon as practicable after receiving the Facility Agent's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19.5</w:t>
      </w:r>
      <w:r>
        <w:rPr>
          <w:sz w:val="20"/>
          <w:szCs w:val="20"/>
          <w:color w:val="auto"/>
        </w:rPr>
        <w:tab/>
      </w:r>
      <w:r>
        <w:rPr>
          <w:rFonts w:ascii="Times New Roman" w:cs="Times New Roman" w:eastAsia="Times New Roman" w:hAnsi="Times New Roman"/>
          <w:sz w:val="11"/>
          <w:szCs w:val="11"/>
          <w:b w:val="1"/>
          <w:bCs w:val="1"/>
          <w:color w:val="auto"/>
        </w:rPr>
        <w:t>Deferral of Borrowers' rights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Until all amounts which may be or become payable by the Borrowers under or in connection with the Finance Documents have been irrevocably paid in full and unless the Facility Agent otherwise directs, no Borrower will exercise any rights which it may have by reason of performance by it of its obligations under the Finance Documents:</w:t>
      </w:r>
    </w:p>
    <w:p>
      <w:pPr>
        <w:spacing w:after="0" w:line="111" w:lineRule="exact"/>
        <w:rPr>
          <w:sz w:val="20"/>
          <w:szCs w:val="20"/>
          <w:color w:val="auto"/>
        </w:rPr>
      </w:pPr>
    </w:p>
    <w:p>
      <w:pPr>
        <w:ind w:left="428" w:hanging="428"/>
        <w:spacing w:after="0"/>
        <w:tabs>
          <w:tab w:leader="none" w:pos="428" w:val="left"/>
        </w:tabs>
        <w:numPr>
          <w:ilvl w:val="0"/>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 indemnified by any other Borrower;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claim any contribution from any other Borrower in relation to any payment made by it under the Finance Documents.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54" w:name="page455"/>
    <w:bookmarkEnd w:id="45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8</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REPRESENTATIONS, UNDERTAKINGS AND EVENTS OF DEFAULT</w:t>
      </w:r>
    </w:p>
    <w:p>
      <w:pPr>
        <w:spacing w:after="0" w:line="150" w:lineRule="exact"/>
        <w:rPr>
          <w:sz w:val="20"/>
          <w:szCs w:val="20"/>
          <w:color w:val="auto"/>
        </w:rPr>
      </w:pPr>
    </w:p>
    <w:p>
      <w:pPr>
        <w:ind w:left="8" w:right="9720" w:hanging="8"/>
        <w:spacing w:after="0" w:line="548" w:lineRule="auto"/>
        <w:tabs>
          <w:tab w:leader="none" w:pos="431" w:val="left"/>
        </w:tabs>
        <w:numPr>
          <w:ilvl w:val="0"/>
          <w:numId w:val="75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REPRESENTATIONS 20.1 General</w:t>
      </w:r>
    </w:p>
    <w:p>
      <w:pPr>
        <w:ind w:left="428"/>
        <w:spacing w:after="0"/>
        <w:rPr>
          <w:sz w:val="20"/>
          <w:szCs w:val="20"/>
          <w:color w:val="auto"/>
        </w:rPr>
      </w:pPr>
      <w:r>
        <w:rPr>
          <w:rFonts w:ascii="Times New Roman" w:cs="Times New Roman" w:eastAsia="Times New Roman" w:hAnsi="Times New Roman"/>
          <w:sz w:val="12"/>
          <w:szCs w:val="12"/>
          <w:color w:val="auto"/>
        </w:rPr>
        <w:t>Each Obligor makes the representations and warranties set out in this Clause 20 (</w:t>
      </w:r>
      <w:r>
        <w:rPr>
          <w:rFonts w:ascii="Times New Roman" w:cs="Times New Roman" w:eastAsia="Times New Roman" w:hAnsi="Times New Roman"/>
          <w:sz w:val="12"/>
          <w:szCs w:val="12"/>
          <w:i w:val="1"/>
          <w:iCs w:val="1"/>
          <w:color w:val="auto"/>
        </w:rPr>
        <w:t>Representations</w:t>
      </w:r>
      <w:r>
        <w:rPr>
          <w:rFonts w:ascii="Times New Roman" w:cs="Times New Roman" w:eastAsia="Times New Roman" w:hAnsi="Times New Roman"/>
          <w:sz w:val="12"/>
          <w:szCs w:val="12"/>
          <w:color w:val="auto"/>
        </w:rPr>
        <w:t>) to each Finance Party on the date of this Agreement.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w:t>
      </w:r>
      <w:r>
        <w:rPr>
          <w:sz w:val="20"/>
          <w:szCs w:val="20"/>
          <w:color w:val="auto"/>
        </w:rPr>
        <w:tab/>
      </w:r>
      <w:r>
        <w:rPr>
          <w:rFonts w:ascii="Times New Roman" w:cs="Times New Roman" w:eastAsia="Times New Roman" w:hAnsi="Times New Roman"/>
          <w:sz w:val="11"/>
          <w:szCs w:val="11"/>
          <w:b w:val="1"/>
          <w:bCs w:val="1"/>
          <w:color w:val="auto"/>
        </w:rPr>
        <w:t>Status</w:t>
      </w:r>
    </w:p>
    <w:p>
      <w:pPr>
        <w:spacing w:after="0" w:line="154" w:lineRule="exact"/>
        <w:rPr>
          <w:sz w:val="20"/>
          <w:szCs w:val="20"/>
          <w:color w:val="auto"/>
        </w:rPr>
      </w:pPr>
    </w:p>
    <w:p>
      <w:pPr>
        <w:ind w:left="428" w:hanging="428"/>
        <w:spacing w:after="0"/>
        <w:tabs>
          <w:tab w:leader="none" w:pos="428" w:val="left"/>
        </w:tabs>
        <w:numPr>
          <w:ilvl w:val="0"/>
          <w:numId w:val="7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is a limited liability company formed and validly existing and in good standing under the law of its Original Jurisdiction.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is a corporation incorporated and validly existing and in good standing under the law of its Original Jurisdiction.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and each other Transaction Obligor has the power to own its assets and carry on its business as it is being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w:t>
      </w:r>
      <w:r>
        <w:rPr>
          <w:sz w:val="20"/>
          <w:szCs w:val="20"/>
          <w:color w:val="auto"/>
        </w:rPr>
        <w:tab/>
      </w:r>
      <w:r>
        <w:rPr>
          <w:rFonts w:ascii="Times New Roman" w:cs="Times New Roman" w:eastAsia="Times New Roman" w:hAnsi="Times New Roman"/>
          <w:sz w:val="11"/>
          <w:szCs w:val="11"/>
          <w:b w:val="1"/>
          <w:bCs w:val="1"/>
          <w:color w:val="auto"/>
        </w:rPr>
        <w:t>LLC shares and ownership</w:t>
      </w:r>
    </w:p>
    <w:p>
      <w:pPr>
        <w:spacing w:after="0" w:line="154" w:lineRule="exact"/>
        <w:rPr>
          <w:sz w:val="20"/>
          <w:szCs w:val="20"/>
          <w:color w:val="auto"/>
        </w:rPr>
      </w:pPr>
    </w:p>
    <w:p>
      <w:pPr>
        <w:ind w:left="428" w:hanging="428"/>
        <w:spacing w:after="0"/>
        <w:tabs>
          <w:tab w:leader="none" w:pos="428"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is authorised to issue 500 LLC Shares, all of which (being 100 per cent. of its limited liability company interests) have been issued to the relevant Shareholder.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is authorized to issue an aggregate of 249,000,000 common shares and 1,000,000 preferred shares, each with a par value of $0.01.</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 title to and beneficial interest in the LLC Shares in each Borrower is held directly by the relevant Shareholder free of any Security or any other claim, except for Permitted Security.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LLC Shares in a Borrower is subject to any option to purchase, pre-emption rights or similar rights.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20.4</w:t>
      </w:r>
      <w:r>
        <w:rPr>
          <w:sz w:val="20"/>
          <w:szCs w:val="20"/>
          <w:color w:val="auto"/>
        </w:rPr>
        <w:tab/>
      </w:r>
      <w:r>
        <w:rPr>
          <w:rFonts w:ascii="Times New Roman" w:cs="Times New Roman" w:eastAsia="Times New Roman" w:hAnsi="Times New Roman"/>
          <w:sz w:val="12"/>
          <w:szCs w:val="12"/>
          <w:b w:val="1"/>
          <w:bCs w:val="1"/>
          <w:color w:val="auto"/>
        </w:rPr>
        <w:t>Binding obligations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obligations expressed to be assumed by it in each Transaction Document to which it is a party are legal, valid, binding and enforceable obligations.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20.5</w:t>
      </w:r>
      <w:r>
        <w:rPr>
          <w:sz w:val="20"/>
          <w:szCs w:val="20"/>
          <w:color w:val="auto"/>
        </w:rPr>
        <w:tab/>
      </w:r>
      <w:r>
        <w:rPr>
          <w:rFonts w:ascii="Times New Roman" w:cs="Times New Roman" w:eastAsia="Times New Roman" w:hAnsi="Times New Roman"/>
          <w:sz w:val="11"/>
          <w:szCs w:val="11"/>
          <w:b w:val="1"/>
          <w:bCs w:val="1"/>
          <w:color w:val="auto"/>
        </w:rPr>
        <w:t>Validity, effectiveness and ranking of Security</w:t>
      </w:r>
    </w:p>
    <w:p>
      <w:pPr>
        <w:spacing w:after="0" w:line="154" w:lineRule="exact"/>
        <w:rPr>
          <w:sz w:val="20"/>
          <w:szCs w:val="20"/>
          <w:color w:val="auto"/>
        </w:rPr>
      </w:pPr>
    </w:p>
    <w:p>
      <w:pPr>
        <w:ind w:left="428" w:hanging="428"/>
        <w:spacing w:after="0" w:line="279" w:lineRule="auto"/>
        <w:tabs>
          <w:tab w:leader="none" w:pos="428" w:val="left"/>
        </w:tabs>
        <w:numPr>
          <w:ilvl w:val="0"/>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Document to which it is a party does now or, as the case may be, will upon execution and delivery create, subject to the Legal Reservations and the Perfection Requirements, the Security it purports to create over any assets to which such Security, by its terms, relates, and such Security will, when created or intended to be created, be valid and effective.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third party has or will have any Security (except for Permitted Security) over any assets that are the subject of any Transaction Security granted by it.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Perfection Requirements, the Transaction Security granted by it to the Security Agent or any other Secured Party has or will when created or intended to be created have first</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455" w:name="page456"/>
    <w:bookmarkEnd w:id="455"/>
    <w:p>
      <w:pPr>
        <w:ind w:left="428"/>
        <w:spacing w:after="0"/>
        <w:rPr>
          <w:sz w:val="20"/>
          <w:szCs w:val="20"/>
          <w:color w:val="auto"/>
        </w:rPr>
      </w:pPr>
      <w:r>
        <w:rPr>
          <w:rFonts w:ascii="Times New Roman" w:cs="Times New Roman" w:eastAsia="Times New Roman" w:hAnsi="Times New Roman"/>
          <w:sz w:val="12"/>
          <w:szCs w:val="12"/>
          <w:color w:val="auto"/>
        </w:rPr>
        <w:t xml:space="preserve">ranking priority or such other priority it is expressed to have in the Finance Documents and is not subject to any prior ranking or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ranking Security.</w:t>
      </w:r>
    </w:p>
    <w:p>
      <w:pPr>
        <w:spacing w:after="0" w:line="152" w:lineRule="exact"/>
        <w:rPr>
          <w:sz w:val="20"/>
          <w:szCs w:val="20"/>
          <w:color w:val="auto"/>
        </w:rPr>
      </w:pPr>
    </w:p>
    <w:p>
      <w:pPr>
        <w:ind w:left="428" w:hanging="428"/>
        <w:spacing w:after="0"/>
        <w:tabs>
          <w:tab w:leader="none" w:pos="428" w:val="left"/>
        </w:tabs>
        <w:numPr>
          <w:ilvl w:val="0"/>
          <w:numId w:val="7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concurrence, consent or authorisation of any person is required for the creation of or otherwise in connection with any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20.6</w:t>
      </w:r>
      <w:r>
        <w:rPr>
          <w:sz w:val="20"/>
          <w:szCs w:val="20"/>
          <w:color w:val="auto"/>
        </w:rPr>
        <w:tab/>
      </w:r>
      <w:r>
        <w:rPr>
          <w:rFonts w:ascii="Times New Roman" w:cs="Times New Roman" w:eastAsia="Times New Roman" w:hAnsi="Times New Roman"/>
          <w:sz w:val="11"/>
          <w:szCs w:val="11"/>
          <w:b w:val="1"/>
          <w:bCs w:val="1"/>
          <w:color w:val="auto"/>
        </w:rPr>
        <w:t>Non-conflict with other obligations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entry into and performance by it of, and the transactions contemplated by, each Transaction Document to which it is a party:</w:t>
      </w:r>
    </w:p>
    <w:p>
      <w:pPr>
        <w:spacing w:after="0" w:line="150" w:lineRule="exact"/>
        <w:rPr>
          <w:sz w:val="20"/>
          <w:szCs w:val="20"/>
          <w:color w:val="auto"/>
        </w:rPr>
      </w:pPr>
    </w:p>
    <w:p>
      <w:pPr>
        <w:ind w:left="428" w:hanging="428"/>
        <w:spacing w:after="0"/>
        <w:tabs>
          <w:tab w:leader="none" w:pos="428" w:val="left"/>
        </w:tabs>
        <w:numPr>
          <w:ilvl w:val="0"/>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not and will not conflict with:</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law or regulation applicable to it;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constitutional documents;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agreement or instrument binding upon it or any of its assets or constitute a default or termination event (however described) under any such agreement or instrument.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for the corporate benefit of that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20.7</w:t>
      </w:r>
      <w:r>
        <w:rPr>
          <w:sz w:val="20"/>
          <w:szCs w:val="20"/>
          <w:color w:val="auto"/>
        </w:rPr>
        <w:tab/>
      </w:r>
      <w:r>
        <w:rPr>
          <w:rFonts w:ascii="Times New Roman" w:cs="Times New Roman" w:eastAsia="Times New Roman" w:hAnsi="Times New Roman"/>
          <w:sz w:val="11"/>
          <w:szCs w:val="11"/>
          <w:b w:val="1"/>
          <w:bCs w:val="1"/>
          <w:color w:val="auto"/>
        </w:rPr>
        <w:t>Power and authority</w:t>
      </w:r>
    </w:p>
    <w:p>
      <w:pPr>
        <w:spacing w:after="0" w:line="154" w:lineRule="exact"/>
        <w:rPr>
          <w:sz w:val="20"/>
          <w:szCs w:val="20"/>
          <w:color w:val="auto"/>
        </w:rPr>
      </w:pPr>
    </w:p>
    <w:p>
      <w:pPr>
        <w:ind w:left="428" w:hanging="428"/>
        <w:spacing w:after="0" w:line="279" w:lineRule="auto"/>
        <w:tabs>
          <w:tab w:leader="none" w:pos="428" w:val="left"/>
        </w:tabs>
        <w:numPr>
          <w:ilvl w:val="0"/>
          <w:numId w:val="7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the power to enter into, perform and deliver, and has taken all necessary action to authorise its entry into, performance and delivery of, each Transaction Document to which it is or will be a party and the transactions contemplated by those Transaction Documents.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limit on its powers will be exceeded as a result of the borrowing, granting of security or giving of guarantees or indemnities contemplated by the Transaction Documents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20.8</w:t>
      </w:r>
      <w:r>
        <w:rPr>
          <w:sz w:val="20"/>
          <w:szCs w:val="20"/>
          <w:color w:val="auto"/>
        </w:rPr>
        <w:tab/>
      </w:r>
      <w:r>
        <w:rPr>
          <w:rFonts w:ascii="Times New Roman" w:cs="Times New Roman" w:eastAsia="Times New Roman" w:hAnsi="Times New Roman"/>
          <w:sz w:val="11"/>
          <w:szCs w:val="11"/>
          <w:b w:val="1"/>
          <w:bCs w:val="1"/>
          <w:color w:val="auto"/>
        </w:rPr>
        <w:t>Validity and admissibility in evidence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Authorisations required or desirable:</w:t>
      </w:r>
    </w:p>
    <w:p>
      <w:pPr>
        <w:spacing w:after="0" w:line="150" w:lineRule="exact"/>
        <w:rPr>
          <w:sz w:val="20"/>
          <w:szCs w:val="20"/>
          <w:color w:val="auto"/>
        </w:rPr>
      </w:pPr>
    </w:p>
    <w:p>
      <w:pPr>
        <w:ind w:left="428" w:hanging="428"/>
        <w:spacing w:after="0"/>
        <w:tabs>
          <w:tab w:leader="none" w:pos="428" w:val="left"/>
        </w:tabs>
        <w:numPr>
          <w:ilvl w:val="0"/>
          <w:numId w:val="7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it lawfully to enter into, exercise its rights and comply with its obligations in the Transaction Documents to which it is a party; and</w:t>
      </w:r>
    </w:p>
    <w:p>
      <w:pPr>
        <w:spacing w:after="0" w:line="150" w:lineRule="exact"/>
        <w:rPr>
          <w:rFonts w:ascii="Times New Roman" w:cs="Times New Roman" w:eastAsia="Times New Roman" w:hAnsi="Times New Roman"/>
          <w:sz w:val="12"/>
          <w:szCs w:val="12"/>
          <w:color w:val="auto"/>
        </w:rPr>
      </w:pPr>
    </w:p>
    <w:p>
      <w:pPr>
        <w:ind w:left="428" w:right="5640" w:hanging="428"/>
        <w:spacing w:after="0" w:line="497" w:lineRule="auto"/>
        <w:tabs>
          <w:tab w:leader="none" w:pos="426" w:val="left"/>
        </w:tabs>
        <w:numPr>
          <w:ilvl w:val="0"/>
          <w:numId w:val="7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make the Transaction Documents to which it is a party admissible in evidence in its Relevant Jurisdictions, have been obtained or effected and are in full force and effect.</w:t>
      </w: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20.9</w:t>
      </w:r>
      <w:r>
        <w:rPr>
          <w:sz w:val="20"/>
          <w:szCs w:val="20"/>
          <w:color w:val="auto"/>
        </w:rPr>
        <w:tab/>
      </w:r>
      <w:r>
        <w:rPr>
          <w:rFonts w:ascii="Times New Roman" w:cs="Times New Roman" w:eastAsia="Times New Roman" w:hAnsi="Times New Roman"/>
          <w:sz w:val="11"/>
          <w:szCs w:val="11"/>
          <w:b w:val="1"/>
          <w:bCs w:val="1"/>
          <w:color w:val="auto"/>
        </w:rPr>
        <w:t>Governing law and enforcement</w:t>
      </w:r>
    </w:p>
    <w:p>
      <w:pPr>
        <w:spacing w:after="0" w:line="154" w:lineRule="exact"/>
        <w:rPr>
          <w:sz w:val="20"/>
          <w:szCs w:val="20"/>
          <w:color w:val="auto"/>
        </w:rPr>
      </w:pPr>
    </w:p>
    <w:p>
      <w:pPr>
        <w:ind w:left="428" w:hanging="428"/>
        <w:spacing w:after="0"/>
        <w:tabs>
          <w:tab w:leader="none" w:pos="428" w:val="left"/>
        </w:tabs>
        <w:numPr>
          <w:ilvl w:val="0"/>
          <w:numId w:val="7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choice of governing law of each Transaction Document to which it is a party will be recognised and enforced in its Relevant Jurisdictions.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judgment obtained in relation to a Transaction Document to which it is a party in the jurisdiction of the governing law of that Transaction Document and any arbitral award obtained in relation to a Transaction Document in the seat of that arbitral tribunal as specified in that Transaction Document will be recognised and enforced in its Relevant Jurisdictions.</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69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3" w:right="299" w:bottom="1440" w:gutter="0" w:footer="0" w:header="0"/>
        </w:sectPr>
      </w:pPr>
    </w:p>
    <w:bookmarkStart w:id="456" w:name="page457"/>
    <w:bookmarkEnd w:id="45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20.10</w:t>
      </w:r>
      <w:r>
        <w:rPr>
          <w:sz w:val="20"/>
          <w:szCs w:val="20"/>
          <w:color w:val="auto"/>
        </w:rPr>
        <w:tab/>
      </w:r>
      <w:r>
        <w:rPr>
          <w:rFonts w:ascii="Times New Roman" w:cs="Times New Roman" w:eastAsia="Times New Roman" w:hAnsi="Times New Roman"/>
          <w:sz w:val="11"/>
          <w:szCs w:val="11"/>
          <w:b w:val="1"/>
          <w:bCs w:val="1"/>
          <w:color w:val="auto"/>
        </w:rPr>
        <w:t>Insolvency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w:t>
      </w:r>
    </w:p>
    <w:p>
      <w:pPr>
        <w:spacing w:after="0" w:line="148" w:lineRule="exact"/>
        <w:rPr>
          <w:sz w:val="20"/>
          <w:szCs w:val="20"/>
          <w:color w:val="auto"/>
        </w:rPr>
      </w:pPr>
    </w:p>
    <w:p>
      <w:pPr>
        <w:ind w:left="428" w:hanging="428"/>
        <w:spacing w:after="0"/>
        <w:tabs>
          <w:tab w:leader="none" w:pos="428" w:val="left"/>
        </w:tabs>
        <w:numPr>
          <w:ilvl w:val="0"/>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corporate action, legal proceeding or other similar legal procedure or similar legal step described in paragraph (a) of Clause 29.8 (</w:t>
      </w:r>
      <w:r>
        <w:rPr>
          <w:rFonts w:ascii="Times New Roman" w:cs="Times New Roman" w:eastAsia="Times New Roman" w:hAnsi="Times New Roman"/>
          <w:sz w:val="12"/>
          <w:szCs w:val="12"/>
          <w:i w:val="1"/>
          <w:iCs w:val="1"/>
          <w:color w:val="auto"/>
        </w:rPr>
        <w:t>Insolvency proceedings</w:t>
      </w:r>
      <w:r>
        <w:rPr>
          <w:rFonts w:ascii="Times New Roman" w:cs="Times New Roman" w:eastAsia="Times New Roman" w:hAnsi="Times New Roman"/>
          <w:sz w:val="12"/>
          <w:szCs w:val="12"/>
          <w:color w:val="auto"/>
        </w:rPr>
        <w: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creditors' process described in Clause 29.9 (</w:t>
      </w:r>
      <w:r>
        <w:rPr>
          <w:rFonts w:ascii="Times New Roman" w:cs="Times New Roman" w:eastAsia="Times New Roman" w:hAnsi="Times New Roman"/>
          <w:sz w:val="12"/>
          <w:szCs w:val="12"/>
          <w:i w:val="1"/>
          <w:iCs w:val="1"/>
          <w:color w:val="auto"/>
        </w:rPr>
        <w:t>Creditors' process</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has been taken or, to its knowledge, threatened in relation to any Transaction Obligor; and none of the circumstances described in Clause 29.7 (</w:t>
      </w:r>
      <w:r>
        <w:rPr>
          <w:rFonts w:ascii="Times New Roman" w:cs="Times New Roman" w:eastAsia="Times New Roman" w:hAnsi="Times New Roman"/>
          <w:sz w:val="12"/>
          <w:szCs w:val="12"/>
          <w:i w:val="1"/>
          <w:iCs w:val="1"/>
          <w:color w:val="auto"/>
        </w:rPr>
        <w:t>Insolvency</w:t>
      </w:r>
      <w:r>
        <w:rPr>
          <w:rFonts w:ascii="Times New Roman" w:cs="Times New Roman" w:eastAsia="Times New Roman" w:hAnsi="Times New Roman"/>
          <w:sz w:val="12"/>
          <w:szCs w:val="12"/>
          <w:color w:val="auto"/>
        </w:rPr>
        <w:t>) applies to any Transaction Obligor.</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20.11</w:t>
      </w:r>
      <w:r>
        <w:rPr>
          <w:sz w:val="20"/>
          <w:szCs w:val="20"/>
          <w:color w:val="auto"/>
        </w:rPr>
        <w:tab/>
      </w:r>
      <w:r>
        <w:rPr>
          <w:rFonts w:ascii="Times New Roman" w:cs="Times New Roman" w:eastAsia="Times New Roman" w:hAnsi="Times New Roman"/>
          <w:sz w:val="11"/>
          <w:szCs w:val="11"/>
          <w:b w:val="1"/>
          <w:bCs w:val="1"/>
          <w:color w:val="auto"/>
        </w:rPr>
        <w:t>No filing or stamp taxes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Under the laws of its Relevant Jurisdictions it is not necessary that the Finance Documents to which it is a party be registered, filed, recorded, notarised or enrolled with any court or other authority in that jurisdiction or that any stamp, registration, notarial or similar Taxes or fees be paid on or in relation to the Finance Documents to which it is a party or the transactions contemplated by those Finance Documents except the registration of a Mortgage at the applicable ship registry of the relevant Approved Flag.</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20.12</w:t>
      </w:r>
      <w:r>
        <w:rPr>
          <w:sz w:val="20"/>
          <w:szCs w:val="20"/>
          <w:color w:val="auto"/>
        </w:rPr>
        <w:tab/>
      </w:r>
      <w:r>
        <w:rPr>
          <w:rFonts w:ascii="Times New Roman" w:cs="Times New Roman" w:eastAsia="Times New Roman" w:hAnsi="Times New Roman"/>
          <w:sz w:val="11"/>
          <w:szCs w:val="11"/>
          <w:b w:val="1"/>
          <w:bCs w:val="1"/>
          <w:color w:val="auto"/>
        </w:rPr>
        <w:t>Deduction of Tax</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is not required to make any Tax Deduction from any payment it may make under any Finance Document to which it is a party.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20.13</w:t>
        <w:tab/>
        <w:t>No default</w:t>
      </w:r>
    </w:p>
    <w:p>
      <w:pPr>
        <w:spacing w:after="0" w:line="154" w:lineRule="exact"/>
        <w:rPr>
          <w:sz w:val="20"/>
          <w:szCs w:val="20"/>
          <w:color w:val="auto"/>
        </w:rPr>
      </w:pPr>
    </w:p>
    <w:p>
      <w:pPr>
        <w:ind w:left="428" w:right="20" w:hanging="428"/>
        <w:spacing w:after="0" w:line="279" w:lineRule="auto"/>
        <w:tabs>
          <w:tab w:leader="none" w:pos="428" w:val="left"/>
        </w:tabs>
        <w:numPr>
          <w:ilvl w:val="0"/>
          <w:numId w:val="7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and, on the date of this Agreement and on the Utilisation Date, no Default is continuing or might reasonably be expected to result from the making of any Utilisation or the entry into, the performance of, or any transaction contemplated by, any Transaction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other event or circumstance is outstanding which constitutes a default or a termination event (however described) under any other agreement or instrument which is binding on it or to which its assets are subject.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20.14</w:t>
      </w:r>
      <w:r>
        <w:rPr>
          <w:sz w:val="20"/>
          <w:szCs w:val="20"/>
          <w:color w:val="auto"/>
        </w:rPr>
        <w:tab/>
      </w:r>
      <w:r>
        <w:rPr>
          <w:rFonts w:ascii="Times New Roman" w:cs="Times New Roman" w:eastAsia="Times New Roman" w:hAnsi="Times New Roman"/>
          <w:sz w:val="11"/>
          <w:szCs w:val="11"/>
          <w:b w:val="1"/>
          <w:bCs w:val="1"/>
          <w:color w:val="auto"/>
        </w:rPr>
        <w:t>No misleading information</w:t>
      </w:r>
    </w:p>
    <w:p>
      <w:pPr>
        <w:spacing w:after="0" w:line="154" w:lineRule="exact"/>
        <w:rPr>
          <w:sz w:val="20"/>
          <w:szCs w:val="20"/>
          <w:color w:val="auto"/>
        </w:rPr>
      </w:pPr>
    </w:p>
    <w:p>
      <w:pPr>
        <w:ind w:left="428" w:right="20" w:hanging="428"/>
        <w:spacing w:after="0" w:line="279" w:lineRule="auto"/>
        <w:tabs>
          <w:tab w:leader="none" w:pos="428" w:val="left"/>
        </w:tabs>
        <w:numPr>
          <w:ilvl w:val="0"/>
          <w:numId w:val="7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factual information provided in writing by any member of the Group for the purposes of this Agreement was true and accurate in all material respects as at the date it was provided or as at the date (if any) at which it is stated.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projections contained in any such information have been prepared on the basis of recent historical information and on the basis of reasonable assumptions.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has occurred or been omitted from any such information and no information has been given or withheld that results in any such information being untrue or misleading in any material respect.</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57" w:name="page458"/>
    <w:bookmarkEnd w:id="45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20.15</w:t>
        <w:tab/>
        <w:t>Financial Statements</w:t>
      </w:r>
    </w:p>
    <w:p>
      <w:pPr>
        <w:spacing w:after="0" w:line="154" w:lineRule="exact"/>
        <w:rPr>
          <w:sz w:val="20"/>
          <w:szCs w:val="20"/>
          <w:color w:val="auto"/>
        </w:rPr>
      </w:pPr>
    </w:p>
    <w:p>
      <w:pPr>
        <w:ind w:left="428" w:hanging="428"/>
        <w:spacing w:after="0"/>
        <w:tabs>
          <w:tab w:leader="none" w:pos="428" w:val="left"/>
        </w:tabs>
        <w:numPr>
          <w:ilvl w:val="0"/>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Financial Statements were prepared in accordance with GAAP consistently applied.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Original Financial Statements give a true and fair view of its financial condition as at the end of the relevant financial year and its results of operations during the relevant financial year.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most recent financial statements delivered pursuant to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have been prepared in accordance with Clause 21.5 (</w:t>
      </w:r>
      <w:r>
        <w:rPr>
          <w:rFonts w:ascii="Times New Roman" w:cs="Times New Roman" w:eastAsia="Times New Roman" w:hAnsi="Times New Roman"/>
          <w:sz w:val="12"/>
          <w:szCs w:val="12"/>
          <w:i w:val="1"/>
          <w:iCs w:val="1"/>
          <w:color w:val="auto"/>
        </w:rPr>
        <w:t>Requirements as to financial statements</w:t>
      </w:r>
      <w:r>
        <w:rPr>
          <w:rFonts w:ascii="Times New Roman" w:cs="Times New Roman" w:eastAsia="Times New Roman" w:hAnsi="Times New Roman"/>
          <w:sz w:val="12"/>
          <w:szCs w:val="12"/>
          <w:color w:val="auto"/>
        </w:rPr>
        <w:t>); and</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fairly present its financial condition as at the end of the relevant financial year and operations during the relevant financial year (consolidated in the case of the Guarantor).</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Since the date of the Original Financial Statements there has been no material adverse change in its business, assets or financial condition (or the business or consolidated financial condition of the Group, in the case of the Guarantor).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20.16</w:t>
      </w:r>
      <w:r>
        <w:rPr>
          <w:sz w:val="20"/>
          <w:szCs w:val="20"/>
          <w:color w:val="auto"/>
        </w:rPr>
        <w:tab/>
      </w:r>
      <w:r>
        <w:rPr>
          <w:rFonts w:ascii="Times New Roman" w:cs="Times New Roman" w:eastAsia="Times New Roman" w:hAnsi="Times New Roman"/>
          <w:sz w:val="11"/>
          <w:szCs w:val="11"/>
          <w:b w:val="1"/>
          <w:bCs w:val="1"/>
          <w:color w:val="auto"/>
        </w:rPr>
        <w:t>Pari passu ranking</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 xml:space="preserve">Its payment obligations under the Finance Documents to which it is a party rank at least </w:t>
      </w:r>
      <w:r>
        <w:rPr>
          <w:rFonts w:ascii="Times New Roman" w:cs="Times New Roman" w:eastAsia="Times New Roman" w:hAnsi="Times New Roman"/>
          <w:sz w:val="12"/>
          <w:szCs w:val="12"/>
          <w:i w:val="1"/>
          <w:iCs w:val="1"/>
          <w:color w:val="auto"/>
        </w:rPr>
        <w:t>pari passu</w:t>
      </w:r>
      <w:r>
        <w:rPr>
          <w:rFonts w:ascii="Times New Roman" w:cs="Times New Roman" w:eastAsia="Times New Roman" w:hAnsi="Times New Roman"/>
          <w:sz w:val="12"/>
          <w:szCs w:val="12"/>
          <w:color w:val="auto"/>
        </w:rPr>
        <w:t xml:space="preserve"> with the claims of all its other unsecured and unsubordinated creditors, except for obligations mandatorily preferred by law applying to companies generally.</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20.17</w:t>
      </w:r>
      <w:r>
        <w:rPr>
          <w:sz w:val="20"/>
          <w:szCs w:val="20"/>
          <w:color w:val="auto"/>
        </w:rPr>
        <w:tab/>
      </w:r>
      <w:r>
        <w:rPr>
          <w:rFonts w:ascii="Times New Roman" w:cs="Times New Roman" w:eastAsia="Times New Roman" w:hAnsi="Times New Roman"/>
          <w:sz w:val="11"/>
          <w:szCs w:val="11"/>
          <w:b w:val="1"/>
          <w:bCs w:val="1"/>
          <w:color w:val="auto"/>
        </w:rPr>
        <w:t>No proceedings pending or threatened</w:t>
      </w:r>
    </w:p>
    <w:p>
      <w:pPr>
        <w:spacing w:after="0" w:line="154" w:lineRule="exact"/>
        <w:rPr>
          <w:sz w:val="20"/>
          <w:szCs w:val="20"/>
          <w:color w:val="auto"/>
        </w:rPr>
      </w:pPr>
    </w:p>
    <w:p>
      <w:pPr>
        <w:jc w:val="both"/>
        <w:ind w:left="428" w:hanging="428"/>
        <w:spacing w:after="0" w:line="265" w:lineRule="auto"/>
        <w:tabs>
          <w:tab w:leader="none" w:pos="428" w:val="left"/>
        </w:tabs>
        <w:numPr>
          <w:ilvl w:val="0"/>
          <w:numId w:val="7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litigation, arbitration or administrative proceedings or investigations (including proceedings or investigations relating to any alleged or actual breach of the ISM Code or of the ISPS Code) of or before any court, arbitral body or agency which, if adversely determined, might reasonably be expected to have a Material Adverse Effect have (to the best of its knowledge and belief (having made due and careful enquiry)) been started or threatened against it or any other Transaction Obligor.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judgment or order of a court, arbitral tribunal or other tribunal or any order or sanction of any governmental or other regulatory body which might reasonably be expected to have a Material Adverse Effect has (to the best of its knowledge and belief (having made due and careful enquiry)) been made against it or any other Transaction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20.18</w:t>
      </w:r>
      <w:r>
        <w:rPr>
          <w:sz w:val="20"/>
          <w:szCs w:val="20"/>
          <w:color w:val="auto"/>
        </w:rPr>
        <w:tab/>
      </w:r>
      <w:r>
        <w:rPr>
          <w:rFonts w:ascii="Times New Roman" w:cs="Times New Roman" w:eastAsia="Times New Roman" w:hAnsi="Times New Roman"/>
          <w:sz w:val="11"/>
          <w:szCs w:val="11"/>
          <w:b w:val="1"/>
          <w:bCs w:val="1"/>
          <w:color w:val="auto"/>
        </w:rPr>
        <w:t>Valuations</w:t>
      </w:r>
    </w:p>
    <w:p>
      <w:pPr>
        <w:spacing w:after="0" w:line="154" w:lineRule="exact"/>
        <w:rPr>
          <w:sz w:val="20"/>
          <w:szCs w:val="20"/>
          <w:color w:val="auto"/>
        </w:rPr>
      </w:pPr>
    </w:p>
    <w:p>
      <w:pPr>
        <w:ind w:left="428" w:hanging="428"/>
        <w:spacing w:after="0" w:line="279" w:lineRule="auto"/>
        <w:tabs>
          <w:tab w:leader="none" w:pos="428" w:val="left"/>
        </w:tabs>
        <w:numPr>
          <w:ilvl w:val="0"/>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information supplied by it or on its behalf to an Approved Valuer for the purposes of a valuation delivered to the Facility Agent in accordance with this Agreement was true and accurate in all material respects as at the date it was supplied or (if appropriate) as at the date (if any) at which it is stated to be given.</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not omitted to supply any information to an Approved Valuer which, if disclosed, would adversely affect any valuation prepared by such Approved Valuer.</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58" w:name="page459"/>
    <w:bookmarkEnd w:id="458"/>
    <w:p>
      <w:pPr>
        <w:ind w:left="428" w:right="20" w:hanging="428"/>
        <w:spacing w:after="0" w:line="279" w:lineRule="auto"/>
        <w:tabs>
          <w:tab w:leader="none" w:pos="428" w:val="left"/>
        </w:tabs>
        <w:numPr>
          <w:ilvl w:val="0"/>
          <w:numId w:val="7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has been no change to the factual information provided pursuant to paragraph (a) above in relation to any valuation between the date such information was provided and the date of that valuation which, in either case, renders that information untrue or misleading in any material respect.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20.19</w:t>
      </w:r>
      <w:r>
        <w:rPr>
          <w:sz w:val="20"/>
          <w:szCs w:val="20"/>
          <w:color w:val="auto"/>
        </w:rPr>
        <w:tab/>
      </w:r>
      <w:r>
        <w:rPr>
          <w:rFonts w:ascii="Times New Roman" w:cs="Times New Roman" w:eastAsia="Times New Roman" w:hAnsi="Times New Roman"/>
          <w:sz w:val="11"/>
          <w:szCs w:val="11"/>
          <w:b w:val="1"/>
          <w:bCs w:val="1"/>
          <w:color w:val="auto"/>
        </w:rPr>
        <w:t>No breach of laws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has not breached any applicable law or regulation which breach has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20.20</w:t>
        <w:tab/>
        <w:t>Initial Charter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Ship is subject to the relevant Initial Charter and has been delivered to the respective Initial Charterer.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20.21</w:t>
      </w:r>
      <w:r>
        <w:rPr>
          <w:sz w:val="20"/>
          <w:szCs w:val="20"/>
          <w:color w:val="auto"/>
        </w:rPr>
        <w:tab/>
      </w:r>
      <w:r>
        <w:rPr>
          <w:rFonts w:ascii="Times New Roman" w:cs="Times New Roman" w:eastAsia="Times New Roman" w:hAnsi="Times New Roman"/>
          <w:sz w:val="11"/>
          <w:szCs w:val="11"/>
          <w:b w:val="1"/>
          <w:bCs w:val="1"/>
          <w:color w:val="auto"/>
        </w:rPr>
        <w:t>Compliance with Environmental Laws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All Environmental Laws relating to the ownership, operation and management of each Ship and, to the best of each Obligor's knowledge, the business of each other Transaction Obligor (as now conducted and as reasonably anticipated to be conducted in the future) and the terms of all Environmental Approvals have been complied with.</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20.22</w:t>
      </w:r>
      <w:r>
        <w:rPr>
          <w:sz w:val="20"/>
          <w:szCs w:val="20"/>
          <w:color w:val="auto"/>
        </w:rPr>
        <w:tab/>
      </w:r>
      <w:r>
        <w:rPr>
          <w:rFonts w:ascii="Times New Roman" w:cs="Times New Roman" w:eastAsia="Times New Roman" w:hAnsi="Times New Roman"/>
          <w:sz w:val="11"/>
          <w:szCs w:val="11"/>
          <w:b w:val="1"/>
          <w:bCs w:val="1"/>
          <w:color w:val="auto"/>
        </w:rPr>
        <w:t>No Environmental Claim</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Environmental Claim has been made or threatened against any member of the Group or any Ship which is reasonably expected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20.23</w:t>
      </w:r>
      <w:r>
        <w:rPr>
          <w:sz w:val="20"/>
          <w:szCs w:val="20"/>
          <w:color w:val="auto"/>
        </w:rPr>
        <w:tab/>
      </w:r>
      <w:r>
        <w:rPr>
          <w:rFonts w:ascii="Times New Roman" w:cs="Times New Roman" w:eastAsia="Times New Roman" w:hAnsi="Times New Roman"/>
          <w:sz w:val="11"/>
          <w:szCs w:val="11"/>
          <w:b w:val="1"/>
          <w:bCs w:val="1"/>
          <w:color w:val="auto"/>
        </w:rPr>
        <w:t>No Environmental Incident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Environmental Incident has occurred and no person has claimed that an Environmental Incident has occurred which is reasonably expected to have a Material Adverse Effect.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20.24</w:t>
      </w:r>
      <w:r>
        <w:rPr>
          <w:sz w:val="20"/>
          <w:szCs w:val="20"/>
          <w:color w:val="auto"/>
        </w:rPr>
        <w:tab/>
      </w:r>
      <w:r>
        <w:rPr>
          <w:rFonts w:ascii="Times New Roman" w:cs="Times New Roman" w:eastAsia="Times New Roman" w:hAnsi="Times New Roman"/>
          <w:sz w:val="11"/>
          <w:szCs w:val="11"/>
          <w:b w:val="1"/>
          <w:bCs w:val="1"/>
          <w:color w:val="auto"/>
        </w:rPr>
        <w:t>ISM and ISPS Code compliance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requirements of the ISM Code and the ISPS Code as they relate to each Borrower, the Approved Technical Manager and each Ship have been complied with.</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20.25</w:t>
      </w:r>
      <w:r>
        <w:rPr>
          <w:sz w:val="20"/>
          <w:szCs w:val="20"/>
          <w:color w:val="auto"/>
        </w:rPr>
        <w:tab/>
      </w:r>
      <w:r>
        <w:rPr>
          <w:rFonts w:ascii="Times New Roman" w:cs="Times New Roman" w:eastAsia="Times New Roman" w:hAnsi="Times New Roman"/>
          <w:sz w:val="11"/>
          <w:szCs w:val="11"/>
          <w:b w:val="1"/>
          <w:bCs w:val="1"/>
          <w:color w:val="auto"/>
        </w:rPr>
        <w:t>Taxes paid</w:t>
      </w:r>
    </w:p>
    <w:p>
      <w:pPr>
        <w:spacing w:after="0" w:line="154" w:lineRule="exact"/>
        <w:rPr>
          <w:sz w:val="20"/>
          <w:szCs w:val="20"/>
          <w:color w:val="auto"/>
        </w:rPr>
      </w:pPr>
    </w:p>
    <w:p>
      <w:pPr>
        <w:jc w:val="both"/>
        <w:ind w:left="428" w:hanging="428"/>
        <w:spacing w:after="0" w:line="260" w:lineRule="auto"/>
        <w:tabs>
          <w:tab w:leader="none" w:pos="428"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not and (to the best of its knowledge and belief (having made due and careful enquiry)) no other Transaction Obligor is materially overdue in the filing of any Tax returns and it is not (and to the best of its knowledge and belief (having made due and careful enquiry)) no other Transaction Obligor is overdue in the payment of any amount in respect of Tax unless and only to the extent that (i) such payment is being contested in good faith, (ii) adequate reserves are being maintained for those Taxes and the costs required to contest them and (iii) such payment can be lawfully withheld and failure to file such returns or pay those Taxes does not have a Material Adverse Effect.</w:t>
      </w:r>
    </w:p>
    <w:p>
      <w:pPr>
        <w:spacing w:after="0" w:line="12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claims or investigations are being made or conducted against it (or (to the best of its knowledge and belief (having made due and careful enquiry)) against any other Transaction Obligor) with respect to Taxes.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59" w:name="page460"/>
    <w:bookmarkEnd w:id="45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20.26</w:t>
      </w:r>
      <w:r>
        <w:rPr>
          <w:sz w:val="20"/>
          <w:szCs w:val="20"/>
          <w:color w:val="auto"/>
        </w:rPr>
        <w:tab/>
      </w:r>
      <w:r>
        <w:rPr>
          <w:rFonts w:ascii="Times New Roman" w:cs="Times New Roman" w:eastAsia="Times New Roman" w:hAnsi="Times New Roman"/>
          <w:sz w:val="11"/>
          <w:szCs w:val="11"/>
          <w:b w:val="1"/>
          <w:bCs w:val="1"/>
          <w:color w:val="auto"/>
        </w:rPr>
        <w:t>Financial Indebtedness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has any Financial Indebtedness outstanding other than Permitted Financial Indebtedness.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20.27</w:t>
        <w:tab/>
        <w:t>Overseas companies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Obligor has delivered particulars, whether in its name stated in the Finance Documents or any other name, of any UK Establishment to the Registrar of Companies as required under the Overseas Regulations or, if it has so registered, it has provided to the Facility Agent sufficient details to enable an accurate search against it to be undertaken by the Lenders at the Companies Registry.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20.28</w:t>
      </w:r>
      <w:r>
        <w:rPr>
          <w:sz w:val="20"/>
          <w:szCs w:val="20"/>
          <w:color w:val="auto"/>
        </w:rPr>
        <w:tab/>
      </w:r>
      <w:r>
        <w:rPr>
          <w:rFonts w:ascii="Times New Roman" w:cs="Times New Roman" w:eastAsia="Times New Roman" w:hAnsi="Times New Roman"/>
          <w:sz w:val="11"/>
          <w:szCs w:val="11"/>
          <w:b w:val="1"/>
          <w:bCs w:val="1"/>
          <w:color w:val="auto"/>
        </w:rPr>
        <w:t>Good title to assets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It has good, valid and marketable title to, or valid leases or licences of, and all appropriate Authorisations to use, the assets necessary to carry on its business as presently conducted.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20.29</w:t>
      </w:r>
      <w:r>
        <w:rPr>
          <w:sz w:val="20"/>
          <w:szCs w:val="20"/>
          <w:color w:val="auto"/>
        </w:rPr>
        <w:tab/>
      </w:r>
      <w:r>
        <w:rPr>
          <w:rFonts w:ascii="Times New Roman" w:cs="Times New Roman" w:eastAsia="Times New Roman" w:hAnsi="Times New Roman"/>
          <w:sz w:val="11"/>
          <w:szCs w:val="11"/>
          <w:b w:val="1"/>
          <w:bCs w:val="1"/>
          <w:color w:val="auto"/>
        </w:rPr>
        <w:t>Ownership</w:t>
      </w:r>
    </w:p>
    <w:p>
      <w:pPr>
        <w:spacing w:after="0" w:line="154" w:lineRule="exact"/>
        <w:rPr>
          <w:sz w:val="20"/>
          <w:szCs w:val="20"/>
          <w:color w:val="auto"/>
        </w:rPr>
      </w:pPr>
    </w:p>
    <w:p>
      <w:pPr>
        <w:ind w:left="428" w:hanging="428"/>
        <w:spacing w:after="0"/>
        <w:tabs>
          <w:tab w:leader="none" w:pos="428" w:val="left"/>
        </w:tabs>
        <w:numPr>
          <w:ilvl w:val="0"/>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is the sole legal and beneficial owner of the Ship owned by it, its Earnings and its Insurances.</w:t>
      </w:r>
    </w:p>
    <w:p>
      <w:pPr>
        <w:spacing w:after="0" w:line="146"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the date of its creation or intended creation</w:t>
      </w: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 xml:space="preserve"> each Transaction Obligor will be the sole legal and beneficial owner of any asset that is the subject of any Transaction Security created or intended to be created by such Transaction Obligor.</w:t>
      </w:r>
    </w:p>
    <w:p>
      <w:pPr>
        <w:spacing w:after="0" w:line="10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constitutional documents of each Obligor do not and could not restrict or inhibit any transfer of the LLC Shares of the Borrowers on creation or enforcement of the security conferred by the Security Documents.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20.30</w:t>
      </w:r>
      <w:r>
        <w:rPr>
          <w:sz w:val="20"/>
          <w:szCs w:val="20"/>
          <w:color w:val="auto"/>
        </w:rPr>
        <w:tab/>
      </w:r>
      <w:r>
        <w:rPr>
          <w:rFonts w:ascii="Times New Roman" w:cs="Times New Roman" w:eastAsia="Times New Roman" w:hAnsi="Times New Roman"/>
          <w:sz w:val="11"/>
          <w:szCs w:val="11"/>
          <w:b w:val="1"/>
          <w:bCs w:val="1"/>
          <w:color w:val="auto"/>
        </w:rPr>
        <w:t>Centre of main interests and establishments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For the purposes of The Council of the European Union Regulation No. 2015/848 on Insolvency Proceedings (recast) (the "Regulation"), its centre of main interest (as that term is used in Article 3(1) of the Regulation) is situated in Greece and it has no "establishment" (as that term is used in Article 2(10) of the Regulation) in any other jurisdiction.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20.31</w:t>
      </w:r>
      <w:r>
        <w:rPr>
          <w:sz w:val="20"/>
          <w:szCs w:val="20"/>
          <w:color w:val="auto"/>
        </w:rPr>
        <w:tab/>
      </w:r>
      <w:r>
        <w:rPr>
          <w:rFonts w:ascii="Times New Roman" w:cs="Times New Roman" w:eastAsia="Times New Roman" w:hAnsi="Times New Roman"/>
          <w:sz w:val="11"/>
          <w:szCs w:val="11"/>
          <w:b w:val="1"/>
          <w:bCs w:val="1"/>
          <w:color w:val="auto"/>
        </w:rPr>
        <w:t>Place of business</w:t>
      </w:r>
    </w:p>
    <w:p>
      <w:pPr>
        <w:spacing w:after="0" w:line="154" w:lineRule="exact"/>
        <w:rPr>
          <w:sz w:val="20"/>
          <w:szCs w:val="20"/>
          <w:color w:val="auto"/>
        </w:rPr>
      </w:pPr>
    </w:p>
    <w:p>
      <w:pPr>
        <w:ind w:left="428" w:hanging="428"/>
        <w:spacing w:after="0"/>
        <w:tabs>
          <w:tab w:leader="none" w:pos="428" w:val="left"/>
        </w:tabs>
        <w:numPr>
          <w:ilvl w:val="0"/>
          <w:numId w:val="7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has a place of management of its business in any country other than Greece.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is a tax resident in the Republic of the Marshall Islands, the Republic of Liberia or any other jurisdiction and each Borrower is liable to pay Greek tonnage tax in respect of the Ship belonging to it as long as that Ship is managed by an Approved Manager whose place of management of its business is Greece.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20.32</w:t>
      </w:r>
      <w:r>
        <w:rPr>
          <w:sz w:val="20"/>
          <w:szCs w:val="20"/>
          <w:color w:val="auto"/>
        </w:rPr>
        <w:tab/>
      </w:r>
      <w:r>
        <w:rPr>
          <w:rFonts w:ascii="Times New Roman" w:cs="Times New Roman" w:eastAsia="Times New Roman" w:hAnsi="Times New Roman"/>
          <w:sz w:val="11"/>
          <w:szCs w:val="11"/>
          <w:b w:val="1"/>
          <w:bCs w:val="1"/>
          <w:color w:val="auto"/>
        </w:rPr>
        <w:t>No employee or pension arrangements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Obligor has any employees or any liabilities under any pension scheme.</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60" w:name="page461"/>
    <w:bookmarkEnd w:id="460"/>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20.33</w:t>
        <w:tab/>
        <w:t>No immunity</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No Obligor nor any of its respective assets are entitled to immunity on the grounds of sovereignty or otherwise from any legal action or proceedings (which shall include, without limitation, suit, attachment prior to judgment, execution or other enforcement).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20.34</w:t>
      </w:r>
      <w:r>
        <w:rPr>
          <w:sz w:val="20"/>
          <w:szCs w:val="20"/>
          <w:color w:val="auto"/>
        </w:rPr>
        <w:tab/>
      </w:r>
      <w:r>
        <w:rPr>
          <w:rFonts w:ascii="Times New Roman" w:cs="Times New Roman" w:eastAsia="Times New Roman" w:hAnsi="Times New Roman"/>
          <w:sz w:val="11"/>
          <w:szCs w:val="11"/>
          <w:b w:val="1"/>
          <w:bCs w:val="1"/>
          <w:color w:val="auto"/>
        </w:rPr>
        <w:t>Sanctions</w:t>
      </w:r>
    </w:p>
    <w:p>
      <w:pPr>
        <w:spacing w:after="0" w:line="154" w:lineRule="exact"/>
        <w:rPr>
          <w:sz w:val="20"/>
          <w:szCs w:val="20"/>
          <w:color w:val="auto"/>
        </w:rPr>
      </w:pPr>
    </w:p>
    <w:p>
      <w:pPr>
        <w:ind w:left="428" w:hanging="428"/>
        <w:spacing w:after="0"/>
        <w:tabs>
          <w:tab w:leader="none" w:pos="428"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Ship is the target of Sanctions.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Obligors and none of their respective directors, officers and controlling persons and none of the Approved Managers is a Restricted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person acting in the name and on behalf of the Obligors or their respective directors, officers and controlling persons is a Restricted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None of the Obligors, none of their respective directors, officers, controlling persons and none of the Approved Managers: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engaged in, or has engaged in, any activity, transaction or conduct that will result in a Finance Party being in breach of any Sanctions or listed on a Sanctions List;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received notice of any proceeding, or investigation (unless previously notified to the Facility Agent), in each case against it by a governmental or regulatory authority with respect to a breach of Sanctions.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20.35</w:t>
      </w:r>
      <w:r>
        <w:rPr>
          <w:sz w:val="20"/>
          <w:szCs w:val="20"/>
          <w:color w:val="auto"/>
        </w:rPr>
        <w:tab/>
      </w:r>
      <w:r>
        <w:rPr>
          <w:rFonts w:ascii="Times New Roman" w:cs="Times New Roman" w:eastAsia="Times New Roman" w:hAnsi="Times New Roman"/>
          <w:sz w:val="11"/>
          <w:szCs w:val="11"/>
          <w:b w:val="1"/>
          <w:bCs w:val="1"/>
          <w:color w:val="auto"/>
        </w:rPr>
        <w:t>Validity and completeness of the Initial Charters</w:t>
      </w:r>
    </w:p>
    <w:p>
      <w:pPr>
        <w:spacing w:after="0" w:line="154" w:lineRule="exact"/>
        <w:rPr>
          <w:sz w:val="20"/>
          <w:szCs w:val="20"/>
          <w:color w:val="auto"/>
        </w:rPr>
      </w:pPr>
    </w:p>
    <w:p>
      <w:pPr>
        <w:ind w:left="428" w:hanging="428"/>
        <w:spacing w:after="0"/>
        <w:tabs>
          <w:tab w:leader="none" w:pos="428" w:val="left"/>
        </w:tabs>
        <w:numPr>
          <w:ilvl w:val="0"/>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Initial Charter constitutes legal, valid, binding and enforceable obligations of the relevant Borrower.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copy of each Initial Charter in respect of a Ship delivered to the Facility Agent before the date of this Agreement is a true and complete copy.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amendments or additions to any of the Initial Charters have been agreed save as otherwise disclosed to the Facility Agent prior to the execution of this Agreement nor has any Borrower waived any of its rights under the Initial Charter to which it is a party.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20.36</w:t>
      </w:r>
      <w:r>
        <w:rPr>
          <w:sz w:val="20"/>
          <w:szCs w:val="20"/>
          <w:color w:val="auto"/>
        </w:rPr>
        <w:tab/>
      </w:r>
      <w:r>
        <w:rPr>
          <w:rFonts w:ascii="Times New Roman" w:cs="Times New Roman" w:eastAsia="Times New Roman" w:hAnsi="Times New Roman"/>
          <w:sz w:val="11"/>
          <w:szCs w:val="11"/>
          <w:b w:val="1"/>
          <w:bCs w:val="1"/>
          <w:color w:val="auto"/>
        </w:rPr>
        <w:t>Ship status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Ship is:</w:t>
      </w:r>
    </w:p>
    <w:p>
      <w:pPr>
        <w:spacing w:after="0" w:line="150" w:lineRule="exact"/>
        <w:rPr>
          <w:sz w:val="20"/>
          <w:szCs w:val="20"/>
          <w:color w:val="auto"/>
        </w:rPr>
      </w:pPr>
    </w:p>
    <w:p>
      <w:pPr>
        <w:ind w:left="428" w:hanging="428"/>
        <w:spacing w:after="0"/>
        <w:tabs>
          <w:tab w:leader="none" w:pos="428"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registered in the name of the relevant Borrower under the laws and flag of the Approved Flag State;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operationally seaworthy and in every way fit for service;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classed with the relevant Approved Classification free of all overdue requirements and recommendations of the relevant Approved Classification Society affecting class;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insured in the manner required by the Finance Documents.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61" w:name="page462"/>
    <w:bookmarkEnd w:id="46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20.37</w:t>
      </w:r>
      <w:r>
        <w:rPr>
          <w:sz w:val="20"/>
          <w:szCs w:val="20"/>
          <w:color w:val="auto"/>
        </w:rPr>
        <w:tab/>
      </w:r>
      <w:r>
        <w:rPr>
          <w:rFonts w:ascii="Times New Roman" w:cs="Times New Roman" w:eastAsia="Times New Roman" w:hAnsi="Times New Roman"/>
          <w:sz w:val="11"/>
          <w:szCs w:val="11"/>
          <w:b w:val="1"/>
          <w:bCs w:val="1"/>
          <w:color w:val="auto"/>
        </w:rPr>
        <w:t>US Tax Obligor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Transaction Obligor is a US Tax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20.38</w:t>
      </w:r>
      <w:r>
        <w:rPr>
          <w:sz w:val="20"/>
          <w:szCs w:val="20"/>
          <w:color w:val="auto"/>
        </w:rPr>
        <w:tab/>
      </w:r>
      <w:r>
        <w:rPr>
          <w:rFonts w:ascii="Times New Roman" w:cs="Times New Roman" w:eastAsia="Times New Roman" w:hAnsi="Times New Roman"/>
          <w:sz w:val="11"/>
          <w:szCs w:val="11"/>
          <w:b w:val="1"/>
          <w:bCs w:val="1"/>
          <w:color w:val="auto"/>
        </w:rPr>
        <w:t>No Money Laundering</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Without prejudice to any other provision of this Agreement, in relation to the performance and discharge by each Transaction Obligor of its obligations and liabilities under the Finance Documents to which it is a party and the transactions and other arrangements effected or contemplated by the Finance Documents to which any Transaction Obligor is a party, that each Transaction Obligor is acting for their own account and that the foregoing will not involve or lead to contravention of any law, official requirement or other regulatory measure or procedure implemented to combat "money laundering" (as defined in Article 1 of the Directive (2015/849/EC) of the Council of the European Communities and/or Article 305bis of the Swiss Penal Code).</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20.39</w:t>
      </w:r>
      <w:r>
        <w:rPr>
          <w:sz w:val="20"/>
          <w:szCs w:val="20"/>
          <w:color w:val="auto"/>
        </w:rPr>
        <w:tab/>
      </w:r>
      <w:r>
        <w:rPr>
          <w:rFonts w:ascii="Times New Roman" w:cs="Times New Roman" w:eastAsia="Times New Roman" w:hAnsi="Times New Roman"/>
          <w:sz w:val="11"/>
          <w:szCs w:val="11"/>
          <w:b w:val="1"/>
          <w:bCs w:val="1"/>
          <w:color w:val="auto"/>
        </w:rPr>
        <w:t>Repetition</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The Repeating Representations are deemed to be made by each Obligor by reference to the facts and circumstances then existing on the date of the Utilisation Request, the Utilisation Date and the first day of each Interest Period.</w:t>
      </w:r>
    </w:p>
    <w:p>
      <w:pPr>
        <w:spacing w:after="0" w:line="107" w:lineRule="exact"/>
        <w:rPr>
          <w:sz w:val="20"/>
          <w:szCs w:val="20"/>
          <w:color w:val="auto"/>
        </w:rPr>
      </w:pPr>
    </w:p>
    <w:p>
      <w:pPr>
        <w:ind w:left="8" w:right="9000" w:hanging="8"/>
        <w:spacing w:after="0" w:line="502" w:lineRule="auto"/>
        <w:tabs>
          <w:tab w:leader="none" w:pos="431" w:val="left"/>
        </w:tabs>
        <w:numPr>
          <w:ilvl w:val="0"/>
          <w:numId w:val="77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INFORMATION UNDERTAKINGS 21.1 General</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undertakings in this Clause 21 (</w:t>
      </w:r>
      <w:r>
        <w:rPr>
          <w:rFonts w:ascii="Times New Roman" w:cs="Times New Roman" w:eastAsia="Times New Roman" w:hAnsi="Times New Roman"/>
          <w:sz w:val="12"/>
          <w:szCs w:val="12"/>
          <w:i w:val="1"/>
          <w:iCs w:val="1"/>
          <w:color w:val="auto"/>
        </w:rPr>
        <w:t>Information Undertakings</w:t>
      </w:r>
      <w:r>
        <w:rPr>
          <w:rFonts w:ascii="Times New Roman" w:cs="Times New Roman" w:eastAsia="Times New Roman" w:hAnsi="Times New Roman"/>
          <w:sz w:val="12"/>
          <w:szCs w:val="12"/>
          <w:color w:val="auto"/>
        </w:rPr>
        <w:t>) remain in force throughout the Security Period unless the Facility Agent, acting with the authorisation of the Majority Lenders (or, where specified, all the Lenders), may otherwise permit.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21.2</w:t>
      </w:r>
      <w:r>
        <w:rPr>
          <w:sz w:val="20"/>
          <w:szCs w:val="20"/>
          <w:color w:val="auto"/>
        </w:rPr>
        <w:tab/>
      </w:r>
      <w:r>
        <w:rPr>
          <w:rFonts w:ascii="Times New Roman" w:cs="Times New Roman" w:eastAsia="Times New Roman" w:hAnsi="Times New Roman"/>
          <w:sz w:val="11"/>
          <w:szCs w:val="11"/>
          <w:b w:val="1"/>
          <w:bCs w:val="1"/>
          <w:color w:val="auto"/>
        </w:rPr>
        <w:t>Information provided to be accurate</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All financial and other information which is provided in writing by or on behalf of the Borrowers under or in connection with any Finance Document, any Charter or otherwise in accordance with Clause 20.15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will be true and not misleading and will not omit any material fact or consideration.</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21.3</w:t>
      </w:r>
      <w:r>
        <w:rPr>
          <w:sz w:val="20"/>
          <w:szCs w:val="20"/>
          <w:color w:val="auto"/>
        </w:rPr>
        <w:tab/>
      </w:r>
      <w:r>
        <w:rPr>
          <w:rFonts w:ascii="Times New Roman" w:cs="Times New Roman" w:eastAsia="Times New Roman" w:hAnsi="Times New Roman"/>
          <w:sz w:val="12"/>
          <w:szCs w:val="12"/>
          <w:b w:val="1"/>
          <w:bCs w:val="1"/>
          <w:color w:val="auto"/>
        </w:rPr>
        <w:t>Financial statements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Guarantor shall supply to the Facility Agent in sufficient copies for all the Lenders (and, in respect of paragraphs (a), (b) and (c) below, prepared in accordance with NYSE rules (as shown and available on the website of the Guarantor)):</w:t>
      </w:r>
    </w:p>
    <w:p>
      <w:pPr>
        <w:spacing w:after="0" w:line="111" w:lineRule="exact"/>
        <w:rPr>
          <w:sz w:val="20"/>
          <w:szCs w:val="20"/>
          <w:color w:val="auto"/>
        </w:rPr>
      </w:pPr>
    </w:p>
    <w:p>
      <w:pPr>
        <w:ind w:left="428" w:hanging="428"/>
        <w:spacing w:after="0" w:line="279" w:lineRule="auto"/>
        <w:tabs>
          <w:tab w:leader="none" w:pos="428" w:val="left"/>
        </w:tabs>
        <w:numPr>
          <w:ilvl w:val="0"/>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180 days after the end of each financial year of the Guarantor, the consolidated audited annual financial statements of the Guarantor (commencing with the financial statements for the financial year ending on 31 December 2024) for that financial year;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soon as they become available, but in any event within 90 days after the 6-month period ending on 30 June in each financial year of the Guarantor, the semi-annual consolidated unaudited financial statements of the Guarantor, for that 6-month period (commencing with the financial statements for the 6-month period ending on 30 June 2025);</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62" w:name="page463"/>
    <w:bookmarkEnd w:id="462"/>
    <w:p>
      <w:pPr>
        <w:jc w:val="both"/>
        <w:ind w:left="428" w:hanging="428"/>
        <w:spacing w:after="0" w:line="265" w:lineRule="auto"/>
        <w:tabs>
          <w:tab w:leader="none" w:pos="428" w:val="left"/>
        </w:tabs>
        <w:numPr>
          <w:ilvl w:val="0"/>
          <w:numId w:val="7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after each request by the Facility Agent, such further financial or other information in respect of each Borrower, each Ship (its commitments and/or operations), the Guarantor and the other Transaction Obligors (including, without limitation, any information regarding any sale and purchase agreements, investment brochures, shipbuilding contracts, charter agreements, operational expenditures for the Ships and utilisation rates of the Ships) as may be requested by the Facility Agent.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21.4</w:t>
      </w:r>
      <w:r>
        <w:rPr>
          <w:sz w:val="20"/>
          <w:szCs w:val="20"/>
          <w:color w:val="auto"/>
        </w:rPr>
        <w:tab/>
      </w:r>
      <w:r>
        <w:rPr>
          <w:rFonts w:ascii="Times New Roman" w:cs="Times New Roman" w:eastAsia="Times New Roman" w:hAnsi="Times New Roman"/>
          <w:sz w:val="11"/>
          <w:szCs w:val="11"/>
          <w:b w:val="1"/>
          <w:bCs w:val="1"/>
          <w:color w:val="auto"/>
        </w:rPr>
        <w:t>Compliance Certificate</w:t>
      </w:r>
    </w:p>
    <w:p>
      <w:pPr>
        <w:spacing w:after="0" w:line="152" w:lineRule="exact"/>
        <w:rPr>
          <w:sz w:val="20"/>
          <w:szCs w:val="20"/>
          <w:color w:val="auto"/>
        </w:rPr>
      </w:pPr>
    </w:p>
    <w:p>
      <w:pPr>
        <w:jc w:val="both"/>
        <w:ind w:left="428" w:right="20" w:hanging="428"/>
        <w:spacing w:after="0" w:line="283" w:lineRule="auto"/>
        <w:tabs>
          <w:tab w:leader="none" w:pos="428"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Guarantor shall supply to the Facility Agent, on a semi-annual and annual basis together with each set of financial statements provided to the Facility Agent pursuant to paragraphs (a) and (b) of Clause 21.3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as the case may be, a Compliance Certificate setting out (in reasonable detail) computations as to compliance with Clause 22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as at the date at which those financial statements were drawn up.</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Compliance Certificate shall be signed by an authorised officer of the Guarantor.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21.5</w:t>
      </w:r>
      <w:r>
        <w:rPr>
          <w:sz w:val="20"/>
          <w:szCs w:val="20"/>
          <w:color w:val="auto"/>
        </w:rPr>
        <w:tab/>
      </w:r>
      <w:r>
        <w:rPr>
          <w:rFonts w:ascii="Times New Roman" w:cs="Times New Roman" w:eastAsia="Times New Roman" w:hAnsi="Times New Roman"/>
          <w:sz w:val="11"/>
          <w:szCs w:val="11"/>
          <w:b w:val="1"/>
          <w:bCs w:val="1"/>
          <w:color w:val="auto"/>
        </w:rPr>
        <w:t>Requirements as to financial statements</w:t>
      </w:r>
    </w:p>
    <w:p>
      <w:pPr>
        <w:spacing w:after="0" w:line="152" w:lineRule="exact"/>
        <w:rPr>
          <w:sz w:val="20"/>
          <w:szCs w:val="20"/>
          <w:color w:val="auto"/>
        </w:rPr>
      </w:pPr>
    </w:p>
    <w:p>
      <w:pPr>
        <w:ind w:left="428" w:hanging="428"/>
        <w:spacing w:after="0" w:line="283" w:lineRule="auto"/>
        <w:tabs>
          <w:tab w:leader="none" w:pos="428" w:val="left"/>
        </w:tabs>
        <w:numPr>
          <w:ilvl w:val="0"/>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set of financial statements delivered by the Guarantor pursuant to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shall be certified by the chief financial officer of the Guarantor as giving a true and fair view (if audited) or fairly representing (if unaudited) its financial condition and operations as at the date as at which those financial statements were drawn up.</w:t>
      </w:r>
    </w:p>
    <w:p>
      <w:pPr>
        <w:spacing w:after="0" w:line="106"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procure that each set of financial statements delivered pursuant to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is prepared using GAAP, accounting practices and financial reference periods consistent with those applied in the preparation of the Original Financial Statements unless, in relation to any set of financial statements, they notify the Facility Agent that there has been a change in GAAP, the accounting practices or reference periods and the auditors of the Guarantor deliver to the Facility Agent:</w:t>
      </w:r>
    </w:p>
    <w:p>
      <w:pPr>
        <w:spacing w:after="0" w:line="11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description of any change necessary for those financial statements to reflect the GAAP, accounting practices and reference periods upon which the Original Financial Statements were prepared; and</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7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sufficient information, in form and substance as may be reasonably required by the Facility Agent, to enable the Lenders to determine whether Clause 22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has been complied with and make an accurate comparison between the financial position indicated in those financial statements and the Original Financial Statements.</w:t>
      </w:r>
    </w:p>
    <w:p>
      <w:pPr>
        <w:spacing w:after="0" w:line="10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21.6</w:t>
      </w:r>
      <w:r>
        <w:rPr>
          <w:sz w:val="20"/>
          <w:szCs w:val="20"/>
          <w:color w:val="auto"/>
        </w:rPr>
        <w:tab/>
      </w:r>
      <w:r>
        <w:rPr>
          <w:rFonts w:ascii="Times New Roman" w:cs="Times New Roman" w:eastAsia="Times New Roman" w:hAnsi="Times New Roman"/>
          <w:sz w:val="11"/>
          <w:szCs w:val="11"/>
          <w:b w:val="1"/>
          <w:bCs w:val="1"/>
          <w:color w:val="auto"/>
        </w:rPr>
        <w:t>Information: miscellaneous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shall supply to the Facility Agent (in sufficient copies for all the Lenders, if the Facility Agent so requests):</w:t>
      </w:r>
    </w:p>
    <w:p>
      <w:pPr>
        <w:spacing w:after="0" w:line="150" w:lineRule="exact"/>
        <w:rPr>
          <w:sz w:val="20"/>
          <w:szCs w:val="20"/>
          <w:color w:val="auto"/>
        </w:rPr>
      </w:pPr>
    </w:p>
    <w:p>
      <w:pPr>
        <w:ind w:left="428" w:hanging="428"/>
        <w:spacing w:after="0"/>
        <w:tabs>
          <w:tab w:leader="none" w:pos="428" w:val="left"/>
        </w:tabs>
        <w:numPr>
          <w:ilvl w:val="0"/>
          <w:numId w:val="7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documents relevant to this Agreement which are dispatched by it to its members (or any class of them) or its creditors upon request of the Facility Agent and copies of any relevant press releases;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63" w:name="page464"/>
    <w:bookmarkEnd w:id="463"/>
    <w:p>
      <w:pPr>
        <w:jc w:val="both"/>
        <w:ind w:left="428" w:hanging="428"/>
        <w:spacing w:after="0" w:line="265" w:lineRule="auto"/>
        <w:tabs>
          <w:tab w:leader="none" w:pos="428" w:val="left"/>
        </w:tabs>
        <w:numPr>
          <w:ilvl w:val="0"/>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the details of any litigation, arbitration or administrative proceedings or investigations (including proceedings or investigations relating to any alleged or actual breach of the ISM Code or of the ISPS Code) which are current, threatened or pending against any member of the Group, and which might, if adversely determined, have a Material Adverse Effect and each Borrower shall procure that all reasonable measures are taken to defend any such legal or administrative action;</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becoming aware of them, the details of any judgment or order of a court, arbitral body or agency which is made against any member of the Group and which might have a Material Adverse Effect;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its constitutional documents where these have been amended or varied;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such further information and/or documents regarding:</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Ship, goods transported on each Ship, its Earnings and its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Assets;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compliance of the Transaction Obligors with the terms of the Finance Documents to which they are a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business and operations of any other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Initial Charters,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as any Finance Party (through the Facility Agent) may reasonably request;</w:t>
      </w:r>
    </w:p>
    <w:p>
      <w:pPr>
        <w:spacing w:after="0" w:line="150" w:lineRule="exact"/>
        <w:rPr>
          <w:sz w:val="20"/>
          <w:szCs w:val="20"/>
          <w:color w:val="auto"/>
        </w:rPr>
      </w:pPr>
    </w:p>
    <w:p>
      <w:pPr>
        <w:ind w:left="428" w:hanging="428"/>
        <w:spacing w:after="0" w:line="279" w:lineRule="auto"/>
        <w:tabs>
          <w:tab w:leader="none" w:pos="428" w:val="left"/>
        </w:tabs>
        <w:numPr>
          <w:ilvl w:val="0"/>
          <w:numId w:val="7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information and documentation reasonably requested by any Finance Party for purposes of compliance with applicable "know your customer" requirements under the Patriot Act, the Beneficial Ownership Regulation or other applicable anti-money laundering laws;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such further information and/or documents as any Finance Party (through the Facility Agent) may reasonably request so as to enable such Finance Party to comply with any laws applicable to it or as may be required by any regulatory authority.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21.7</w:t>
      </w:r>
      <w:r>
        <w:rPr>
          <w:sz w:val="20"/>
          <w:szCs w:val="20"/>
          <w:color w:val="auto"/>
        </w:rPr>
        <w:tab/>
      </w:r>
      <w:r>
        <w:rPr>
          <w:rFonts w:ascii="Times New Roman" w:cs="Times New Roman" w:eastAsia="Times New Roman" w:hAnsi="Times New Roman"/>
          <w:sz w:val="11"/>
          <w:szCs w:val="11"/>
          <w:b w:val="1"/>
          <w:bCs w:val="1"/>
          <w:color w:val="auto"/>
        </w:rPr>
        <w:t>Notification of Default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shall, notify the Facility Agent of any Event of Default (and the steps, if any, being taken to remedy it ) promptly upon becoming aware of its occurrence (unless that Obligor is aware that a notification has already been provided by another Obligor) including, but not limited to, any early indication thereof that the financial covenants set out in Clause 22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may not be met.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Promptly upon a request by the Facility Agent, each Borrower shall supply to the Facility Agent a certificate signed by an officer on its behalf certifying that no Default is continuing (or if a Default is continuing, specifying the Default and the steps, if any, being taken to remedy it).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21.8</w:t>
      </w:r>
      <w:r>
        <w:rPr>
          <w:sz w:val="20"/>
          <w:szCs w:val="20"/>
          <w:color w:val="auto"/>
        </w:rPr>
        <w:tab/>
      </w:r>
      <w:r>
        <w:rPr>
          <w:rFonts w:ascii="Times New Roman" w:cs="Times New Roman" w:eastAsia="Times New Roman" w:hAnsi="Times New Roman"/>
          <w:sz w:val="11"/>
          <w:szCs w:val="11"/>
          <w:b w:val="1"/>
          <w:bCs w:val="1"/>
          <w:color w:val="auto"/>
        </w:rPr>
        <w:t>Notification of litigation</w:t>
      </w:r>
    </w:p>
    <w:p>
      <w:pPr>
        <w:spacing w:after="0" w:line="154" w:lineRule="exact"/>
        <w:rPr>
          <w:sz w:val="20"/>
          <w:szCs w:val="20"/>
          <w:color w:val="auto"/>
        </w:rPr>
      </w:pPr>
    </w:p>
    <w:p>
      <w:pPr>
        <w:ind w:left="428" w:hanging="428"/>
        <w:spacing w:after="0" w:line="279" w:lineRule="auto"/>
        <w:tabs>
          <w:tab w:leader="none" w:pos="428" w:val="left"/>
        </w:tabs>
        <w:numPr>
          <w:ilvl w:val="0"/>
          <w:numId w:val="7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will provide the Facility Agent with details of any legal action (i) involving any Obligor and any other Transaction Obligor as soon as such action is instituted and (ii) on becoming aware of the same, involving any Approved Technical Manager, or any Ship, its Earnings, its Insurances unless in each case it is clear that the legal action could not reasonably be expected to have a Material Adverse Effect if adversely determined.</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64" w:name="page465"/>
    <w:bookmarkEnd w:id="464"/>
    <w:p>
      <w:pPr>
        <w:ind w:left="428" w:hanging="428"/>
        <w:spacing w:after="0" w:line="279" w:lineRule="auto"/>
        <w:tabs>
          <w:tab w:leader="none" w:pos="428" w:val="left"/>
        </w:tabs>
        <w:numPr>
          <w:ilvl w:val="0"/>
          <w:numId w:val="7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shall and shall procure that any other Transaction Obligor shall supply to the Facility Agent promptly, to the extent permitted by law, details of any claim, action, suit, proceedings or investigation against it with respect to Sanctions by any Sanctions Authority (in sufficient copies for all the Lenders, if the Facility Agent so requests).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21.9</w:t>
      </w:r>
      <w:r>
        <w:rPr>
          <w:sz w:val="20"/>
          <w:szCs w:val="20"/>
          <w:color w:val="auto"/>
        </w:rPr>
        <w:tab/>
      </w:r>
      <w:r>
        <w:rPr>
          <w:rFonts w:ascii="Times New Roman" w:cs="Times New Roman" w:eastAsia="Times New Roman" w:hAnsi="Times New Roman"/>
          <w:sz w:val="11"/>
          <w:szCs w:val="11"/>
          <w:b w:val="1"/>
          <w:bCs w:val="1"/>
          <w:color w:val="auto"/>
        </w:rPr>
        <w:t>Use of websites</w:t>
      </w:r>
    </w:p>
    <w:p>
      <w:pPr>
        <w:spacing w:after="0" w:line="150" w:lineRule="exact"/>
        <w:rPr>
          <w:sz w:val="20"/>
          <w:szCs w:val="20"/>
          <w:color w:val="auto"/>
        </w:rPr>
      </w:pPr>
    </w:p>
    <w:p>
      <w:pPr>
        <w:ind w:left="428" w:hanging="428"/>
        <w:spacing w:after="0" w:line="286" w:lineRule="auto"/>
        <w:tabs>
          <w:tab w:leader="none" w:pos="428" w:val="left"/>
        </w:tabs>
        <w:numPr>
          <w:ilvl w:val="0"/>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may satisfy its obligation under the Finance Documents to which it is a party to deliver any information in relation to those Lenders (the "</w:t>
      </w:r>
      <w:r>
        <w:rPr>
          <w:rFonts w:ascii="Times New Roman" w:cs="Times New Roman" w:eastAsia="Times New Roman" w:hAnsi="Times New Roman"/>
          <w:sz w:val="12"/>
          <w:szCs w:val="12"/>
          <w:b w:val="1"/>
          <w:bCs w:val="1"/>
          <w:color w:val="auto"/>
        </w:rPr>
        <w:t>Website Lenders</w:t>
      </w:r>
      <w:r>
        <w:rPr>
          <w:rFonts w:ascii="Times New Roman" w:cs="Times New Roman" w:eastAsia="Times New Roman" w:hAnsi="Times New Roman"/>
          <w:sz w:val="12"/>
          <w:szCs w:val="12"/>
          <w:color w:val="auto"/>
        </w:rPr>
        <w:t>") which accept this method of communication by posting this information onto an electronic website designated by the Borrowers and the Facility Agent (the "</w:t>
      </w:r>
      <w:r>
        <w:rPr>
          <w:rFonts w:ascii="Times New Roman" w:cs="Times New Roman" w:eastAsia="Times New Roman" w:hAnsi="Times New Roman"/>
          <w:sz w:val="12"/>
          <w:szCs w:val="12"/>
          <w:b w:val="1"/>
          <w:bCs w:val="1"/>
          <w:color w:val="auto"/>
        </w:rPr>
        <w:t>Designated Website</w:t>
      </w:r>
      <w:r>
        <w:rPr>
          <w:rFonts w:ascii="Times New Roman" w:cs="Times New Roman" w:eastAsia="Times New Roman" w:hAnsi="Times New Roman"/>
          <w:sz w:val="12"/>
          <w:szCs w:val="12"/>
          <w:color w:val="auto"/>
        </w:rPr>
        <w:t>") if:</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expressly agrees (after consultation with each of the Lenders) that it will accept communication of the information by this method;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both the relevant Obligor and the Facility Agent are aware of the address of and any relevant password specifications for the Designated Website;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is in a format previously agreed between the relevant Obligor and the Facility Agent.</w:t>
      </w:r>
    </w:p>
    <w:p>
      <w:pPr>
        <w:spacing w:after="0" w:line="146"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If any Lender (a "</w:t>
      </w:r>
      <w:r>
        <w:rPr>
          <w:rFonts w:ascii="Times New Roman" w:cs="Times New Roman" w:eastAsia="Times New Roman" w:hAnsi="Times New Roman"/>
          <w:sz w:val="12"/>
          <w:szCs w:val="12"/>
          <w:b w:val="1"/>
          <w:bCs w:val="1"/>
          <w:color w:val="auto"/>
        </w:rPr>
        <w:t>Paper Form Lender</w:t>
      </w:r>
      <w:r>
        <w:rPr>
          <w:rFonts w:ascii="Times New Roman" w:cs="Times New Roman" w:eastAsia="Times New Roman" w:hAnsi="Times New Roman"/>
          <w:sz w:val="12"/>
          <w:szCs w:val="12"/>
          <w:color w:val="auto"/>
        </w:rPr>
        <w:t>") does not agree to the delivery of information electronically then the Facility Agent shall notify the Obligors accordingly and each Obligor shall supply the information to the Facility Agent (in sufficient copies for each Paper Form Lender) in paper form. In any event each Obligor shall supply the Facility Agent with at least one copy in paper form of any information required to be provided by it.</w:t>
      </w:r>
    </w:p>
    <w:p>
      <w:pPr>
        <w:spacing w:after="0" w:line="107" w:lineRule="exact"/>
        <w:rPr>
          <w:sz w:val="20"/>
          <w:szCs w:val="20"/>
          <w:color w:val="auto"/>
        </w:rPr>
      </w:pPr>
    </w:p>
    <w:p>
      <w:pPr>
        <w:ind w:left="428" w:right="20" w:hanging="428"/>
        <w:spacing w:after="0" w:line="279" w:lineRule="auto"/>
        <w:tabs>
          <w:tab w:leader="none" w:pos="428" w:val="left"/>
        </w:tabs>
        <w:numPr>
          <w:ilvl w:val="0"/>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supply each Website Lender with the address of and any relevant password specifications for the Designated Website following designation of that website by the Obligors or any of them and the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Obligor shall promptly upon becoming aware of its occurrence notify the Facility Agent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Designated Website cannot be accessed due to technical failure;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password specifications for the Designated Website change;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new information which is required to be provided under this Agreement is posted onto the Designated Website;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existing information which has been provided under this Agreement and posted onto the Designated Website is amended;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that Obligor becomes aware that the Designated Website or any information posted onto the Designated Website is or has been infected by any electronic virus or similar software.</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an Obligor notifies the Facility Agent under sub-paragraph (i) or (v) of paragraph (c) above, all information to be provided by the Obligors under this Agreement after the date of that notice shall be supplied in paper form unless and until the Facility Agent and each Website Lender is satisfied that the circumstances giving rise to the notification are no longer continuing.</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65" w:name="page466"/>
    <w:bookmarkEnd w:id="465"/>
    <w:p>
      <w:pPr>
        <w:ind w:left="428" w:hanging="428"/>
        <w:spacing w:after="0" w:line="279" w:lineRule="auto"/>
        <w:tabs>
          <w:tab w:leader="none" w:pos="428" w:val="left"/>
        </w:tabs>
        <w:numPr>
          <w:ilvl w:val="0"/>
          <w:numId w:val="7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Website Lender may request, through the Facility Agent, one paper copy of any information required to be provided under this Agreement which is posted onto the Designated Website. The Obligors shall comply with any such request within 10 Business Days.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21.10</w:t>
      </w:r>
      <w:r>
        <w:rPr>
          <w:sz w:val="20"/>
          <w:szCs w:val="20"/>
          <w:color w:val="auto"/>
        </w:rPr>
        <w:tab/>
      </w:r>
      <w:r>
        <w:rPr>
          <w:rFonts w:ascii="Times New Roman" w:cs="Times New Roman" w:eastAsia="Times New Roman" w:hAnsi="Times New Roman"/>
          <w:sz w:val="11"/>
          <w:szCs w:val="11"/>
          <w:b w:val="1"/>
          <w:bCs w:val="1"/>
          <w:color w:val="auto"/>
        </w:rPr>
        <w:t>"Know your customer" checks</w:t>
      </w:r>
    </w:p>
    <w:p>
      <w:pPr>
        <w:spacing w:after="0" w:line="154" w:lineRule="exact"/>
        <w:rPr>
          <w:sz w:val="20"/>
          <w:szCs w:val="20"/>
          <w:color w:val="auto"/>
        </w:rPr>
      </w:pPr>
    </w:p>
    <w:p>
      <w:pPr>
        <w:ind w:left="428" w:hanging="428"/>
        <w:spacing w:after="0"/>
        <w:tabs>
          <w:tab w:leader="none" w:pos="428" w:val="left"/>
        </w:tabs>
        <w:numPr>
          <w:ilvl w:val="0"/>
          <w:numId w:val="7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introduction of or any change in (or in the interpretation, administration or application of) any law or regulation made after the date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7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in the status of a Transaction Obligor (or of a Holding Company of a Transaction Obligor) (including, without limitation, a change of ownership of a Transaction Obligor or of a Holding Company of a Transaction Obligor) after the date of this Agreement;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proposed assignment or transfer by a Lender of any of its rights and obligations under this Agreement to a party that is not a Lender prior to such assignment or transfer,</w:t>
      </w:r>
    </w:p>
    <w:p>
      <w:pPr>
        <w:spacing w:after="0" w:line="150"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2"/>
          <w:szCs w:val="12"/>
          <w:color w:val="auto"/>
        </w:rPr>
        <w:t>obliges a Finance Party (or, in the case of sub-paragraph (iii) above, any prospective new Lender) to comply with "know your customer" or similar identification procedures in circumstances where the necessary information is not already available to it, each Obligor shall promptly upon the request of any Finance Party supply, or procure the supply of, such documentation and other evidence as is reasonably requested by a Servicing Party (for itself or on behalf of any other Finance Party) or any Lender (for itself or, in the case of the event described in sub-paragraph (iii) above, on behalf of any prospective new Lender) in order for such Finance Party or, in the case of the event described in sub-paragraph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25" w:lineRule="exact"/>
        <w:rPr>
          <w:sz w:val="20"/>
          <w:szCs w:val="20"/>
          <w:color w:val="auto"/>
        </w:rPr>
      </w:pPr>
    </w:p>
    <w:p>
      <w:pPr>
        <w:ind w:left="428" w:hanging="428"/>
        <w:spacing w:after="0" w:line="279" w:lineRule="auto"/>
        <w:tabs>
          <w:tab w:leader="none" w:pos="428" w:val="left"/>
        </w:tabs>
        <w:numPr>
          <w:ilvl w:val="0"/>
          <w:numId w:val="7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promptly upon the request of a Servicing Party supply, or procure the supply of, such documentation and other evidence as is reasonably requested by the Servicing Party (for itself) in order for that Servicing Party to carry out and be satisfied it has complied with all necessary "know your customer" or other similar checks under all applicable laws and regulations pursuant to the transactions contemplated in the Finance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w:t>
      </w:r>
      <w:r>
        <w:rPr>
          <w:sz w:val="20"/>
          <w:szCs w:val="20"/>
          <w:color w:val="auto"/>
        </w:rPr>
        <w:tab/>
      </w:r>
      <w:r>
        <w:rPr>
          <w:rFonts w:ascii="Times New Roman" w:cs="Times New Roman" w:eastAsia="Times New Roman" w:hAnsi="Times New Roman"/>
          <w:sz w:val="12"/>
          <w:szCs w:val="12"/>
          <w:b w:val="1"/>
          <w:bCs w:val="1"/>
          <w:color w:val="auto"/>
        </w:rPr>
        <w:t>FINANCIAL COVENANTS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22.1</w:t>
      </w:r>
      <w:r>
        <w:rPr>
          <w:sz w:val="20"/>
          <w:szCs w:val="20"/>
          <w:color w:val="auto"/>
        </w:rPr>
        <w:tab/>
      </w:r>
      <w:r>
        <w:rPr>
          <w:rFonts w:ascii="Times New Roman" w:cs="Times New Roman" w:eastAsia="Times New Roman" w:hAnsi="Times New Roman"/>
          <w:sz w:val="11"/>
          <w:szCs w:val="11"/>
          <w:b w:val="1"/>
          <w:bCs w:val="1"/>
          <w:color w:val="auto"/>
        </w:rPr>
        <w:t>Guarantors' minimum liquidity and most favoured nations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At all times during the Security Period, the Guarantor shall:</w:t>
      </w:r>
    </w:p>
    <w:p>
      <w:pPr>
        <w:spacing w:after="0" w:line="150" w:lineRule="exact"/>
        <w:rPr>
          <w:sz w:val="20"/>
          <w:szCs w:val="20"/>
          <w:color w:val="auto"/>
        </w:rPr>
      </w:pPr>
    </w:p>
    <w:p>
      <w:pPr>
        <w:ind w:left="428" w:hanging="428"/>
        <w:spacing w:after="0"/>
        <w:tabs>
          <w:tab w:leader="none" w:pos="428"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Minimum Corporate Liquidity in an amount of not less than $20,000,000 or, if agreed at any relevant time by all the Lenders, a lesser minimum liquidity amount; and</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7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the Finance Parties shall receive no less favourable treatment under this Agreement in relation to any financial covenant relating to it, than any financial covenant provided or to be provided under any credit, loan facility or indenture agreement (or guarantee thereof) creating Financial Indebtedness to which the Guarantor is a party (or by way of amendment or supplement to that credit, loan facility or indenture agreement (or guarantee thereof)) or any agreement creating Financial Indebtedness to refinance or otherwise substitute any existing Financial Indebtedness of, or guarantee by, the Guarantor.</w:t>
      </w:r>
    </w:p>
    <w:p>
      <w:pPr>
        <w:spacing w:after="0" w:line="11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79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66" w:name="page467"/>
    <w:bookmarkEnd w:id="466"/>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Notwithstanding paragraph (b) above, the Guarantor shall promptly advise the Facility Agent of those arrangements and covenants in advance and shall, upon the Facility Agent's request (acting on the instructions of the Majority Lenders), enter into such documentation which amends and supplements this Agreement and the other Finance Documents, as the Majority Lenders may require in order to achieve parity with the creditors under the relevant financing of the Guarantor.</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22.2</w:t>
      </w:r>
      <w:r>
        <w:rPr>
          <w:sz w:val="20"/>
          <w:szCs w:val="20"/>
          <w:color w:val="auto"/>
        </w:rPr>
        <w:tab/>
      </w:r>
      <w:r>
        <w:rPr>
          <w:rFonts w:ascii="Times New Roman" w:cs="Times New Roman" w:eastAsia="Times New Roman" w:hAnsi="Times New Roman"/>
          <w:sz w:val="11"/>
          <w:szCs w:val="11"/>
          <w:b w:val="1"/>
          <w:bCs w:val="1"/>
          <w:color w:val="auto"/>
        </w:rPr>
        <w:t>Compliance Check</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Compliance with the undertakings contained in this Clause 22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shall be determined on each Testing Date and evidenced by the Compliance Certificate.</w:t>
      </w:r>
    </w:p>
    <w:p>
      <w:pPr>
        <w:spacing w:after="0" w:line="148" w:lineRule="exact"/>
        <w:rPr>
          <w:sz w:val="20"/>
          <w:szCs w:val="20"/>
          <w:color w:val="auto"/>
        </w:rPr>
      </w:pPr>
    </w:p>
    <w:p>
      <w:pPr>
        <w:ind w:left="8" w:right="9300" w:hanging="8"/>
        <w:spacing w:after="0" w:line="502" w:lineRule="auto"/>
        <w:tabs>
          <w:tab w:leader="none" w:pos="431" w:val="left"/>
        </w:tabs>
        <w:numPr>
          <w:ilvl w:val="0"/>
          <w:numId w:val="79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UNDERTAKINGS 23.1 General</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undertakings in this Clause 23 (</w:t>
      </w:r>
      <w:r>
        <w:rPr>
          <w:rFonts w:ascii="Times New Roman" w:cs="Times New Roman" w:eastAsia="Times New Roman" w:hAnsi="Times New Roman"/>
          <w:sz w:val="12"/>
          <w:szCs w:val="12"/>
          <w:i w:val="1"/>
          <w:iCs w:val="1"/>
          <w:color w:val="auto"/>
        </w:rPr>
        <w:t>General Undertakings</w:t>
      </w:r>
      <w:r>
        <w:rPr>
          <w:rFonts w:ascii="Times New Roman" w:cs="Times New Roman" w:eastAsia="Times New Roman" w:hAnsi="Times New Roman"/>
          <w:sz w:val="12"/>
          <w:szCs w:val="12"/>
          <w:color w:val="auto"/>
        </w:rPr>
        <w:t>) remain in force throughout the Security Period except as the Facility Agent, acting with the authorisation of the Majority Lenders (or, where specified, all the Lenders) may otherwise permit (and in the case of Clauses 23.12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23.13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23.15 (</w:t>
      </w:r>
      <w:r>
        <w:rPr>
          <w:rFonts w:ascii="Times New Roman" w:cs="Times New Roman" w:eastAsia="Times New Roman" w:hAnsi="Times New Roman"/>
          <w:sz w:val="12"/>
          <w:szCs w:val="12"/>
          <w:i w:val="1"/>
          <w:iCs w:val="1"/>
          <w:color w:val="auto"/>
        </w:rPr>
        <w:t>Financial Indebtedness</w:t>
      </w:r>
      <w:r>
        <w:rPr>
          <w:rFonts w:ascii="Times New Roman" w:cs="Times New Roman" w:eastAsia="Times New Roman" w:hAnsi="Times New Roman"/>
          <w:sz w:val="12"/>
          <w:szCs w:val="12"/>
          <w:color w:val="auto"/>
        </w:rPr>
        <w:t>) and 23.19 (</w:t>
      </w:r>
      <w:r>
        <w:rPr>
          <w:rFonts w:ascii="Times New Roman" w:cs="Times New Roman" w:eastAsia="Times New Roman" w:hAnsi="Times New Roman"/>
          <w:sz w:val="12"/>
          <w:szCs w:val="12"/>
          <w:i w:val="1"/>
          <w:iCs w:val="1"/>
          <w:color w:val="auto"/>
        </w:rPr>
        <w:t>Other transactions</w:t>
      </w:r>
      <w:r>
        <w:rPr>
          <w:rFonts w:ascii="Times New Roman" w:cs="Times New Roman" w:eastAsia="Times New Roman" w:hAnsi="Times New Roman"/>
          <w:sz w:val="12"/>
          <w:szCs w:val="12"/>
          <w:color w:val="auto"/>
        </w:rPr>
        <w:t>), such permission not to be unreasonably withheld).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w:t>
      </w:r>
      <w:r>
        <w:rPr>
          <w:sz w:val="20"/>
          <w:szCs w:val="20"/>
          <w:color w:val="auto"/>
        </w:rPr>
        <w:tab/>
      </w:r>
      <w:r>
        <w:rPr>
          <w:rFonts w:ascii="Times New Roman" w:cs="Times New Roman" w:eastAsia="Times New Roman" w:hAnsi="Times New Roman"/>
          <w:sz w:val="11"/>
          <w:szCs w:val="11"/>
          <w:b w:val="1"/>
          <w:bCs w:val="1"/>
          <w:color w:val="auto"/>
        </w:rPr>
        <w:t>Authorisations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w:t>
      </w:r>
    </w:p>
    <w:p>
      <w:pPr>
        <w:spacing w:after="0" w:line="150" w:lineRule="exact"/>
        <w:rPr>
          <w:sz w:val="20"/>
          <w:szCs w:val="20"/>
          <w:color w:val="auto"/>
        </w:rPr>
      </w:pPr>
    </w:p>
    <w:p>
      <w:pPr>
        <w:ind w:left="428" w:hanging="428"/>
        <w:spacing w:after="0"/>
        <w:tabs>
          <w:tab w:leader="none" w:pos="428"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comply with and do all that is necessary to maintain in full force and effect;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supply certified copies to the Facility Agent of,</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Authorisation required under any law or regulation of a Relevant Jurisdiction or the state of the Approved Flag at any time of each Ship to enable it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 its obligations under the Transaction Documents to which it is a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the legality, validity, enforceability or admissibility in evidence in any Relevant Jurisdiction or in the state of the Approved Flag at any time of each Ship, of any Transaction Document to which it is a party;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own and operate each Ship (in the case of the Borrowers);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the above, ensure that if, but for the obtaining of an Authorisation, an Obligor would be in breach of any of the provisions of this Agreement which relate to Sanctions or, by reason of Sanctions, would be prohibited from performing any provision of this Agreement, such an Authorisation is obtained so as to avoid or remedy (as applicable) such breach or to enable such performance.</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467" w:name="page468"/>
    <w:bookmarkEnd w:id="46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23.3</w:t>
      </w:r>
      <w:r>
        <w:rPr>
          <w:sz w:val="20"/>
          <w:szCs w:val="20"/>
          <w:color w:val="auto"/>
        </w:rPr>
        <w:tab/>
      </w:r>
      <w:r>
        <w:rPr>
          <w:rFonts w:ascii="Times New Roman" w:cs="Times New Roman" w:eastAsia="Times New Roman" w:hAnsi="Times New Roman"/>
          <w:sz w:val="11"/>
          <w:szCs w:val="11"/>
          <w:b w:val="1"/>
          <w:bCs w:val="1"/>
          <w:color w:val="auto"/>
        </w:rPr>
        <w:t>Compliance with laws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comply in all respects with all laws (including, without limitation, Sanctions) and regulations to which it may be subject if failure to so comply has a Material Adverse Effect (such qualification not to apply in the case of compliance with Sanctions).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23.4</w:t>
      </w:r>
      <w:r>
        <w:rPr>
          <w:sz w:val="20"/>
          <w:szCs w:val="20"/>
          <w:color w:val="auto"/>
        </w:rPr>
        <w:tab/>
      </w:r>
      <w:r>
        <w:rPr>
          <w:rFonts w:ascii="Times New Roman" w:cs="Times New Roman" w:eastAsia="Times New Roman" w:hAnsi="Times New Roman"/>
          <w:sz w:val="11"/>
          <w:szCs w:val="11"/>
          <w:b w:val="1"/>
          <w:bCs w:val="1"/>
          <w:color w:val="auto"/>
        </w:rPr>
        <w:t>Environmental compliance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w:t>
      </w:r>
    </w:p>
    <w:p>
      <w:pPr>
        <w:spacing w:after="0" w:line="150" w:lineRule="exact"/>
        <w:rPr>
          <w:sz w:val="20"/>
          <w:szCs w:val="20"/>
          <w:color w:val="auto"/>
        </w:rPr>
      </w:pPr>
    </w:p>
    <w:p>
      <w:pPr>
        <w:ind w:left="428" w:hanging="428"/>
        <w:spacing w:after="0"/>
        <w:tabs>
          <w:tab w:leader="none" w:pos="428" w:val="left"/>
        </w:tabs>
        <w:numPr>
          <w:ilvl w:val="0"/>
          <w:numId w:val="7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all Environmental Laws;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maintain and ensure compliance with all requisite Environmental Approvals;</w:t>
      </w:r>
    </w:p>
    <w:p>
      <w:pPr>
        <w:spacing w:after="0" w:line="150" w:lineRule="exact"/>
        <w:rPr>
          <w:rFonts w:ascii="Times New Roman" w:cs="Times New Roman" w:eastAsia="Times New Roman" w:hAnsi="Times New Roman"/>
          <w:sz w:val="12"/>
          <w:szCs w:val="12"/>
          <w:color w:val="auto"/>
        </w:rPr>
      </w:pPr>
    </w:p>
    <w:p>
      <w:pPr>
        <w:ind w:left="428" w:right="5820" w:hanging="428"/>
        <w:spacing w:after="0" w:line="497" w:lineRule="auto"/>
        <w:tabs>
          <w:tab w:leader="none" w:pos="426" w:val="left"/>
        </w:tabs>
        <w:numPr>
          <w:ilvl w:val="0"/>
          <w:numId w:val="7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 procedures to monitor compliance with and to prevent liability under any Environmental Law, where failure to do so has a Material Adverse Effect.</w:t>
      </w: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23.5</w:t>
      </w:r>
      <w:r>
        <w:rPr>
          <w:sz w:val="20"/>
          <w:szCs w:val="20"/>
          <w:color w:val="auto"/>
        </w:rPr>
        <w:tab/>
      </w:r>
      <w:r>
        <w:rPr>
          <w:rFonts w:ascii="Times New Roman" w:cs="Times New Roman" w:eastAsia="Times New Roman" w:hAnsi="Times New Roman"/>
          <w:sz w:val="11"/>
          <w:szCs w:val="11"/>
          <w:b w:val="1"/>
          <w:bCs w:val="1"/>
          <w:color w:val="auto"/>
        </w:rPr>
        <w:t>Environmental Claims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 upon becoming aware of the same, inform the Facility Agent in writing of:</w:t>
      </w:r>
    </w:p>
    <w:p>
      <w:pPr>
        <w:spacing w:after="0" w:line="150" w:lineRule="exact"/>
        <w:rPr>
          <w:sz w:val="20"/>
          <w:szCs w:val="20"/>
          <w:color w:val="auto"/>
        </w:rPr>
      </w:pPr>
    </w:p>
    <w:p>
      <w:pPr>
        <w:ind w:left="428" w:hanging="428"/>
        <w:spacing w:after="0"/>
        <w:tabs>
          <w:tab w:leader="none" w:pos="428" w:val="left"/>
        </w:tabs>
        <w:numPr>
          <w:ilvl w:val="0"/>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Claim against any Transaction Obligor which is current, pending or threatened; and</w:t>
      </w:r>
    </w:p>
    <w:p>
      <w:pPr>
        <w:spacing w:after="0" w:line="150" w:lineRule="exact"/>
        <w:rPr>
          <w:rFonts w:ascii="Times New Roman" w:cs="Times New Roman" w:eastAsia="Times New Roman" w:hAnsi="Times New Roman"/>
          <w:sz w:val="12"/>
          <w:szCs w:val="12"/>
          <w:color w:val="auto"/>
        </w:rPr>
      </w:pPr>
    </w:p>
    <w:p>
      <w:pPr>
        <w:ind w:left="428" w:right="3300" w:hanging="428"/>
        <w:spacing w:after="0" w:line="497" w:lineRule="auto"/>
        <w:tabs>
          <w:tab w:leader="none" w:pos="426" w:val="left"/>
        </w:tabs>
        <w:numPr>
          <w:ilvl w:val="0"/>
          <w:numId w:val="7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facts or circumstances which are reasonably likely to result in any Environmental Claim being commenced or threatened against any Transaction Obligor, where the claim, if determined against that Transaction Obligor, has a Material Adverse Effect.</w:t>
      </w: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23.6</w:t>
      </w:r>
      <w:r>
        <w:rPr>
          <w:sz w:val="20"/>
          <w:szCs w:val="20"/>
          <w:color w:val="auto"/>
        </w:rPr>
        <w:tab/>
      </w:r>
      <w:r>
        <w:rPr>
          <w:rFonts w:ascii="Times New Roman" w:cs="Times New Roman" w:eastAsia="Times New Roman" w:hAnsi="Times New Roman"/>
          <w:sz w:val="11"/>
          <w:szCs w:val="11"/>
          <w:b w:val="1"/>
          <w:bCs w:val="1"/>
          <w:color w:val="auto"/>
        </w:rPr>
        <w:t>Taxation</w:t>
      </w:r>
    </w:p>
    <w:p>
      <w:pPr>
        <w:spacing w:after="0" w:line="154" w:lineRule="exact"/>
        <w:rPr>
          <w:sz w:val="20"/>
          <w:szCs w:val="20"/>
          <w:color w:val="auto"/>
        </w:rPr>
      </w:pPr>
    </w:p>
    <w:p>
      <w:pPr>
        <w:ind w:left="428" w:hanging="428"/>
        <w:spacing w:after="0" w:line="279" w:lineRule="auto"/>
        <w:tabs>
          <w:tab w:leader="none" w:pos="428" w:val="left"/>
        </w:tabs>
        <w:numPr>
          <w:ilvl w:val="0"/>
          <w:numId w:val="7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pay and discharge all Taxes imposed upon it or its assets within the time period allowed without incurring penalties unless and only to the extent that:</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is being contested in good faith;</w:t>
      </w:r>
    </w:p>
    <w:p>
      <w:pPr>
        <w:spacing w:after="0" w:line="148" w:lineRule="exact"/>
        <w:rPr>
          <w:rFonts w:ascii="Times New Roman" w:cs="Times New Roman" w:eastAsia="Times New Roman" w:hAnsi="Times New Roman"/>
          <w:sz w:val="12"/>
          <w:szCs w:val="12"/>
          <w:color w:val="auto"/>
        </w:rPr>
      </w:pPr>
    </w:p>
    <w:p>
      <w:pPr>
        <w:ind w:left="848" w:hanging="425"/>
        <w:spacing w:after="0" w:line="283" w:lineRule="auto"/>
        <w:tabs>
          <w:tab w:leader="none" w:pos="848" w:val="left"/>
        </w:tabs>
        <w:numPr>
          <w:ilvl w:val="1"/>
          <w:numId w:val="7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adequate reserves are maintained for those Taxes and the costs required to contest them and both have been disclosed in its latest financial statements delivered to the Facility Agent under Clause 21.3 (</w:t>
      </w:r>
      <w:r>
        <w:rPr>
          <w:rFonts w:ascii="Times New Roman" w:cs="Times New Roman" w:eastAsia="Times New Roman" w:hAnsi="Times New Roman"/>
          <w:sz w:val="12"/>
          <w:szCs w:val="12"/>
          <w:i w:val="1"/>
          <w:iCs w:val="1"/>
          <w:color w:val="auto"/>
        </w:rPr>
        <w:t>Financial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statements</w:t>
      </w:r>
      <w:r>
        <w:rPr>
          <w:rFonts w:ascii="Times New Roman" w:cs="Times New Roman" w:eastAsia="Times New Roman" w:hAnsi="Times New Roman"/>
          <w:sz w:val="12"/>
          <w:szCs w:val="12"/>
          <w:color w:val="auto"/>
        </w:rPr>
        <w:t>); and</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payment can be lawfully withheld.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shall and the Obligors shall procure that no other Transaction Obligor will, change its residence for Tax purposes.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23.7</w:t>
      </w:r>
      <w:r>
        <w:rPr>
          <w:sz w:val="20"/>
          <w:szCs w:val="20"/>
          <w:color w:val="auto"/>
        </w:rPr>
        <w:tab/>
      </w:r>
      <w:r>
        <w:rPr>
          <w:rFonts w:ascii="Times New Roman" w:cs="Times New Roman" w:eastAsia="Times New Roman" w:hAnsi="Times New Roman"/>
          <w:sz w:val="12"/>
          <w:szCs w:val="12"/>
          <w:b w:val="1"/>
          <w:bCs w:val="1"/>
          <w:color w:val="auto"/>
        </w:rPr>
        <w:t>Overseas companies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Obligor shall, and shall procure that each other Transaction Obligor will, promptly inform the Facility Agent if it delivers to the Registrar particulars required under the Overseas Regulations of any UK Establishment and it shall comply with any directions given to it by the Facility Agent regarding the recording of any Transaction Security on the register which it is required to maintain under The Overseas Companies (Execution of Documents and Registration of Charges) Regulations 2009.</w:t>
      </w:r>
    </w:p>
    <w:p>
      <w:pPr>
        <w:spacing w:after="0" w:line="119"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68" w:name="page469"/>
    <w:bookmarkEnd w:id="46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23.8</w:t>
      </w:r>
      <w:r>
        <w:rPr>
          <w:sz w:val="20"/>
          <w:szCs w:val="20"/>
          <w:color w:val="auto"/>
        </w:rPr>
        <w:tab/>
      </w:r>
      <w:r>
        <w:rPr>
          <w:rFonts w:ascii="Times New Roman" w:cs="Times New Roman" w:eastAsia="Times New Roman" w:hAnsi="Times New Roman"/>
          <w:sz w:val="11"/>
          <w:szCs w:val="11"/>
          <w:b w:val="1"/>
          <w:bCs w:val="1"/>
          <w:color w:val="auto"/>
        </w:rPr>
        <w:t>No change to centre of main interests</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No Obligor shall change the location of its centre of main interest (as that term is used in Article 3(1) of the Regulation) from that stated in relation to it in Clause 20.30 (</w:t>
      </w:r>
      <w:r>
        <w:rPr>
          <w:rFonts w:ascii="Times New Roman" w:cs="Times New Roman" w:eastAsia="Times New Roman" w:hAnsi="Times New Roman"/>
          <w:sz w:val="12"/>
          <w:szCs w:val="12"/>
          <w:i w:val="1"/>
          <w:iCs w:val="1"/>
          <w:color w:val="auto"/>
        </w:rPr>
        <w:t>Centre of main interests and establishments</w:t>
      </w:r>
      <w:r>
        <w:rPr>
          <w:rFonts w:ascii="Times New Roman" w:cs="Times New Roman" w:eastAsia="Times New Roman" w:hAnsi="Times New Roman"/>
          <w:sz w:val="12"/>
          <w:szCs w:val="12"/>
          <w:color w:val="auto"/>
        </w:rPr>
        <w:t>) and it will create no "</w:t>
      </w:r>
      <w:r>
        <w:rPr>
          <w:rFonts w:ascii="Times New Roman" w:cs="Times New Roman" w:eastAsia="Times New Roman" w:hAnsi="Times New Roman"/>
          <w:sz w:val="12"/>
          <w:szCs w:val="12"/>
          <w:b w:val="1"/>
          <w:bCs w:val="1"/>
          <w:color w:val="auto"/>
        </w:rPr>
        <w:t>establishment</w:t>
      </w:r>
      <w:r>
        <w:rPr>
          <w:rFonts w:ascii="Times New Roman" w:cs="Times New Roman" w:eastAsia="Times New Roman" w:hAnsi="Times New Roman"/>
          <w:sz w:val="12"/>
          <w:szCs w:val="12"/>
          <w:color w:val="auto"/>
        </w:rPr>
        <w:t>" (as that term is used in Article 2(10) of the Regulation) in any other jurisdiction.</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23.9</w:t>
      </w:r>
      <w:r>
        <w:rPr>
          <w:sz w:val="20"/>
          <w:szCs w:val="20"/>
          <w:color w:val="auto"/>
        </w:rPr>
        <w:tab/>
      </w:r>
      <w:r>
        <w:rPr>
          <w:rFonts w:ascii="Times New Roman" w:cs="Times New Roman" w:eastAsia="Times New Roman" w:hAnsi="Times New Roman"/>
          <w:sz w:val="11"/>
          <w:szCs w:val="11"/>
          <w:b w:val="1"/>
          <w:bCs w:val="1"/>
          <w:color w:val="auto"/>
        </w:rPr>
        <w:t>Pari passu ranking</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 xml:space="preserve">Each Obligor shall, and shall procure that each other Transaction Obligor will, ensure that at all times any unsecured and unsubordinated claims of a Finance Party against it under the Finance Documents rank at least </w:t>
      </w:r>
      <w:r>
        <w:rPr>
          <w:rFonts w:ascii="Times New Roman" w:cs="Times New Roman" w:eastAsia="Times New Roman" w:hAnsi="Times New Roman"/>
          <w:sz w:val="12"/>
          <w:szCs w:val="12"/>
          <w:i w:val="1"/>
          <w:iCs w:val="1"/>
          <w:color w:val="auto"/>
        </w:rPr>
        <w:t>pari</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 xml:space="preserve">passu </w:t>
      </w:r>
      <w:r>
        <w:rPr>
          <w:rFonts w:ascii="Times New Roman" w:cs="Times New Roman" w:eastAsia="Times New Roman" w:hAnsi="Times New Roman"/>
          <w:sz w:val="12"/>
          <w:szCs w:val="12"/>
          <w:color w:val="auto"/>
        </w:rPr>
        <w:t>with the claims of all its other unsecured and unsubordinated creditors except those creditors whose claims are mandatorily preferred by laws of general application to companies.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23.10</w:t>
        <w:tab/>
        <w:t>Title</w:t>
      </w:r>
    </w:p>
    <w:p>
      <w:pPr>
        <w:spacing w:after="0" w:line="154" w:lineRule="exact"/>
        <w:rPr>
          <w:sz w:val="20"/>
          <w:szCs w:val="20"/>
          <w:color w:val="auto"/>
        </w:rPr>
      </w:pPr>
    </w:p>
    <w:p>
      <w:pPr>
        <w:ind w:left="428" w:hanging="428"/>
        <w:spacing w:after="0"/>
        <w:tabs>
          <w:tab w:leader="none" w:pos="428" w:val="left"/>
        </w:tabs>
        <w:numPr>
          <w:ilvl w:val="0"/>
          <w:numId w:val="7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hold the legal title to, and own the entire beneficial interest in the Ship owned by it, its Earnings and its Insurances.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7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effect on and from its creation or intended creation, each Obligor shall hold the legal title to, and own the entire beneficial interest in any other assets which are the subject of any Transaction Security created or intended to be created by such Obligor.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23.11</w:t>
      </w:r>
      <w:r>
        <w:rPr>
          <w:sz w:val="20"/>
          <w:szCs w:val="20"/>
          <w:color w:val="auto"/>
        </w:rPr>
        <w:tab/>
      </w:r>
      <w:r>
        <w:rPr>
          <w:rFonts w:ascii="Times New Roman" w:cs="Times New Roman" w:eastAsia="Times New Roman" w:hAnsi="Times New Roman"/>
          <w:sz w:val="11"/>
          <w:szCs w:val="11"/>
          <w:b w:val="1"/>
          <w:bCs w:val="1"/>
          <w:color w:val="auto"/>
        </w:rPr>
        <w:t>Negative pledge</w:t>
      </w:r>
    </w:p>
    <w:p>
      <w:pPr>
        <w:spacing w:after="0" w:line="154" w:lineRule="exact"/>
        <w:rPr>
          <w:sz w:val="20"/>
          <w:szCs w:val="20"/>
          <w:color w:val="auto"/>
        </w:rPr>
      </w:pPr>
    </w:p>
    <w:p>
      <w:pPr>
        <w:ind w:left="428" w:hanging="428"/>
        <w:spacing w:after="0"/>
        <w:tabs>
          <w:tab w:leader="none" w:pos="428" w:val="left"/>
        </w:tabs>
        <w:numPr>
          <w:ilvl w:val="0"/>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create or permit to subsist any Security over any of its assets which is the subject of the Security created or intended to be created by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assets on terms whereby they are or may be leased to or re-acquired by 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sell, transfer or otherwise dispose of any of its receivables on recourse terms;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arrangement under which money or the benefit of a bank or other account may be applied, set-off or made subject to a combination of accounts;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7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other preferential arrangement having a similar effect,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circumstances where the arrangement or transaction is entered into primarily as a method of raising Financial Indebtedness or of financing the acquisition of an asset.</w:t>
      </w:r>
    </w:p>
    <w:p>
      <w:pPr>
        <w:spacing w:after="0" w:line="150" w:lineRule="exact"/>
        <w:rPr>
          <w:sz w:val="20"/>
          <w:szCs w:val="20"/>
          <w:color w:val="auto"/>
        </w:rPr>
      </w:pPr>
    </w:p>
    <w:p>
      <w:pPr>
        <w:ind w:left="428" w:hanging="428"/>
        <w:spacing w:after="0"/>
        <w:tabs>
          <w:tab w:leader="none" w:pos="428" w:val="left"/>
        </w:tabs>
        <w:numPr>
          <w:ilvl w:val="0"/>
          <w:numId w:val="7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(a) and (b) above do not apply to any Permitted Security.</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69" w:name="page470"/>
    <w:bookmarkEnd w:id="46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23.12</w:t>
      </w:r>
      <w:r>
        <w:rPr>
          <w:sz w:val="20"/>
          <w:szCs w:val="20"/>
          <w:color w:val="auto"/>
        </w:rPr>
        <w:tab/>
      </w:r>
      <w:r>
        <w:rPr>
          <w:rFonts w:ascii="Times New Roman" w:cs="Times New Roman" w:eastAsia="Times New Roman" w:hAnsi="Times New Roman"/>
          <w:sz w:val="11"/>
          <w:szCs w:val="11"/>
          <w:b w:val="1"/>
          <w:bCs w:val="1"/>
          <w:color w:val="auto"/>
        </w:rPr>
        <w:t>Disposals</w:t>
      </w:r>
    </w:p>
    <w:p>
      <w:pPr>
        <w:spacing w:after="0" w:line="154" w:lineRule="exact"/>
        <w:rPr>
          <w:sz w:val="20"/>
          <w:szCs w:val="20"/>
          <w:color w:val="auto"/>
        </w:rPr>
      </w:pPr>
    </w:p>
    <w:p>
      <w:pPr>
        <w:ind w:left="428" w:hanging="428"/>
        <w:spacing w:after="0" w:line="279" w:lineRule="auto"/>
        <w:tabs>
          <w:tab w:leader="none" w:pos="428" w:val="left"/>
        </w:tabs>
        <w:numPr>
          <w:ilvl w:val="0"/>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enter into a single transaction or a series of transactions (whether related or not) and whether voluntary or involuntary to sell, lease, transfer or otherwise dispose of any asset (including without limitation any Ship, its Earnings or its Insurances).</w:t>
      </w:r>
    </w:p>
    <w:p>
      <w:pPr>
        <w:spacing w:after="0" w:line="109"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7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does not apply to any Charter as all Charters are subject to Clause 26.15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or to a sale of any Ship provided that in such case the Borrowers comply with the prepayment obligations of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and the provisions of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23.13</w:t>
      </w:r>
      <w:r>
        <w:rPr>
          <w:sz w:val="20"/>
          <w:szCs w:val="20"/>
          <w:color w:val="auto"/>
        </w:rPr>
        <w:tab/>
      </w:r>
      <w:r>
        <w:rPr>
          <w:rFonts w:ascii="Times New Roman" w:cs="Times New Roman" w:eastAsia="Times New Roman" w:hAnsi="Times New Roman"/>
          <w:sz w:val="11"/>
          <w:szCs w:val="11"/>
          <w:b w:val="1"/>
          <w:bCs w:val="1"/>
          <w:color w:val="auto"/>
        </w:rPr>
        <w:t>Merger</w:t>
      </w:r>
    </w:p>
    <w:p>
      <w:pPr>
        <w:spacing w:after="0" w:line="150" w:lineRule="exact"/>
        <w:rPr>
          <w:sz w:val="20"/>
          <w:szCs w:val="20"/>
          <w:color w:val="auto"/>
        </w:rPr>
      </w:pPr>
    </w:p>
    <w:p>
      <w:pPr>
        <w:jc w:val="both"/>
        <w:ind w:left="428"/>
        <w:spacing w:after="0" w:line="268" w:lineRule="auto"/>
        <w:rPr>
          <w:sz w:val="20"/>
          <w:szCs w:val="20"/>
          <w:color w:val="auto"/>
        </w:rPr>
      </w:pPr>
      <w:r>
        <w:rPr>
          <w:rFonts w:ascii="Times New Roman" w:cs="Times New Roman" w:eastAsia="Times New Roman" w:hAnsi="Times New Roman"/>
          <w:sz w:val="12"/>
          <w:szCs w:val="12"/>
          <w:color w:val="auto"/>
        </w:rPr>
        <w:t>No Obligor shall enter into any amalgamation, demerger, merger, consolidation or corporate reconstruction (for the purposes of this Clause 23.13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each "</w:t>
      </w:r>
      <w:r>
        <w:rPr>
          <w:rFonts w:ascii="Times New Roman" w:cs="Times New Roman" w:eastAsia="Times New Roman" w:hAnsi="Times New Roman"/>
          <w:sz w:val="12"/>
          <w:szCs w:val="12"/>
          <w:b w:val="1"/>
          <w:bCs w:val="1"/>
          <w:color w:val="auto"/>
        </w:rPr>
        <w:t>a process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in the case of the Guarantor, such process is permitted without restrictions so long as (i) the Guarantor remains the surviving entity of any such process, (ii) no Default has occurred at the relevant time or would be triggered as a result of such process and (iii) such process does not have a Material Adverse Effect.</w:t>
      </w:r>
    </w:p>
    <w:p>
      <w:pPr>
        <w:spacing w:after="0" w:line="11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23.14</w:t>
      </w:r>
      <w:r>
        <w:rPr>
          <w:sz w:val="20"/>
          <w:szCs w:val="20"/>
          <w:color w:val="auto"/>
        </w:rPr>
        <w:tab/>
      </w:r>
      <w:r>
        <w:rPr>
          <w:rFonts w:ascii="Times New Roman" w:cs="Times New Roman" w:eastAsia="Times New Roman" w:hAnsi="Times New Roman"/>
          <w:sz w:val="11"/>
          <w:szCs w:val="11"/>
          <w:b w:val="1"/>
          <w:bCs w:val="1"/>
          <w:color w:val="auto"/>
        </w:rPr>
        <w:t>Change of business</w:t>
      </w:r>
    </w:p>
    <w:p>
      <w:pPr>
        <w:spacing w:after="0" w:line="150" w:lineRule="exact"/>
        <w:rPr>
          <w:sz w:val="20"/>
          <w:szCs w:val="20"/>
          <w:color w:val="auto"/>
        </w:rPr>
      </w:pPr>
    </w:p>
    <w:p>
      <w:pPr>
        <w:jc w:val="both"/>
        <w:ind w:left="428" w:hanging="428"/>
        <w:spacing w:after="0" w:line="268" w:lineRule="auto"/>
        <w:tabs>
          <w:tab w:leader="none" w:pos="428" w:val="left"/>
        </w:tabs>
        <w:numPr>
          <w:ilvl w:val="0"/>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Guarantor shall procure that no substantial change is made to the general nature of its business or the Group from that carried on at the date of this Agreement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 Guarantor may acquire through merger (in accordance with Clause 23.13 (</w:t>
      </w:r>
      <w:r>
        <w:rPr>
          <w:rFonts w:ascii="Times New Roman" w:cs="Times New Roman" w:eastAsia="Times New Roman" w:hAnsi="Times New Roman"/>
          <w:sz w:val="12"/>
          <w:szCs w:val="12"/>
          <w:i w:val="1"/>
          <w:iCs w:val="1"/>
          <w:color w:val="auto"/>
        </w:rPr>
        <w:t>Merger</w:t>
      </w:r>
      <w:r>
        <w:rPr>
          <w:rFonts w:ascii="Times New Roman" w:cs="Times New Roman" w:eastAsia="Times New Roman" w:hAnsi="Times New Roman"/>
          <w:sz w:val="12"/>
          <w:szCs w:val="12"/>
          <w:color w:val="auto"/>
        </w:rPr>
        <w:t>)) or otherwise any type of ships so long as (i) such change of its business does not have a Material Adverse Effect and (ii) no Default has occurred at the relevant time or would be triggered as a result of such change of business.</w:t>
      </w:r>
    </w:p>
    <w:p>
      <w:pPr>
        <w:spacing w:after="0" w:line="117"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engage in any business other than the ownership and operation of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23.15</w:t>
      </w:r>
      <w:r>
        <w:rPr>
          <w:sz w:val="20"/>
          <w:szCs w:val="20"/>
          <w:color w:val="auto"/>
        </w:rPr>
        <w:tab/>
      </w:r>
      <w:r>
        <w:rPr>
          <w:rFonts w:ascii="Times New Roman" w:cs="Times New Roman" w:eastAsia="Times New Roman" w:hAnsi="Times New Roman"/>
          <w:sz w:val="11"/>
          <w:szCs w:val="11"/>
          <w:b w:val="1"/>
          <w:bCs w:val="1"/>
          <w:color w:val="auto"/>
        </w:rPr>
        <w:t>Financial Indebtedness</w:t>
      </w:r>
    </w:p>
    <w:p>
      <w:pPr>
        <w:spacing w:after="0" w:line="150"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 xml:space="preserve">No Borrower shall incur or permit to be outstanding any Financial Indebtedness except any Permitted Financial Indebtedness,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 Borrowers' ability to discharge their obligations as they fall due is not adversely affected from the occurrence of any such Financial Indebtedness referred to hereinabove (other than Financial Indebtedness incurred under the Finance Documents).</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23.16</w:t>
      </w:r>
      <w:r>
        <w:rPr>
          <w:sz w:val="20"/>
          <w:szCs w:val="20"/>
          <w:color w:val="auto"/>
        </w:rPr>
        <w:tab/>
      </w:r>
      <w:r>
        <w:rPr>
          <w:rFonts w:ascii="Times New Roman" w:cs="Times New Roman" w:eastAsia="Times New Roman" w:hAnsi="Times New Roman"/>
          <w:sz w:val="11"/>
          <w:szCs w:val="11"/>
          <w:b w:val="1"/>
          <w:bCs w:val="1"/>
          <w:color w:val="auto"/>
        </w:rPr>
        <w:t>Expenditure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incur any expenditure, except for expenditure reasonably incurred in the ordinary course of owning, operating, chartering, maintaining and repairing its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23.17</w:t>
      </w:r>
      <w:r>
        <w:rPr>
          <w:sz w:val="20"/>
          <w:szCs w:val="20"/>
          <w:color w:val="auto"/>
        </w:rPr>
        <w:tab/>
      </w:r>
      <w:r>
        <w:rPr>
          <w:rFonts w:ascii="Times New Roman" w:cs="Times New Roman" w:eastAsia="Times New Roman" w:hAnsi="Times New Roman"/>
          <w:sz w:val="11"/>
          <w:szCs w:val="11"/>
          <w:b w:val="1"/>
          <w:bCs w:val="1"/>
          <w:color w:val="auto"/>
        </w:rPr>
        <w:t>LLC interests and ownership of Borrowers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w:t>
      </w:r>
    </w:p>
    <w:p>
      <w:pPr>
        <w:spacing w:after="0" w:line="150" w:lineRule="exact"/>
        <w:rPr>
          <w:sz w:val="20"/>
          <w:szCs w:val="20"/>
          <w:color w:val="auto"/>
        </w:rPr>
      </w:pPr>
    </w:p>
    <w:p>
      <w:pPr>
        <w:ind w:left="428" w:hanging="428"/>
        <w:spacing w:after="0"/>
        <w:tabs>
          <w:tab w:leader="none" w:pos="428" w:val="left"/>
        </w:tabs>
        <w:numPr>
          <w:ilvl w:val="0"/>
          <w:numId w:val="8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purchase, cancel or redeem any of its LLC Shares;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 or reduce its authorised share capital;</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70" w:name="page471"/>
    <w:bookmarkEnd w:id="470"/>
    <w:p>
      <w:pPr>
        <w:ind w:left="428" w:right="20" w:hanging="428"/>
        <w:spacing w:after="0" w:line="279" w:lineRule="auto"/>
        <w:tabs>
          <w:tab w:leader="none" w:pos="428" w:val="left"/>
        </w:tabs>
        <w:numPr>
          <w:ilvl w:val="0"/>
          <w:numId w:val="8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issue any further LLC Shares, except to the relevant Shareholder, and provided such LLC Shares are issued in compliance with the provisions of the relevant Borrower's limited liability company agreement and otherwise in a manner satisfactory to the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any further officer of that Borrower without the Facility Agent's consent;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permit, without the Facility Agent's prior written consent any change in its direct or indirect legal or beneficial ownership.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23.18</w:t>
      </w:r>
      <w:r>
        <w:rPr>
          <w:sz w:val="20"/>
          <w:szCs w:val="20"/>
          <w:color w:val="auto"/>
        </w:rPr>
        <w:tab/>
      </w:r>
      <w:r>
        <w:rPr>
          <w:rFonts w:ascii="Times New Roman" w:cs="Times New Roman" w:eastAsia="Times New Roman" w:hAnsi="Times New Roman"/>
          <w:sz w:val="11"/>
          <w:szCs w:val="11"/>
          <w:b w:val="1"/>
          <w:bCs w:val="1"/>
          <w:color w:val="auto"/>
        </w:rPr>
        <w:t>Dividends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of the Borrowers and the Guarantor may declare and make a Dividend Payment at any relevant time only if:</w:t>
      </w:r>
    </w:p>
    <w:p>
      <w:pPr>
        <w:spacing w:after="0" w:line="150" w:lineRule="exact"/>
        <w:rPr>
          <w:sz w:val="20"/>
          <w:szCs w:val="20"/>
          <w:color w:val="auto"/>
        </w:rPr>
      </w:pPr>
    </w:p>
    <w:p>
      <w:pPr>
        <w:ind w:left="428" w:hanging="428"/>
        <w:spacing w:after="0"/>
        <w:tabs>
          <w:tab w:leader="none" w:pos="428" w:val="left"/>
        </w:tabs>
        <w:numPr>
          <w:ilvl w:val="0"/>
          <w:numId w:val="8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has occurred and is continuing or would result from such Dividend Payment: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Cover Ratio is at the relevant time not less than the Relevant Percentage;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immediately after making such Dividend Payment, the aggregate balance in each Earnings Account is not less than $350,000.</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23.19</w:t>
      </w:r>
      <w:r>
        <w:rPr>
          <w:sz w:val="20"/>
          <w:szCs w:val="20"/>
          <w:color w:val="auto"/>
        </w:rPr>
        <w:tab/>
      </w:r>
      <w:r>
        <w:rPr>
          <w:rFonts w:ascii="Times New Roman" w:cs="Times New Roman" w:eastAsia="Times New Roman" w:hAnsi="Times New Roman"/>
          <w:sz w:val="11"/>
          <w:szCs w:val="11"/>
          <w:b w:val="1"/>
          <w:bCs w:val="1"/>
          <w:color w:val="auto"/>
        </w:rPr>
        <w:t>Other transactions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will:</w:t>
      </w:r>
    </w:p>
    <w:p>
      <w:pPr>
        <w:spacing w:after="0" w:line="150" w:lineRule="exact"/>
        <w:rPr>
          <w:sz w:val="20"/>
          <w:szCs w:val="20"/>
          <w:color w:val="auto"/>
        </w:rPr>
      </w:pPr>
    </w:p>
    <w:p>
      <w:pPr>
        <w:ind w:left="428" w:hanging="428"/>
        <w:spacing w:after="0"/>
        <w:tabs>
          <w:tab w:leader="none" w:pos="428" w:val="left"/>
        </w:tabs>
        <w:numPr>
          <w:ilvl w:val="0"/>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the creditor in respect of any loan or any form of credit to any person other than where such loan or form of credit is Permitted Financial Indebtedness;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give or allow to be outstanding any guarantee or indemnity to or for the benefit of any person in respect of any obligation of any other person or enter into any document under which that Borrower assumes any liability of any other person other than (i) any guarantee or indemnity given under the Finance Documents or (ii) any guarantee or indemnity issued in the ordinary course of its business of operating, trading and chartering any of the Ships;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material agreement other than: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Transaction Documents; and/or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agreement expressly allowed under any other term of this Agreement (including for the avoidance of doubt, but not limited to, any Charter);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transaction on terms which are, in any respect, less favourable to that Borrower than those which it could obtain in a bargain made at arms' length;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acquire any shares or other securities other than US or UK Treasury bills and certificates of deposit issued by major North American or European banks.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71" w:name="page472"/>
    <w:bookmarkEnd w:id="47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23.20</w:t>
      </w:r>
      <w:r>
        <w:rPr>
          <w:sz w:val="20"/>
          <w:szCs w:val="20"/>
          <w:color w:val="auto"/>
        </w:rPr>
        <w:tab/>
      </w:r>
      <w:r>
        <w:rPr>
          <w:rFonts w:ascii="Times New Roman" w:cs="Times New Roman" w:eastAsia="Times New Roman" w:hAnsi="Times New Roman"/>
          <w:sz w:val="11"/>
          <w:szCs w:val="11"/>
          <w:b w:val="1"/>
          <w:bCs w:val="1"/>
          <w:color w:val="auto"/>
        </w:rPr>
        <w:t>Unlawfulness, invalidity and ranking; Security imperilled</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Obligor shall do (or fail to do) or cause or permit another person to do (or omit to do) anything which is likely to:</w:t>
      </w:r>
    </w:p>
    <w:p>
      <w:pPr>
        <w:spacing w:after="0" w:line="150" w:lineRule="exact"/>
        <w:rPr>
          <w:sz w:val="20"/>
          <w:szCs w:val="20"/>
          <w:color w:val="auto"/>
        </w:rPr>
      </w:pPr>
    </w:p>
    <w:p>
      <w:pPr>
        <w:ind w:left="428" w:hanging="428"/>
        <w:spacing w:after="0"/>
        <w:tabs>
          <w:tab w:leader="none" w:pos="428"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it unlawful or contrary to Sanctions for a Transaction Obligor to perform any of its obligations under the Transaction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obligation of a Transaction Obligor under the Transaction Documents to cease to be legal, valid, binding or enforceable;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Transaction Document to cease to be in full force and effect;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cause any Transaction Security to rank after, or lose its priority to, any other Security;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imperil or jeopardise the Transaction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23.21</w:t>
      </w:r>
      <w:r>
        <w:rPr>
          <w:sz w:val="20"/>
          <w:szCs w:val="20"/>
          <w:color w:val="auto"/>
        </w:rPr>
        <w:tab/>
      </w:r>
      <w:r>
        <w:rPr>
          <w:rFonts w:ascii="Times New Roman" w:cs="Times New Roman" w:eastAsia="Times New Roman" w:hAnsi="Times New Roman"/>
          <w:sz w:val="11"/>
          <w:szCs w:val="11"/>
          <w:b w:val="1"/>
          <w:bCs w:val="1"/>
          <w:color w:val="auto"/>
        </w:rPr>
        <w:t>Sanctions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Neither the Obligors, nor any Approved Managers nor any persons acting in the name and on behalf of the Obligors shall:</w:t>
      </w:r>
    </w:p>
    <w:p>
      <w:pPr>
        <w:spacing w:after="0" w:line="150" w:lineRule="exact"/>
        <w:rPr>
          <w:sz w:val="20"/>
          <w:szCs w:val="20"/>
          <w:color w:val="auto"/>
        </w:rPr>
      </w:pPr>
    </w:p>
    <w:p>
      <w:pPr>
        <w:ind w:left="428" w:hanging="428"/>
        <w:spacing w:after="0"/>
        <w:tabs>
          <w:tab w:leader="none" w:pos="428" w:val="left"/>
        </w:tabs>
        <w:numPr>
          <w:ilvl w:val="0"/>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directly or indirectly, use or make available all or any part of the proceeds of the Loan, or permit or authorise any such proceeds to be applied: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any activity involving, or for the benefit of, a Restricted Party or in any Restricted Country;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manner that will cause a Ship to be the target of Sanctions, or that will result in a Finance Party being in breach of any Sanctions or listed on a Sanctions List;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 manner or for a purpose otherwise prohibited by Sanctions;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fund all or part of any payment under the Finance Documents out of proceeds directly or indirectly derived from transactions involving a Restricted Party or a Restricted Country or which are otherwise in breach of Sanctions, or where such payment will cause a Ship to be the target of Sanctions, or that will result in a Finance Party being in breach of any Sanctions or listed on a Sanctions List;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8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allow or permit any proceeds derived directly or indirectly from any activity or dealing involving a Restricted Party, or in a Restricted Country to be credited to any bank account held with any Finance Party or any affiliate of a Finance Party, or effect any payment to a Restricted Party, whether to discharge any obligation due or owing to such person or for any other purpose, through the use of any bank account held with a Finance Party or an Affiliate of a Finance Party;</w:t>
      </w:r>
    </w:p>
    <w:p>
      <w:pPr>
        <w:spacing w:after="0" w:line="119"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2"/>
          <w:szCs w:val="12"/>
          <w:color w:val="auto"/>
        </w:rPr>
        <w:t>(d)</w:t>
      </w:r>
    </w:p>
    <w:p>
      <w:pPr>
        <w:spacing w:after="0" w:line="150" w:lineRule="exact"/>
        <w:rPr>
          <w:sz w:val="20"/>
          <w:szCs w:val="20"/>
          <w:color w:val="auto"/>
        </w:rPr>
      </w:pPr>
    </w:p>
    <w:p>
      <w:pPr>
        <w:ind w:left="848" w:right="20" w:hanging="425"/>
        <w:spacing w:after="0" w:line="279" w:lineRule="auto"/>
        <w:tabs>
          <w:tab w:leader="none" w:pos="848" w:val="left"/>
        </w:tabs>
        <w:numPr>
          <w:ilvl w:val="0"/>
          <w:numId w:val="8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Obligors and any Approved Managers, engage in any activity or dealing involving a Restricted Party, or in any activity, transaction or conduct that will cause such person to be a Restricted Party or causes a Ship to be the target of Sanctions; or</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72" w:name="page473"/>
    <w:bookmarkEnd w:id="472"/>
    <w:p>
      <w:pPr>
        <w:ind w:left="848" w:hanging="425"/>
        <w:spacing w:after="0" w:line="279" w:lineRule="auto"/>
        <w:tabs>
          <w:tab w:leader="none" w:pos="848" w:val="left"/>
        </w:tabs>
        <w:numPr>
          <w:ilvl w:val="1"/>
          <w:numId w:val="8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any persons acting in the name and on behalf of the Obligors, to the best of the Obligors' knowledge, engage in any activity or dealing involving a Restricted Party, or in any activity, transaction or conduct that will cause such person to be a Restricted Party or causes a Ship to be the target of Sanctions; or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employ the Ship owned by it nor shall it allow its employment, operation or management, in each case, involving a Restricted Party or in any Restricted Country, or in any manner contrary to Sanctions, or in a manner which will trigger the operation of any sanctions limitation or exclusion clause (or similar) in the Insurances.</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w:t>
      </w:r>
    </w:p>
    <w:p>
      <w:pPr>
        <w:spacing w:after="0" w:line="148" w:lineRule="exact"/>
        <w:rPr>
          <w:rFonts w:ascii="Times New Roman" w:cs="Times New Roman" w:eastAsia="Times New Roman" w:hAnsi="Times New Roman"/>
          <w:sz w:val="12"/>
          <w:szCs w:val="12"/>
          <w:color w:val="auto"/>
        </w:rPr>
      </w:pPr>
    </w:p>
    <w:p>
      <w:pPr>
        <w:ind w:left="428"/>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control</w:t>
      </w:r>
      <w:r>
        <w:rPr>
          <w:rFonts w:ascii="Times New Roman" w:cs="Times New Roman" w:eastAsia="Times New Roman" w:hAnsi="Times New Roman"/>
          <w:sz w:val="12"/>
          <w:szCs w:val="12"/>
          <w:color w:val="auto"/>
        </w:rPr>
        <w:t>" means the possession, directly or indirectly, of the power to direct or cause the direction of the management or policies of a person, whether through the ability to exercise voting power, by contract, or as otherwise defined under Sanctions.</w:t>
      </w:r>
    </w:p>
    <w:p>
      <w:pPr>
        <w:spacing w:after="0" w:line="103" w:lineRule="exact"/>
        <w:rPr>
          <w:rFonts w:ascii="Times New Roman" w:cs="Times New Roman" w:eastAsia="Times New Roman" w:hAnsi="Times New Roman"/>
          <w:sz w:val="12"/>
          <w:szCs w:val="12"/>
          <w:color w:val="auto"/>
        </w:rPr>
      </w:pPr>
    </w:p>
    <w:p>
      <w:pPr>
        <w:ind w:left="428"/>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Country</w:t>
      </w:r>
      <w:r>
        <w:rPr>
          <w:rFonts w:ascii="Times New Roman" w:cs="Times New Roman" w:eastAsia="Times New Roman" w:hAnsi="Times New Roman"/>
          <w:sz w:val="12"/>
          <w:szCs w:val="12"/>
          <w:color w:val="auto"/>
        </w:rPr>
        <w:t>" means, as of the date of this Agreement, Cuba, Iran, North Korea, Syria, and the non-government controlled Ukrainian territories of Crimea, Donetsk, Luhansk, Kherson and Zaporizhzhia, and thereafter including a country or territory that is the target of comprehensive, country-wide and/or territory-wide Sanctions as may be notified from time to time to the Borrowers by the Finance Parties.</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Restricted Party</w:t>
      </w:r>
      <w:r>
        <w:rPr>
          <w:rFonts w:ascii="Times New Roman" w:cs="Times New Roman" w:eastAsia="Times New Roman" w:hAnsi="Times New Roman"/>
          <w:sz w:val="12"/>
          <w:szCs w:val="12"/>
          <w:color w:val="auto"/>
        </w:rPr>
        <w:t>" means:</w:t>
      </w:r>
    </w:p>
    <w:p>
      <w:pPr>
        <w:spacing w:after="0" w:line="15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government of a Restricted Country;</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listed on a Sanctions List;</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located, domiciled, resident or incorporated in a Restricted Country;</w:t>
      </w:r>
    </w:p>
    <w:p>
      <w:pPr>
        <w:spacing w:after="0" w:line="150" w:lineRule="exact"/>
        <w:rPr>
          <w:rFonts w:ascii="Times New Roman" w:cs="Times New Roman" w:eastAsia="Times New Roman" w:hAnsi="Times New Roman"/>
          <w:sz w:val="12"/>
          <w:szCs w:val="12"/>
          <w:color w:val="auto"/>
        </w:rPr>
      </w:pPr>
    </w:p>
    <w:p>
      <w:pPr>
        <w:ind w:left="868" w:hanging="436"/>
        <w:spacing w:after="0" w:line="279" w:lineRule="auto"/>
        <w:tabs>
          <w:tab w:leader="none" w:pos="868"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directly or indirectly (knowingly, after the Obligors having made due and careful enquiry, such qualification not to apply for the purposes of the representation under paragraph (b) of Clause 20.34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owned or controlled, controlling or under common control, or acting on behalf of, a government or person falling under items (a)-(c); and/or</w:t>
      </w:r>
    </w:p>
    <w:p>
      <w:pPr>
        <w:spacing w:after="0" w:line="109" w:lineRule="exact"/>
        <w:rPr>
          <w:rFonts w:ascii="Times New Roman" w:cs="Times New Roman" w:eastAsia="Times New Roman" w:hAnsi="Times New Roman"/>
          <w:sz w:val="12"/>
          <w:szCs w:val="12"/>
          <w:color w:val="auto"/>
        </w:rPr>
      </w:pPr>
    </w:p>
    <w:p>
      <w:pPr>
        <w:ind w:left="868" w:hanging="436"/>
        <w:spacing w:after="0" w:line="283" w:lineRule="auto"/>
        <w:tabs>
          <w:tab w:leader="none" w:pos="868" w:val="left"/>
        </w:tabs>
        <w:numPr>
          <w:ilvl w:val="1"/>
          <w:numId w:val="8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(knowingly, after the Obligors having made due and careful enquiry, such qualification not to apply for the purposes of the representation under paragraph (b) of Clause 20.34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in breach of any Sanctions.</w:t>
      </w:r>
    </w:p>
    <w:p>
      <w:pPr>
        <w:spacing w:after="0" w:line="105"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w:t>
      </w:r>
      <w:r>
        <w:rPr>
          <w:rFonts w:ascii="Times New Roman" w:cs="Times New Roman" w:eastAsia="Times New Roman" w:hAnsi="Times New Roman"/>
          <w:sz w:val="12"/>
          <w:szCs w:val="12"/>
          <w:color w:val="auto"/>
        </w:rPr>
        <w:t>" means any economic sanctions laws, regulations, embargoes, or restrictive measures administered, enacted, or enforced by a Sanctions Authority.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Authority</w:t>
      </w:r>
      <w:r>
        <w:rPr>
          <w:rFonts w:ascii="Times New Roman" w:cs="Times New Roman" w:eastAsia="Times New Roman" w:hAnsi="Times New Roman"/>
          <w:sz w:val="12"/>
          <w:szCs w:val="12"/>
          <w:color w:val="auto"/>
        </w:rPr>
        <w:t>" means:</w:t>
      </w:r>
    </w:p>
    <w:p>
      <w:pPr>
        <w:spacing w:after="0" w:line="154" w:lineRule="exact"/>
        <w:rPr>
          <w:sz w:val="20"/>
          <w:szCs w:val="20"/>
          <w:color w:val="auto"/>
        </w:rPr>
      </w:pPr>
    </w:p>
    <w:p>
      <w:pPr>
        <w:ind w:left="868" w:hanging="436"/>
        <w:spacing w:after="0"/>
        <w:tabs>
          <w:tab w:leader="none" w:pos="868"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Nations;</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States of America;</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European Union;</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8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United Kingdom;</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73" w:name="page474"/>
    <w:bookmarkEnd w:id="473"/>
    <w:p>
      <w:pPr>
        <w:ind w:left="868" w:hanging="436"/>
        <w:spacing w:after="0"/>
        <w:tabs>
          <w:tab w:leader="none" w:pos="868" w:val="left"/>
        </w:tabs>
        <w:numPr>
          <w:ilvl w:val="0"/>
          <w:numId w:val="8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Switzerland; and</w:t>
      </w:r>
    </w:p>
    <w:p>
      <w:pPr>
        <w:spacing w:after="0" w:line="150" w:lineRule="exact"/>
        <w:rPr>
          <w:rFonts w:ascii="Times New Roman" w:cs="Times New Roman" w:eastAsia="Times New Roman" w:hAnsi="Times New Roman"/>
          <w:sz w:val="12"/>
          <w:szCs w:val="12"/>
          <w:color w:val="auto"/>
        </w:rPr>
      </w:pPr>
    </w:p>
    <w:p>
      <w:pPr>
        <w:jc w:val="both"/>
        <w:ind w:left="868" w:hanging="436"/>
        <w:spacing w:after="0" w:line="265" w:lineRule="auto"/>
        <w:tabs>
          <w:tab w:leader="none" w:pos="868" w:val="left"/>
        </w:tabs>
        <w:numPr>
          <w:ilvl w:val="0"/>
          <w:numId w:val="8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respective governmental institutions and agencies of any of the foregoing, including, without limitation, the Office of Foreign Assets Control of the US Department of the Treasury, the United States Department of State, the United States Department of Commerce, His Majesty's Treasury's Office of Financial Sanctions Implementation, the State Secretariat for Economic Affairs of Switzerland, and the Swiss Directorate of International Law.</w:t>
      </w:r>
    </w:p>
    <w:p>
      <w:pPr>
        <w:spacing w:after="0" w:line="115" w:lineRule="exact"/>
        <w:rPr>
          <w:sz w:val="20"/>
          <w:szCs w:val="20"/>
          <w:color w:val="auto"/>
        </w:rPr>
      </w:pPr>
    </w:p>
    <w:p>
      <w:pPr>
        <w:ind w:left="428" w:right="20"/>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Sanctions List</w:t>
      </w:r>
      <w:r>
        <w:rPr>
          <w:rFonts w:ascii="Times New Roman" w:cs="Times New Roman" w:eastAsia="Times New Roman" w:hAnsi="Times New Roman"/>
          <w:sz w:val="12"/>
          <w:szCs w:val="12"/>
          <w:color w:val="auto"/>
        </w:rPr>
        <w:t>" means the "Specially Designated Nationals and Blocked Persons" and the Sectoral Sanctions Identifications List maintained by OFAC, the "Consolidated List of Financial Sanctions Targets" and the "Consolidated List of Assets Freeze Targets" maintained by His Majesty's Treasury, or any similar list by, or any other public announcement of Sanctions or designation of a Restricted Party made by, any Sanctions Authority.</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23.22</w:t>
      </w:r>
      <w:r>
        <w:rPr>
          <w:sz w:val="20"/>
          <w:szCs w:val="20"/>
          <w:color w:val="auto"/>
        </w:rPr>
        <w:tab/>
      </w:r>
      <w:r>
        <w:rPr>
          <w:rFonts w:ascii="Times New Roman" w:cs="Times New Roman" w:eastAsia="Times New Roman" w:hAnsi="Times New Roman"/>
          <w:sz w:val="11"/>
          <w:szCs w:val="11"/>
          <w:b w:val="1"/>
          <w:bCs w:val="1"/>
          <w:color w:val="auto"/>
        </w:rPr>
        <w:t>Further assurance</w:t>
      </w:r>
    </w:p>
    <w:p>
      <w:pPr>
        <w:spacing w:after="0" w:line="154" w:lineRule="exact"/>
        <w:rPr>
          <w:sz w:val="20"/>
          <w:szCs w:val="20"/>
          <w:color w:val="auto"/>
        </w:rPr>
      </w:pPr>
    </w:p>
    <w:p>
      <w:pPr>
        <w:jc w:val="both"/>
        <w:ind w:left="428" w:hanging="428"/>
        <w:spacing w:after="0" w:line="265" w:lineRule="auto"/>
        <w:tabs>
          <w:tab w:leader="none" w:pos="428" w:val="left"/>
        </w:tabs>
        <w:numPr>
          <w:ilvl w:val="0"/>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promptly, and in any event within the time period specified by the Security Agent do all such acts (including procuring or arranging any registration, notarisation or authentication or the giving of any notice) or execute or procure execution of all such documents (including assignments, transfers, mortgages, charges, notices, instructions, acknowledgments, proxies and powers of attorney), as the Security Agent may specify (and in such form as the Security Agent may require in favour of the Security Agent or its nominee(s)):</w:t>
      </w:r>
    </w:p>
    <w:p>
      <w:pPr>
        <w:spacing w:after="0" w:line="118"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create, perfect, vest in favour of the Security Agent or protect the priority of the Security or any right of any kind created or intended to be created under or evidenced by the Finance Documents (which may include the execution of a mortgage, charge, assignment or other Security over all or any of the assets which are, or are intended to be, the subject of the Transaction Security) or for the exercise of any rights, powers and remedies of any of the Secured Parties provided by or pursuant to the Finance Documents or by law;</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confer on the Security Agent or confer on the Secured Parties Security over any property and assets of that Transaction Obligor located in any jurisdiction equivalent or similar to the Security intended to be conferred by or pursuant to the Finance Documents;</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facilitate or expedite the realisation and/or sale of, the transfer of title to or the grant of, any interest in or right relating to the assets which are, or are intended to be, the subject of the Transaction Security or to exercise any power specified in any Finance Document in respect of which the Security has become enforceable; and/or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enable or assist the Security Agent to enter into any transaction to commence, defend or conduct any proceedings and/or to take any other action relating to any item of the Security Property.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shall, and shall procure that each other Transaction Obligor will, take all such action as is available to it (including making all filings and registrations) as may be necessary for the purpose of the creation, perfection, protection or maintenance of any Security conferred or intended to be conferred on the Security Agent or the Secured Parties by or pursuant to the Finance Documents.</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74" w:name="page475"/>
    <w:bookmarkEnd w:id="474"/>
    <w:p>
      <w:pPr>
        <w:ind w:left="428" w:right="20" w:hanging="428"/>
        <w:spacing w:after="0" w:line="283" w:lineRule="auto"/>
        <w:tabs>
          <w:tab w:leader="none" w:pos="428" w:val="left"/>
        </w:tabs>
        <w:numPr>
          <w:ilvl w:val="0"/>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the same time as an Obligor delivers to the Security Agent any document executed by itself or another Transaction Obligor pursuant to this Clause 23.22 (</w:t>
      </w:r>
      <w:r>
        <w:rPr>
          <w:rFonts w:ascii="Times New Roman" w:cs="Times New Roman" w:eastAsia="Times New Roman" w:hAnsi="Times New Roman"/>
          <w:sz w:val="12"/>
          <w:szCs w:val="12"/>
          <w:i w:val="1"/>
          <w:iCs w:val="1"/>
          <w:color w:val="auto"/>
        </w:rPr>
        <w:t>Further assurance</w:t>
      </w:r>
      <w:r>
        <w:rPr>
          <w:rFonts w:ascii="Times New Roman" w:cs="Times New Roman" w:eastAsia="Times New Roman" w:hAnsi="Times New Roman"/>
          <w:sz w:val="12"/>
          <w:szCs w:val="12"/>
          <w:color w:val="auto"/>
        </w:rPr>
        <w:t>), that Obligor shall deliver, or shall procure that such other Transaction Obligor will deliver, to the Security Agent a certificate signed by one of that Obligor's or Transaction Obligor's officers which shall:</w:t>
      </w:r>
    </w:p>
    <w:p>
      <w:pPr>
        <w:spacing w:after="0" w:line="108"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out the text of a resolution of that Obligor's or Transaction Obligor's directors, members, manager or board of directors of its manager, as applicable, specifically authorising the execution of the document specified by the Security Agent; and</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state that either the resolution was duly passed at a meeting of the directors or members, or manager or board of directors of its manager, as applicable, validly convened and held, throughout which a quorum of directors or members or managers, as applicable, entitled to vote on the resolution was present, or that the resolution has been signed by all the directors or members or managers and is valid under that Obligor's or Transaction Obligor's articles of association, limited liability company agreement or other constitutional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23.23</w:t>
      </w:r>
      <w:r>
        <w:rPr>
          <w:sz w:val="20"/>
          <w:szCs w:val="20"/>
          <w:color w:val="auto"/>
        </w:rPr>
        <w:tab/>
      </w:r>
      <w:r>
        <w:rPr>
          <w:rFonts w:ascii="Times New Roman" w:cs="Times New Roman" w:eastAsia="Times New Roman" w:hAnsi="Times New Roman"/>
          <w:sz w:val="11"/>
          <w:szCs w:val="11"/>
          <w:b w:val="1"/>
          <w:bCs w:val="1"/>
          <w:color w:val="auto"/>
        </w:rPr>
        <w:t>Listing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Guarantor shall remain listed in NYSE throughout the Security Period.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23.24</w:t>
      </w:r>
      <w:r>
        <w:rPr>
          <w:sz w:val="20"/>
          <w:szCs w:val="20"/>
          <w:color w:val="auto"/>
        </w:rPr>
        <w:tab/>
      </w:r>
      <w:r>
        <w:rPr>
          <w:rFonts w:ascii="Times New Roman" w:cs="Times New Roman" w:eastAsia="Times New Roman" w:hAnsi="Times New Roman"/>
          <w:sz w:val="11"/>
          <w:szCs w:val="11"/>
          <w:b w:val="1"/>
          <w:bCs w:val="1"/>
          <w:color w:val="auto"/>
        </w:rPr>
        <w:t>Anti-Corruption</w:t>
      </w:r>
    </w:p>
    <w:p>
      <w:pPr>
        <w:spacing w:after="0" w:line="154" w:lineRule="exact"/>
        <w:rPr>
          <w:sz w:val="20"/>
          <w:szCs w:val="20"/>
          <w:color w:val="auto"/>
        </w:rPr>
      </w:pPr>
    </w:p>
    <w:p>
      <w:pPr>
        <w:ind w:left="428" w:hanging="428"/>
        <w:spacing w:after="0" w:line="279" w:lineRule="auto"/>
        <w:tabs>
          <w:tab w:leader="none" w:pos="428" w:val="left"/>
        </w:tabs>
        <w:numPr>
          <w:ilvl w:val="0"/>
          <w:numId w:val="8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not (and the Guarantor shall not and it shall procure that no other Transaction Obligor will) directly or indirectly use the proceeds of the Loan for any purpose which would breach or might breach applicable anti-corruption laws, including, but not limited to, the UK Bribery Act of 2010 and the United States Foreign Corrupt Practices Act of 1977, each as amended.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(and the Guarantor shall and it shall procure that each other Transaction Obligor will):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 its business in compliance with applicable anti-corruption laws and regulations;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policies and procedures designed to promote and achieve compliance with such laws and regulations.</w:t>
      </w:r>
    </w:p>
    <w:p>
      <w:pPr>
        <w:spacing w:after="0" w:line="146" w:lineRule="exact"/>
        <w:rPr>
          <w:sz w:val="20"/>
          <w:szCs w:val="20"/>
          <w:color w:val="auto"/>
        </w:rPr>
      </w:pPr>
    </w:p>
    <w:p>
      <w:pPr>
        <w:ind w:left="8" w:right="9180" w:hanging="8"/>
        <w:spacing w:after="0" w:line="502" w:lineRule="auto"/>
        <w:tabs>
          <w:tab w:leader="none" w:pos="431" w:val="left"/>
        </w:tabs>
        <w:numPr>
          <w:ilvl w:val="0"/>
          <w:numId w:val="8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INSURANCE UNDERTAKINGS 24.1 General</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undertakings in this Clause 24 (</w:t>
      </w:r>
      <w:r>
        <w:rPr>
          <w:rFonts w:ascii="Times New Roman" w:cs="Times New Roman" w:eastAsia="Times New Roman" w:hAnsi="Times New Roman"/>
          <w:sz w:val="12"/>
          <w:szCs w:val="12"/>
          <w:i w:val="1"/>
          <w:iCs w:val="1"/>
          <w:color w:val="auto"/>
        </w:rPr>
        <w:t>Insurance Undertakings</w:t>
      </w:r>
      <w:r>
        <w:rPr>
          <w:rFonts w:ascii="Times New Roman" w:cs="Times New Roman" w:eastAsia="Times New Roman" w:hAnsi="Times New Roman"/>
          <w:sz w:val="12"/>
          <w:szCs w:val="12"/>
          <w:color w:val="auto"/>
        </w:rPr>
        <w:t>) remain in force from the date of this Agreement throughout the rest of the Security Period except as the Facility Agent, acting with the authorisation of the Majority Lenders (or, where specified, all the Lenders) may otherwise permit (and in the case of paragraph (a) of Clause 24.13 (</w:t>
      </w:r>
      <w:r>
        <w:rPr>
          <w:rFonts w:ascii="Times New Roman" w:cs="Times New Roman" w:eastAsia="Times New Roman" w:hAnsi="Times New Roman"/>
          <w:sz w:val="12"/>
          <w:szCs w:val="12"/>
          <w:i w:val="1"/>
          <w:iCs w:val="1"/>
          <w:color w:val="auto"/>
        </w:rPr>
        <w:t>Settlement of claims</w:t>
      </w:r>
      <w:r>
        <w:rPr>
          <w:rFonts w:ascii="Times New Roman" w:cs="Times New Roman" w:eastAsia="Times New Roman" w:hAnsi="Times New Roman"/>
          <w:sz w:val="12"/>
          <w:szCs w:val="12"/>
          <w:color w:val="auto"/>
        </w:rPr>
        <w:t>) such permission not to be unreasonably withheld).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24.2</w:t>
      </w:r>
      <w:r>
        <w:rPr>
          <w:sz w:val="20"/>
          <w:szCs w:val="20"/>
          <w:color w:val="auto"/>
        </w:rPr>
        <w:tab/>
      </w:r>
      <w:r>
        <w:rPr>
          <w:rFonts w:ascii="Times New Roman" w:cs="Times New Roman" w:eastAsia="Times New Roman" w:hAnsi="Times New Roman"/>
          <w:sz w:val="11"/>
          <w:szCs w:val="11"/>
          <w:b w:val="1"/>
          <w:bCs w:val="1"/>
          <w:color w:val="auto"/>
        </w:rPr>
        <w:t>Maintenance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keep the Ship owned by it insured at its expense against:</w:t>
      </w:r>
    </w:p>
    <w:p>
      <w:pPr>
        <w:spacing w:after="0" w:line="150" w:lineRule="exact"/>
        <w:rPr>
          <w:sz w:val="20"/>
          <w:szCs w:val="20"/>
          <w:color w:val="auto"/>
        </w:rPr>
      </w:pPr>
    </w:p>
    <w:p>
      <w:pPr>
        <w:ind w:left="428" w:hanging="428"/>
        <w:spacing w:after="0"/>
        <w:tabs>
          <w:tab w:leader="none" w:pos="428" w:val="left"/>
        </w:tabs>
        <w:numPr>
          <w:ilvl w:val="0"/>
          <w:numId w:val="8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fire and usual marine risks (including hull and machinery and excess risks);</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3" w:right="299" w:bottom="1440" w:gutter="0" w:footer="0" w:header="0"/>
        </w:sectPr>
      </w:pPr>
    </w:p>
    <w:bookmarkStart w:id="475" w:name="page476"/>
    <w:bookmarkEnd w:id="475"/>
    <w:p>
      <w:pPr>
        <w:ind w:left="428" w:hanging="428"/>
        <w:spacing w:after="0"/>
        <w:tabs>
          <w:tab w:leader="none" w:pos="428" w:val="left"/>
        </w:tabs>
        <w:numPr>
          <w:ilvl w:val="0"/>
          <w:numId w:val="8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war risks (including without limitation war P&amp;I cover and crew liability cover);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protection and indemnity risks in each case in the highest amount available as per IG P&amp;I rules;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risks against which the Facility Agent acting on the instructions of all the Lenders considers, having regard to practices and other circumstances prevailing at the relevant time, it would be reasonable for that Borrower to insure and which are specified by the Facility Agent by notice to that Borrower.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24.3</w:t>
      </w:r>
      <w:r>
        <w:rPr>
          <w:sz w:val="20"/>
          <w:szCs w:val="20"/>
          <w:color w:val="auto"/>
        </w:rPr>
        <w:tab/>
      </w:r>
      <w:r>
        <w:rPr>
          <w:rFonts w:ascii="Times New Roman" w:cs="Times New Roman" w:eastAsia="Times New Roman" w:hAnsi="Times New Roman"/>
          <w:sz w:val="11"/>
          <w:szCs w:val="11"/>
          <w:b w:val="1"/>
          <w:bCs w:val="1"/>
          <w:color w:val="auto"/>
        </w:rPr>
        <w:t>Terms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effect such insurances:</w:t>
      </w:r>
    </w:p>
    <w:p>
      <w:pPr>
        <w:spacing w:after="0" w:line="150" w:lineRule="exact"/>
        <w:rPr>
          <w:sz w:val="20"/>
          <w:szCs w:val="20"/>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dollars;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fire and usual marine risks and war risks, in an amount on an agreed value basis at least the greater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amount which when aggregated with the amounts for which the other Ships then subject to a Mortgage are insured for such risks is equal to:</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120 per cent. of the Loan;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Market Value of the Ships;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oil pollution liability risks, for an aggregate amount equal to the highest level of cover from time to time available under basic protection and indemnity club entry;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protection and indemnity risks, in respect of the full tonnage of its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war risks insurance, extended to cover piracy and terrorism where excluded under the fire and usual marine risks insurance;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approved terms customary in major marine insurance markets;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through Approved Brokers and with approved insurance companies and/or underwriters or, in the case of war risks and protection and indemnity risks, in approved war risks and protection and indemnity risks associations.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24.4</w:t>
      </w:r>
      <w:r>
        <w:rPr>
          <w:sz w:val="20"/>
          <w:szCs w:val="20"/>
          <w:color w:val="auto"/>
        </w:rPr>
        <w:tab/>
      </w:r>
      <w:r>
        <w:rPr>
          <w:rFonts w:ascii="Times New Roman" w:cs="Times New Roman" w:eastAsia="Times New Roman" w:hAnsi="Times New Roman"/>
          <w:sz w:val="11"/>
          <w:szCs w:val="11"/>
          <w:b w:val="1"/>
          <w:bCs w:val="1"/>
          <w:color w:val="auto"/>
        </w:rPr>
        <w:t>Further protections for the Finance Parties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addition to the terms set out in Clause 24.3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each Borrower shall procure that the obligatory insurances effected by it shall:</w:t>
      </w:r>
    </w:p>
    <w:p>
      <w:pPr>
        <w:spacing w:after="0" w:line="152" w:lineRule="exact"/>
        <w:rPr>
          <w:sz w:val="20"/>
          <w:szCs w:val="20"/>
          <w:color w:val="auto"/>
        </w:rPr>
      </w:pPr>
    </w:p>
    <w:p>
      <w:pPr>
        <w:ind w:left="428" w:hanging="428"/>
        <w:spacing w:after="0"/>
        <w:tabs>
          <w:tab w:leader="none" w:pos="428" w:val="left"/>
        </w:tabs>
        <w:numPr>
          <w:ilvl w:val="0"/>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always to paragraph (b), name that Borrower as the sole named insured unless the interest of every other named insured is limited: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obligatory insurances for hull and machinery and war risks;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provable out-of-pocket expenses that it has incurred and which form part of any recoverable claim on underwriters; and</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89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76" w:name="page477"/>
    <w:bookmarkEnd w:id="476"/>
    <w:p>
      <w:pPr>
        <w:ind w:left="1268" w:hanging="422"/>
        <w:spacing w:after="0"/>
        <w:tabs>
          <w:tab w:leader="none" w:pos="1268" w:val="left"/>
        </w:tabs>
        <w:numPr>
          <w:ilvl w:val="1"/>
          <w:numId w:val="8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third party liability claims where cover for such claims is provided by the policy (and then only in respect of discharge of any claims made against it);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0"/>
          <w:numId w:val="8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obligatory insurances for protection and indemnity risks, to any recoveries it is entitled to make by way of reimbursement following discharge of any third party liability claims made specifically against it;</w:t>
      </w:r>
    </w:p>
    <w:p>
      <w:pPr>
        <w:spacing w:after="0" w:line="111"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and every other named insured has undertaken in writing to the Security Agent (in such form as it requires) that any deductible shall be apportioned between that Borrower and every other named insured in proportion to the gross claims made or paid by each of them and that it shall do all things necessary and provide all documents, evidence and information to enable the Security Agent to collect or recover any moneys which at any time become payable in respect of the obligatory insurances and, if required by the Security Agent, that any such other named insured shall assign its rights and interest to the obligatory insurances if they are named as a co-assured party;</w:t>
      </w:r>
    </w:p>
    <w:p>
      <w:pPr>
        <w:spacing w:after="0" w:line="119" w:lineRule="exact"/>
        <w:rPr>
          <w:sz w:val="20"/>
          <w:szCs w:val="20"/>
          <w:color w:val="auto"/>
        </w:rPr>
      </w:pPr>
    </w:p>
    <w:p>
      <w:pPr>
        <w:ind w:left="428" w:hanging="428"/>
        <w:spacing w:after="0" w:line="279" w:lineRule="auto"/>
        <w:tabs>
          <w:tab w:leader="none" w:pos="428" w:val="left"/>
        </w:tabs>
        <w:numPr>
          <w:ilvl w:val="0"/>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whenever the Facility Agent requires, name (or be amended to name) the Security Agent as additional named insured for its rights and interests, warranted no operational interest and with full waiver of rights of subrogation against the Security Agent, but without the Security Agent being liable to pay (but having the right to pay) premiums, calls or other assessments in respect of such insurance;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 the Security Agent as loss payee with such directions for payment as the Facility Agent may specify;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all payments by or on behalf of the insurers under the obligatory insurances to the Security Agent shall be made without set off, counterclaim or deductions or condition whatsoever;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obligatory insurances shall be primary without right of contribution from other insurances which may be carried by the Security Agent or any other Finance Party;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that the Security Agent may make proof of loss if that Borrower fails to do so.</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24.5</w:t>
      </w:r>
      <w:r>
        <w:rPr>
          <w:sz w:val="20"/>
          <w:szCs w:val="20"/>
          <w:color w:val="auto"/>
        </w:rPr>
        <w:tab/>
      </w:r>
      <w:r>
        <w:rPr>
          <w:rFonts w:ascii="Times New Roman" w:cs="Times New Roman" w:eastAsia="Times New Roman" w:hAnsi="Times New Roman"/>
          <w:sz w:val="11"/>
          <w:szCs w:val="11"/>
          <w:b w:val="1"/>
          <w:bCs w:val="1"/>
          <w:color w:val="auto"/>
        </w:rPr>
        <w:t>Renewal of obligatory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10 days before the expiry of any obligatory insurance effected by it:</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Facility Agent of the Approved Brokers (or other insurers) and any protection and indemnity or war risks association through or with which it proposes to renew that obligatory insurance and of the proposed terms of renewal;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the Facility Agents' approval to the matters referred to in sub-paragraph (i)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at least 5 days before the expiry of any obligatory insurance, renew that obligatory insurance in accordance with the Facility Agent's approval pursuant to paragraph (a) above; and</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Approved Brokers and/or the approved war risks and protection and indemnity associations with which such a renewal is effected shall as soon as practically possible prior to the renewal notify the Facility Agent in writing of the terms and conditions of the renewal.</w:t>
      </w:r>
    </w:p>
    <w:p>
      <w:pPr>
        <w:spacing w:after="0" w:line="111" w:lineRule="exact"/>
        <w:rPr>
          <w:sz w:val="20"/>
          <w:szCs w:val="20"/>
          <w:color w:val="auto"/>
        </w:rPr>
      </w:pPr>
    </w:p>
    <w:p>
      <w:pPr>
        <w:ind w:left="5588"/>
        <w:spacing w:after="0"/>
        <w:tabs>
          <w:tab w:leader="none" w:pos="10188" w:val="left"/>
        </w:tabs>
        <w:rPr>
          <w:sz w:val="20"/>
          <w:szCs w:val="20"/>
          <w:color w:val="auto"/>
        </w:rPr>
      </w:pPr>
      <w:r>
        <w:rPr>
          <w:rFonts w:ascii="Times New Roman" w:cs="Times New Roman" w:eastAsia="Times New Roman" w:hAnsi="Times New Roman"/>
          <w:sz w:val="11"/>
          <w:szCs w:val="11"/>
          <w:color w:val="auto"/>
        </w:rPr>
        <w:t>90</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77" w:name="page478"/>
    <w:bookmarkEnd w:id="47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24.6</w:t>
      </w:r>
      <w:r>
        <w:rPr>
          <w:sz w:val="20"/>
          <w:szCs w:val="20"/>
          <w:color w:val="auto"/>
        </w:rPr>
        <w:tab/>
      </w:r>
      <w:r>
        <w:rPr>
          <w:rFonts w:ascii="Times New Roman" w:cs="Times New Roman" w:eastAsia="Times New Roman" w:hAnsi="Times New Roman"/>
          <w:sz w:val="11"/>
          <w:szCs w:val="11"/>
          <w:b w:val="1"/>
          <w:bCs w:val="1"/>
          <w:color w:val="auto"/>
        </w:rPr>
        <w:t>Copies of policies; letters of undertaking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the Approved Brokers provide the Security Agent upon its request with:</w:t>
      </w:r>
    </w:p>
    <w:p>
      <w:pPr>
        <w:spacing w:after="0" w:line="148" w:lineRule="exact"/>
        <w:rPr>
          <w:sz w:val="20"/>
          <w:szCs w:val="20"/>
          <w:color w:val="auto"/>
        </w:rPr>
      </w:pPr>
    </w:p>
    <w:p>
      <w:pPr>
        <w:ind w:left="428" w:hanging="428"/>
        <w:spacing w:after="0"/>
        <w:tabs>
          <w:tab w:leader="none" w:pos="428" w:val="left"/>
        </w:tabs>
        <w:numPr>
          <w:ilvl w:val="0"/>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 xml:space="preserve">pro forma </w:t>
      </w:r>
      <w:r>
        <w:rPr>
          <w:rFonts w:ascii="Times New Roman" w:cs="Times New Roman" w:eastAsia="Times New Roman" w:hAnsi="Times New Roman"/>
          <w:sz w:val="12"/>
          <w:szCs w:val="12"/>
          <w:color w:val="auto"/>
        </w:rPr>
        <w:t>copies of all policies relating to the obligatory insurances which they are to effect or renew; and</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letter or letters or undertaking in a form required by the Facility Agent and customary in major marine insurance markets and including undertakings by the Approved Brokers that: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have endorsed on each policy, immediately upon issue, a loss payable clause and a notice of assignment complying with the provisions of Clause 24.4 (</w:t>
      </w:r>
      <w:r>
        <w:rPr>
          <w:rFonts w:ascii="Times New Roman" w:cs="Times New Roman" w:eastAsia="Times New Roman" w:hAnsi="Times New Roman"/>
          <w:sz w:val="12"/>
          <w:szCs w:val="12"/>
          <w:i w:val="1"/>
          <w:iCs w:val="1"/>
          <w:color w:val="auto"/>
        </w:rPr>
        <w:t>Further protections for the Finance Parties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hold such policies, and the benefit of such insurances, to the order of the Security Agent in accordance with such loss payable clause;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advise the Security Agent immediately of any material change to the terms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if they have not received notice of renewal instructions from the relevant Borrower or its agents, notify the Security Agent not less than 14 days before the expiry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they receive instructions to renew the obligatory insurances, they will promptly notify the Facility Agent of the terms of the instructions;</w:t>
      </w:r>
    </w:p>
    <w:p>
      <w:pPr>
        <w:spacing w:after="0" w:line="150"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not set off against any sum recoverable in respect of a claim relating to the Ship owned by that Borrower under such obligatory insurances any premiums or other amounts due to them or any other person whether in respect of that Ship or otherwise, they waive any lien on the policies, or any sums received under them, which they might have in respect of such premiums or other amounts and they will not cancel such obligatory insurances by reason of non-payment of such premiums or other amounts;</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provide notice for any cancellation of policies within the time line standard for industry guidelines;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they will arrange for a separate policy to be issued in respect of the Ship owned by that Borrower forthwith upon being so requested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24.7</w:t>
      </w:r>
      <w:r>
        <w:rPr>
          <w:sz w:val="20"/>
          <w:szCs w:val="20"/>
          <w:color w:val="auto"/>
        </w:rPr>
        <w:tab/>
      </w:r>
      <w:r>
        <w:rPr>
          <w:rFonts w:ascii="Times New Roman" w:cs="Times New Roman" w:eastAsia="Times New Roman" w:hAnsi="Times New Roman"/>
          <w:sz w:val="11"/>
          <w:szCs w:val="11"/>
          <w:b w:val="1"/>
          <w:bCs w:val="1"/>
          <w:color w:val="auto"/>
        </w:rPr>
        <w:t>Copies of certificates of entry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any protection and indemnity and/or war risks associations in which the Ship owned by it is entered provide the Security Agent with:</w:t>
      </w:r>
    </w:p>
    <w:p>
      <w:pPr>
        <w:spacing w:after="0" w:line="150" w:lineRule="exact"/>
        <w:rPr>
          <w:sz w:val="20"/>
          <w:szCs w:val="20"/>
          <w:color w:val="auto"/>
        </w:rPr>
      </w:pPr>
    </w:p>
    <w:p>
      <w:pPr>
        <w:ind w:left="428" w:hanging="428"/>
        <w:spacing w:after="0"/>
        <w:tabs>
          <w:tab w:leader="none" w:pos="428" w:val="left"/>
        </w:tabs>
        <w:numPr>
          <w:ilvl w:val="0"/>
          <w:numId w:val="8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certified copy of the certificate of entry for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letter or letters of undertaking in such form as may be required by the Facility Agent acting on the instructions of the Majority Lenders; and</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78" w:name="page479"/>
    <w:bookmarkEnd w:id="478"/>
    <w:p>
      <w:pPr>
        <w:ind w:left="428" w:hanging="428"/>
        <w:spacing w:after="0"/>
        <w:tabs>
          <w:tab w:leader="none" w:pos="428" w:val="left"/>
        </w:tabs>
        <w:numPr>
          <w:ilvl w:val="0"/>
          <w:numId w:val="8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certified copy of each certificate of financial responsibility for pollution by oil or other Environmentally Sensitive Material issued by the relevant certifying authority in relation to that Ship.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24.8</w:t>
      </w:r>
      <w:r>
        <w:rPr>
          <w:sz w:val="20"/>
          <w:szCs w:val="20"/>
          <w:color w:val="auto"/>
        </w:rPr>
        <w:tab/>
      </w:r>
      <w:r>
        <w:rPr>
          <w:rFonts w:ascii="Times New Roman" w:cs="Times New Roman" w:eastAsia="Times New Roman" w:hAnsi="Times New Roman"/>
          <w:sz w:val="12"/>
          <w:szCs w:val="12"/>
          <w:b w:val="1"/>
          <w:bCs w:val="1"/>
          <w:color w:val="auto"/>
        </w:rPr>
        <w:t>Deposit of original policies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all policies relating to obligatory insurances effected by it are deposited with the Approved Brokers through which the insurances are effected or renewed.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24.9</w:t>
      </w:r>
      <w:r>
        <w:rPr>
          <w:sz w:val="20"/>
          <w:szCs w:val="20"/>
          <w:color w:val="auto"/>
        </w:rPr>
        <w:tab/>
      </w:r>
      <w:r>
        <w:rPr>
          <w:rFonts w:ascii="Times New Roman" w:cs="Times New Roman" w:eastAsia="Times New Roman" w:hAnsi="Times New Roman"/>
          <w:sz w:val="11"/>
          <w:szCs w:val="11"/>
          <w:b w:val="1"/>
          <w:bCs w:val="1"/>
          <w:color w:val="auto"/>
        </w:rPr>
        <w:t>Payment of premiums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Borrower shall punctually pay all premiums or other sums payable in respect of the obligatory insurances effected by it or the Security Agent, as the case may be, and produce all relevant receipts when so required by the Facility Agent or the Security Agent. The Borrowers shall indemnify the Security Agent in respect of any other insurance cover, including but not limited to cover for port risk, crew liability or any other cover required in the Security Agent's sole discretion upon a Default.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24.10</w:t>
      </w:r>
      <w:r>
        <w:rPr>
          <w:sz w:val="20"/>
          <w:szCs w:val="20"/>
          <w:color w:val="auto"/>
        </w:rPr>
        <w:tab/>
      </w:r>
      <w:r>
        <w:rPr>
          <w:rFonts w:ascii="Times New Roman" w:cs="Times New Roman" w:eastAsia="Times New Roman" w:hAnsi="Times New Roman"/>
          <w:sz w:val="11"/>
          <w:szCs w:val="11"/>
          <w:b w:val="1"/>
          <w:bCs w:val="1"/>
          <w:color w:val="auto"/>
        </w:rPr>
        <w:t>Guarantees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use its best endeavours to procure that a protection and indemnity or war risks association issues any guarantees as may be required always in accordance with their respective rules and conditions and shall further use its best endeavours to procure that such guarantees are issued as promptly as practically possible and that they remain in full force and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24.11</w:t>
      </w:r>
      <w:r>
        <w:rPr>
          <w:sz w:val="20"/>
          <w:szCs w:val="20"/>
          <w:color w:val="auto"/>
        </w:rPr>
        <w:tab/>
      </w:r>
      <w:r>
        <w:rPr>
          <w:rFonts w:ascii="Times New Roman" w:cs="Times New Roman" w:eastAsia="Times New Roman" w:hAnsi="Times New Roman"/>
          <w:sz w:val="11"/>
          <w:szCs w:val="11"/>
          <w:b w:val="1"/>
          <w:bCs w:val="1"/>
          <w:color w:val="auto"/>
        </w:rPr>
        <w:t>Compliance with terms of insurances</w:t>
      </w:r>
    </w:p>
    <w:p>
      <w:pPr>
        <w:spacing w:after="0" w:line="154" w:lineRule="exact"/>
        <w:rPr>
          <w:sz w:val="20"/>
          <w:szCs w:val="20"/>
          <w:color w:val="auto"/>
        </w:rPr>
      </w:pPr>
    </w:p>
    <w:p>
      <w:pPr>
        <w:ind w:left="428" w:right="20" w:hanging="428"/>
        <w:spacing w:after="0" w:line="279" w:lineRule="auto"/>
        <w:tabs>
          <w:tab w:leader="none" w:pos="428"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Borrower shall do or omit to do (nor permit to be done or not to be done) any act or thing which would or might render any obligatory insurance invalid, void, voidable or unenforceable or render any sum payable under an obligatory insurance repayable in whole or in part.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(a) above, each Borrower shall:</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all necessary action and comply with all requirements which may from time to time be applicable to the obligatory insurances, and (without limiting the obligation contained in sub-paragraph (iii) of paragraph (b) of Clause 24.6 (</w:t>
      </w:r>
      <w:r>
        <w:rPr>
          <w:rFonts w:ascii="Times New Roman" w:cs="Times New Roman" w:eastAsia="Times New Roman" w:hAnsi="Times New Roman"/>
          <w:sz w:val="12"/>
          <w:szCs w:val="12"/>
          <w:i w:val="1"/>
          <w:iCs w:val="1"/>
          <w:color w:val="auto"/>
        </w:rPr>
        <w:t>Copies of policies; letters of undertaking</w:t>
      </w:r>
      <w:r>
        <w:rPr>
          <w:rFonts w:ascii="Times New Roman" w:cs="Times New Roman" w:eastAsia="Times New Roman" w:hAnsi="Times New Roman"/>
          <w:sz w:val="12"/>
          <w:szCs w:val="12"/>
          <w:color w:val="auto"/>
        </w:rPr>
        <w:t>)) ensure that the obligatory insurances are not made subject to any exclusions or qualifications to which the Facility Agent has not given its prior approval;</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make any changes relating to the classification or classification society or manager or operator of the Ship owned by it approved by the underwriters of the obligatory insurances;</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make (and promptly supply copies to the Facility Agent of) all quarterly or other voyage declarations which may be required by the protection and indemnity risks association in which the Ship owned by it is entered to maintain cover for trading to the United States of America and Exclusive Economic Zone (as defined in the United States Oil Pollution Act 1990 or any other applicable legislation);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employ the Ship owned by it, nor allow it to be employed, otherwise than in conformity with the terms and conditions of the obligatory insurances, without first obtaining the consent of the insurers and complying with any requirements (as to extra premium or otherwise) which the insurers specify.</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79" w:name="page480"/>
    <w:bookmarkEnd w:id="47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24.12</w:t>
      </w:r>
      <w:r>
        <w:rPr>
          <w:sz w:val="20"/>
          <w:szCs w:val="20"/>
          <w:color w:val="auto"/>
        </w:rPr>
        <w:tab/>
      </w:r>
      <w:r>
        <w:rPr>
          <w:rFonts w:ascii="Times New Roman" w:cs="Times New Roman" w:eastAsia="Times New Roman" w:hAnsi="Times New Roman"/>
          <w:sz w:val="11"/>
          <w:szCs w:val="11"/>
          <w:b w:val="1"/>
          <w:bCs w:val="1"/>
          <w:color w:val="auto"/>
        </w:rPr>
        <w:t>Alteration to terms of insurances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make or agree to any alteration to the terms of any obligatory insurance or waive any right relating to any obligatory insurance.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24.13</w:t>
      </w:r>
      <w:r>
        <w:rPr>
          <w:sz w:val="20"/>
          <w:szCs w:val="20"/>
          <w:color w:val="auto"/>
        </w:rPr>
        <w:tab/>
      </w:r>
      <w:r>
        <w:rPr>
          <w:rFonts w:ascii="Times New Roman" w:cs="Times New Roman" w:eastAsia="Times New Roman" w:hAnsi="Times New Roman"/>
          <w:sz w:val="11"/>
          <w:szCs w:val="11"/>
          <w:b w:val="1"/>
          <w:bCs w:val="1"/>
          <w:color w:val="auto"/>
        </w:rPr>
        <w:t>Settlement of claims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8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settle, compromise or abandon any claim under any obligatory insurance for Total Loss or for a Major Casualty;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 all things necessary and provide all documents, evidence and information to enable the Security Agent to collect or recover any moneys which at any time become payable in respect of the obligatory insurances.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24.14</w:t>
      </w:r>
      <w:r>
        <w:rPr>
          <w:sz w:val="20"/>
          <w:szCs w:val="20"/>
          <w:color w:val="auto"/>
        </w:rPr>
        <w:tab/>
      </w:r>
      <w:r>
        <w:rPr>
          <w:rFonts w:ascii="Times New Roman" w:cs="Times New Roman" w:eastAsia="Times New Roman" w:hAnsi="Times New Roman"/>
          <w:sz w:val="11"/>
          <w:szCs w:val="11"/>
          <w:b w:val="1"/>
          <w:bCs w:val="1"/>
          <w:color w:val="auto"/>
        </w:rPr>
        <w:t>Provision of copies of communications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provide the Security Agent, upon the Security Agent's request, with copies of all written communications between that Borrower and:</w:t>
      </w:r>
    </w:p>
    <w:p>
      <w:pPr>
        <w:spacing w:after="0" w:line="150" w:lineRule="exact"/>
        <w:rPr>
          <w:sz w:val="20"/>
          <w:szCs w:val="20"/>
          <w:color w:val="auto"/>
        </w:rPr>
      </w:pPr>
    </w:p>
    <w:p>
      <w:pPr>
        <w:ind w:left="428" w:hanging="428"/>
        <w:spacing w:after="0"/>
        <w:tabs>
          <w:tab w:leader="none" w:pos="428" w:val="left"/>
        </w:tabs>
        <w:numPr>
          <w:ilvl w:val="0"/>
          <w:numId w:val="8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Brokers;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protection and indemnity and/or war risks associations; and</w:t>
      </w:r>
    </w:p>
    <w:p>
      <w:pPr>
        <w:spacing w:after="0" w:line="150" w:lineRule="exact"/>
        <w:rPr>
          <w:rFonts w:ascii="Times New Roman" w:cs="Times New Roman" w:eastAsia="Times New Roman" w:hAnsi="Times New Roman"/>
          <w:sz w:val="12"/>
          <w:szCs w:val="12"/>
          <w:color w:val="auto"/>
        </w:rPr>
      </w:pPr>
    </w:p>
    <w:p>
      <w:pPr>
        <w:ind w:left="428" w:right="8220" w:hanging="428"/>
        <w:spacing w:after="0" w:line="500" w:lineRule="auto"/>
        <w:tabs>
          <w:tab w:leader="none" w:pos="426" w:val="left"/>
        </w:tabs>
        <w:numPr>
          <w:ilvl w:val="0"/>
          <w:numId w:val="8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approved insurance companies and/or underwriters, which relate directly or indirectly to:</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Borrower's obligations relating to the obligatory insurances including, without limitation, all requisite declarations and payments of additional premiums or calls;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 arrangements made between that Borrower and any of the persons referred to in paragraphs (a) or (b) above relating wholly or partly to the effecting or maintenance of the obligatory insurances.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24.15</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Borrower shall provide the Facility Agent (or any persons which it may designate) upon the Facility Agent's request with any information which the Facility Agent (or any such designated person) requests for the purpose of:</w:t>
      </w:r>
    </w:p>
    <w:p>
      <w:pPr>
        <w:spacing w:after="0" w:line="111" w:lineRule="exact"/>
        <w:rPr>
          <w:sz w:val="20"/>
          <w:szCs w:val="20"/>
          <w:color w:val="auto"/>
        </w:rPr>
      </w:pPr>
    </w:p>
    <w:p>
      <w:pPr>
        <w:ind w:left="428" w:hanging="428"/>
        <w:spacing w:after="0"/>
        <w:tabs>
          <w:tab w:leader="none" w:pos="428" w:val="left"/>
        </w:tabs>
        <w:numPr>
          <w:ilvl w:val="0"/>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obtaining or preparing any report from an independent marine insurance broker as to the adequacy of the obligatory insurances effected or proposed to be effected; and/or</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effecting, maintaining or renewing any such insurances as are referred to in Clause 24.16 (</w:t>
      </w:r>
      <w:r>
        <w:rPr>
          <w:rFonts w:ascii="Times New Roman" w:cs="Times New Roman" w:eastAsia="Times New Roman" w:hAnsi="Times New Roman"/>
          <w:sz w:val="12"/>
          <w:szCs w:val="12"/>
          <w:i w:val="1"/>
          <w:iCs w:val="1"/>
          <w:color w:val="auto"/>
        </w:rPr>
        <w:t>Mortgagee's interest and additional perils insurances</w:t>
      </w:r>
      <w:r>
        <w:rPr>
          <w:rFonts w:ascii="Times New Roman" w:cs="Times New Roman" w:eastAsia="Times New Roman" w:hAnsi="Times New Roman"/>
          <w:sz w:val="12"/>
          <w:szCs w:val="12"/>
          <w:color w:val="auto"/>
        </w:rPr>
        <w:t>) or dealing with or considering any matters relating to any such insurances,</w:t>
      </w:r>
    </w:p>
    <w:p>
      <w:pPr>
        <w:spacing w:after="0" w:line="152"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80" w:name="page481"/>
    <w:bookmarkEnd w:id="480"/>
    <w:p>
      <w:pPr>
        <w:ind w:left="428"/>
        <w:spacing w:after="0" w:line="279" w:lineRule="auto"/>
        <w:rPr>
          <w:sz w:val="20"/>
          <w:szCs w:val="20"/>
          <w:color w:val="auto"/>
        </w:rPr>
      </w:pPr>
      <w:r>
        <w:rPr>
          <w:rFonts w:ascii="Times New Roman" w:cs="Times New Roman" w:eastAsia="Times New Roman" w:hAnsi="Times New Roman"/>
          <w:sz w:val="12"/>
          <w:szCs w:val="12"/>
          <w:color w:val="auto"/>
        </w:rPr>
        <w:t>and the Borrowers shall, forthwith upon demand, indemnify the Security Agent in respect of all documented fees and other documented expenses incurred by or for the account of the Security Agent in connection with any such report as is referred to in paragraph (a) above.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24.16</w:t>
      </w:r>
      <w:r>
        <w:rPr>
          <w:sz w:val="20"/>
          <w:szCs w:val="20"/>
          <w:color w:val="auto"/>
        </w:rPr>
        <w:tab/>
      </w:r>
      <w:r>
        <w:rPr>
          <w:rFonts w:ascii="Times New Roman" w:cs="Times New Roman" w:eastAsia="Times New Roman" w:hAnsi="Times New Roman"/>
          <w:sz w:val="11"/>
          <w:szCs w:val="11"/>
          <w:b w:val="1"/>
          <w:bCs w:val="1"/>
          <w:color w:val="auto"/>
        </w:rPr>
        <w:t>Mortgagee's interest and additional perils insurances</w:t>
      </w:r>
    </w:p>
    <w:p>
      <w:pPr>
        <w:spacing w:after="0" w:line="154" w:lineRule="exact"/>
        <w:rPr>
          <w:sz w:val="20"/>
          <w:szCs w:val="20"/>
          <w:color w:val="auto"/>
        </w:rPr>
      </w:pPr>
    </w:p>
    <w:p>
      <w:pPr>
        <w:ind w:left="428" w:right="20" w:hanging="428"/>
        <w:spacing w:after="0" w:line="279" w:lineRule="auto"/>
        <w:tabs>
          <w:tab w:leader="none" w:pos="428" w:val="left"/>
        </w:tabs>
        <w:numPr>
          <w:ilvl w:val="0"/>
          <w:numId w:val="8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from time to time to effect, maintain and renew a mortgagee's interest marine insurance, and a mortgagee's interest additional perils insurance in such amounts equal to not less than 120% of the Loan, on such terms, through such insurers and generally in such manner as the Security Agent acting on the instructions of the Majority Lenders may from time to time consider appropriate.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shall upon demand fully indemnify the Security Agent in respect of all premiums and other expenses which are incurred in connection with or with a view to effecting, maintaining or renewing any insurance referred to in paragraph (a) above or dealing with, or considering, any matter arising out of any such insurance.</w:t>
      </w:r>
    </w:p>
    <w:p>
      <w:pPr>
        <w:spacing w:after="0" w:line="107" w:lineRule="exact"/>
        <w:rPr>
          <w:sz w:val="20"/>
          <w:szCs w:val="20"/>
          <w:color w:val="auto"/>
        </w:rPr>
      </w:pPr>
    </w:p>
    <w:p>
      <w:pPr>
        <w:ind w:left="8" w:right="9040" w:hanging="8"/>
        <w:spacing w:after="0" w:line="550" w:lineRule="auto"/>
        <w:tabs>
          <w:tab w:leader="none" w:pos="431" w:val="left"/>
        </w:tabs>
        <w:numPr>
          <w:ilvl w:val="0"/>
          <w:numId w:val="832"/>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ANTI-BOYCOTT REGULATIONS 25.1 Anti-Boycott Regulations</w:t>
      </w: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 xml:space="preserve">The representations, undertakings and Events of Default relating to Sanctions shall not apply in favour of or for the benefit of any Lender that informs the Facility Agent that it is subject to the EU Blocking Regulation or Section 7 of the German Foreign Trade Ordinance (§ 7 </w:t>
      </w:r>
      <w:r>
        <w:rPr>
          <w:rFonts w:ascii="Times New Roman" w:cs="Times New Roman" w:eastAsia="Times New Roman" w:hAnsi="Times New Roman"/>
          <w:sz w:val="12"/>
          <w:szCs w:val="12"/>
          <w:i w:val="1"/>
          <w:iCs w:val="1"/>
          <w:color w:val="auto"/>
        </w:rPr>
        <w:t>Außenwirtschaftsverordnung</w:t>
      </w:r>
      <w:r>
        <w:rPr>
          <w:rFonts w:ascii="Times New Roman" w:cs="Times New Roman" w:eastAsia="Times New Roman" w:hAnsi="Times New Roman"/>
          <w:sz w:val="12"/>
          <w:szCs w:val="12"/>
          <w:color w:val="auto"/>
        </w:rPr>
        <w:t>) or a similar applicable anti-boycott law or regulation of any applicable jurisdiction (together with the EU Blocking Regulation and Section 7 of the of the German Foreign Trade Ordinance, and any similar successor EU law, the "</w:t>
      </w:r>
      <w:r>
        <w:rPr>
          <w:rFonts w:ascii="Times New Roman" w:cs="Times New Roman" w:eastAsia="Times New Roman" w:hAnsi="Times New Roman"/>
          <w:sz w:val="12"/>
          <w:szCs w:val="12"/>
          <w:b w:val="1"/>
          <w:bCs w:val="1"/>
          <w:color w:val="auto"/>
        </w:rPr>
        <w:t>Anti-Boycott Regulations</w:t>
      </w:r>
      <w:r>
        <w:rPr>
          <w:rFonts w:ascii="Times New Roman" w:cs="Times New Roman" w:eastAsia="Times New Roman" w:hAnsi="Times New Roman"/>
          <w:sz w:val="12"/>
          <w:szCs w:val="12"/>
          <w:color w:val="auto"/>
        </w:rPr>
        <w:t>"), to the extent that compliance with those provisions would violate some or all of the Anti-Boycott Regulations.</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25.2</w:t>
      </w:r>
      <w:r>
        <w:rPr>
          <w:sz w:val="20"/>
          <w:szCs w:val="20"/>
          <w:color w:val="auto"/>
        </w:rPr>
        <w:tab/>
      </w:r>
      <w:r>
        <w:rPr>
          <w:rFonts w:ascii="Times New Roman" w:cs="Times New Roman" w:eastAsia="Times New Roman" w:hAnsi="Times New Roman"/>
          <w:sz w:val="11"/>
          <w:szCs w:val="11"/>
          <w:b w:val="1"/>
          <w:bCs w:val="1"/>
          <w:color w:val="auto"/>
        </w:rPr>
        <w:t>Restricted Lender</w:t>
      </w:r>
    </w:p>
    <w:p>
      <w:pPr>
        <w:spacing w:after="0" w:line="154" w:lineRule="exact"/>
        <w:rPr>
          <w:sz w:val="20"/>
          <w:szCs w:val="20"/>
          <w:color w:val="auto"/>
        </w:rPr>
      </w:pPr>
    </w:p>
    <w:p>
      <w:pPr>
        <w:jc w:val="both"/>
        <w:ind w:left="428" w:hanging="428"/>
        <w:spacing w:after="0" w:line="260" w:lineRule="auto"/>
        <w:tabs>
          <w:tab w:leader="none" w:pos="428" w:val="left"/>
        </w:tabs>
        <w:numPr>
          <w:ilvl w:val="0"/>
          <w:numId w:val="8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connection with any amendment, waiver, determination or direction relating to any part of the representations, undertakings or Events of Default relating to Sanctions of which a Lender does not have the benefit because such benefit would result in a violation by the Lender of any Anti-Boycott Regulations (for the purpose of this paragraph (a), each a "</w:t>
      </w:r>
      <w:r>
        <w:rPr>
          <w:rFonts w:ascii="Times New Roman" w:cs="Times New Roman" w:eastAsia="Times New Roman" w:hAnsi="Times New Roman"/>
          <w:sz w:val="12"/>
          <w:szCs w:val="12"/>
          <w:b w:val="1"/>
          <w:bCs w:val="1"/>
          <w:color w:val="auto"/>
        </w:rPr>
        <w:t>Restricted Lender</w:t>
      </w:r>
      <w:r>
        <w:rPr>
          <w:rFonts w:ascii="Times New Roman" w:cs="Times New Roman" w:eastAsia="Times New Roman" w:hAnsi="Times New Roman"/>
          <w:sz w:val="12"/>
          <w:szCs w:val="12"/>
          <w:color w:val="auto"/>
        </w:rPr>
        <w:t>"), that Restricted Lender will, subject to paragraph (b) below, be excluded for the purpose of determining whether the consent of all Lenders or the Majority Lenders (whichever is required) has been obtained or whether the amendment, waiver, determination or direction by all the Lenders or the Majority Lenders (whichever is required) has been made or given.</w:t>
      </w:r>
    </w:p>
    <w:p>
      <w:pPr>
        <w:spacing w:after="0" w:line="122"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8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is only permitted to exclude the relevant Lender pursuant to paragraph (a), above for the purpose of determining whether the consent of all the Lenders or the Majority Lenders (whichever is required in accordance with the provisions of this Agreement) has been obtained or whether the amendment, waiver, determination or direction by all the Lenders or the Majority Lenders (whichever is required) has been made or given, if following the Facility Agent's request for such consent, amendment, waiver, determination or direction by all the Lenders or the Majority Lenders (whichever is required) the respective Lender notifies the Facility Agent that it is a Restricted Lender for such purpose.</w:t>
      </w:r>
    </w:p>
    <w:p>
      <w:pPr>
        <w:spacing w:after="0" w:line="122" w:lineRule="exact"/>
        <w:rPr>
          <w:sz w:val="20"/>
          <w:szCs w:val="20"/>
          <w:color w:val="auto"/>
        </w:rPr>
      </w:pPr>
    </w:p>
    <w:p>
      <w:pPr>
        <w:ind w:left="5588"/>
        <w:spacing w:after="0"/>
        <w:tabs>
          <w:tab w:leader="none" w:pos="10188" w:val="left"/>
        </w:tabs>
        <w:rPr>
          <w:sz w:val="20"/>
          <w:szCs w:val="20"/>
          <w:color w:val="auto"/>
        </w:rPr>
      </w:pPr>
      <w:r>
        <w:rPr>
          <w:rFonts w:ascii="Times New Roman" w:cs="Times New Roman" w:eastAsia="Times New Roman" w:hAnsi="Times New Roman"/>
          <w:sz w:val="11"/>
          <w:szCs w:val="11"/>
          <w:color w:val="auto"/>
        </w:rPr>
        <w:t>94</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81" w:name="page482"/>
    <w:bookmarkEnd w:id="481"/>
    <w:p>
      <w:pPr>
        <w:ind w:left="8" w:right="8980" w:hanging="8"/>
        <w:spacing w:after="0" w:line="502" w:lineRule="auto"/>
        <w:tabs>
          <w:tab w:leader="none" w:pos="431" w:val="left"/>
        </w:tabs>
        <w:numPr>
          <w:ilvl w:val="0"/>
          <w:numId w:val="83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GENERAL SHIP UNDERTAKINGS 26.1 General</w:t>
      </w:r>
    </w:p>
    <w:p>
      <w:pPr>
        <w:spacing w:after="0" w:line="1"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undertakings in this Clause 26 (</w:t>
      </w:r>
      <w:r>
        <w:rPr>
          <w:rFonts w:ascii="Times New Roman" w:cs="Times New Roman" w:eastAsia="Times New Roman" w:hAnsi="Times New Roman"/>
          <w:sz w:val="12"/>
          <w:szCs w:val="12"/>
          <w:i w:val="1"/>
          <w:iCs w:val="1"/>
          <w:color w:val="auto"/>
        </w:rPr>
        <w:t>General Ship Undertakings</w:t>
      </w:r>
      <w:r>
        <w:rPr>
          <w:rFonts w:ascii="Times New Roman" w:cs="Times New Roman" w:eastAsia="Times New Roman" w:hAnsi="Times New Roman"/>
          <w:sz w:val="12"/>
          <w:szCs w:val="12"/>
          <w:color w:val="auto"/>
        </w:rPr>
        <w:t>) remain in force on and from the date of this Agreement and throughout the rest of the Security Period except as the Facility Agent, acting with the authorisation of the Majority Lenders may otherwise permit (and in the case of Clauses 26.2 (</w:t>
      </w:r>
      <w:r>
        <w:rPr>
          <w:rFonts w:ascii="Times New Roman" w:cs="Times New Roman" w:eastAsia="Times New Roman" w:hAnsi="Times New Roman"/>
          <w:sz w:val="12"/>
          <w:szCs w:val="12"/>
          <w:i w:val="1"/>
          <w:iCs w:val="1"/>
          <w:color w:val="auto"/>
        </w:rPr>
        <w:t>Ship's name and registration</w:t>
      </w:r>
      <w:r>
        <w:rPr>
          <w:rFonts w:ascii="Times New Roman" w:cs="Times New Roman" w:eastAsia="Times New Roman" w:hAnsi="Times New Roman"/>
          <w:sz w:val="12"/>
          <w:szCs w:val="12"/>
          <w:color w:val="auto"/>
        </w:rPr>
        <w:t>), 26.3 (</w:t>
      </w:r>
      <w:r>
        <w:rPr>
          <w:rFonts w:ascii="Times New Roman" w:cs="Times New Roman" w:eastAsia="Times New Roman" w:hAnsi="Times New Roman"/>
          <w:sz w:val="12"/>
          <w:szCs w:val="12"/>
          <w:i w:val="1"/>
          <w:iCs w:val="1"/>
          <w:color w:val="auto"/>
        </w:rPr>
        <w:t>Repair and classification</w:t>
      </w:r>
      <w:r>
        <w:rPr>
          <w:rFonts w:ascii="Times New Roman" w:cs="Times New Roman" w:eastAsia="Times New Roman" w:hAnsi="Times New Roman"/>
          <w:sz w:val="12"/>
          <w:szCs w:val="12"/>
          <w:color w:val="auto"/>
        </w:rPr>
        <w:t>), 26.5 (</w:t>
      </w:r>
      <w:r>
        <w:rPr>
          <w:rFonts w:ascii="Times New Roman" w:cs="Times New Roman" w:eastAsia="Times New Roman" w:hAnsi="Times New Roman"/>
          <w:sz w:val="12"/>
          <w:szCs w:val="12"/>
          <w:i w:val="1"/>
          <w:iCs w:val="1"/>
          <w:color w:val="auto"/>
        </w:rPr>
        <w:t>Modifications</w:t>
      </w:r>
      <w:r>
        <w:rPr>
          <w:rFonts w:ascii="Times New Roman" w:cs="Times New Roman" w:eastAsia="Times New Roman" w:hAnsi="Times New Roman"/>
          <w:sz w:val="12"/>
          <w:szCs w:val="12"/>
          <w:color w:val="auto"/>
        </w:rPr>
        <w:t>), 26.6 (</w:t>
      </w:r>
      <w:r>
        <w:rPr>
          <w:rFonts w:ascii="Times New Roman" w:cs="Times New Roman" w:eastAsia="Times New Roman" w:hAnsi="Times New Roman"/>
          <w:sz w:val="12"/>
          <w:szCs w:val="12"/>
          <w:i w:val="1"/>
          <w:iCs w:val="1"/>
          <w:color w:val="auto"/>
        </w:rPr>
        <w:t>Removal and installation of parts</w:t>
      </w:r>
      <w:r>
        <w:rPr>
          <w:rFonts w:ascii="Times New Roman" w:cs="Times New Roman" w:eastAsia="Times New Roman" w:hAnsi="Times New Roman"/>
          <w:sz w:val="12"/>
          <w:szCs w:val="12"/>
          <w:color w:val="auto"/>
        </w:rPr>
        <w:t>) and 26.15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(other than paragraph (a) of Clause 26.15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such permission not to be unreasonably withheld).</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26.2</w:t>
      </w:r>
      <w:r>
        <w:rPr>
          <w:sz w:val="20"/>
          <w:szCs w:val="20"/>
          <w:color w:val="auto"/>
        </w:rPr>
        <w:tab/>
      </w:r>
      <w:r>
        <w:rPr>
          <w:rFonts w:ascii="Times New Roman" w:cs="Times New Roman" w:eastAsia="Times New Roman" w:hAnsi="Times New Roman"/>
          <w:sz w:val="11"/>
          <w:szCs w:val="11"/>
          <w:b w:val="1"/>
          <w:bCs w:val="1"/>
          <w:color w:val="auto"/>
        </w:rPr>
        <w:t>Ships' name and registration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in respect of the Ship owned by it:</w:t>
      </w:r>
    </w:p>
    <w:p>
      <w:pPr>
        <w:spacing w:after="0" w:line="150" w:lineRule="exact"/>
        <w:rPr>
          <w:sz w:val="20"/>
          <w:szCs w:val="20"/>
          <w:color w:val="auto"/>
        </w:rPr>
      </w:pPr>
    </w:p>
    <w:p>
      <w:pPr>
        <w:ind w:left="428" w:hanging="428"/>
        <w:spacing w:after="0"/>
        <w:tabs>
          <w:tab w:leader="none" w:pos="428" w:val="left"/>
        </w:tabs>
        <w:numPr>
          <w:ilvl w:val="0"/>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keep that Ship registered in its name under the Approved Flag from time to time at its port of registration;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do or allow to be done anything as a result of which such registration of that Ship might be suspended, cancelled or imperilled;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enter into any dual flagging arrangement in respect of that Ship;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change the name of that Ship,</w:t>
      </w:r>
    </w:p>
    <w:p>
      <w:pPr>
        <w:spacing w:after="0" w:line="146"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any change of flag of a Ship shall be subject to:</w:t>
      </w:r>
    </w:p>
    <w:p>
      <w:pPr>
        <w:spacing w:after="0" w:line="154"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Ship remaining subject to Security securing the Secured Liabilities created by a first priority or preferred ship mortgage on that Ship and, if appropriate, a first priority deed of covenant collateral to that mortgage (or equivalent first priority Security) on substantially the same terms as the Mortgage on that Ship and on such other terms and in such other form as the Facility Agent, acting with the authorisation of the Majority Lenders, shall approve or require; and</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execution of such other documentation amending and supplementing the Finance Documents as the Facility Agent, acting with the authorisation of the Majority Lenders, shall approve or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26.3</w:t>
      </w:r>
      <w:r>
        <w:rPr>
          <w:sz w:val="20"/>
          <w:szCs w:val="20"/>
          <w:color w:val="auto"/>
        </w:rPr>
        <w:tab/>
      </w:r>
      <w:r>
        <w:rPr>
          <w:rFonts w:ascii="Times New Roman" w:cs="Times New Roman" w:eastAsia="Times New Roman" w:hAnsi="Times New Roman"/>
          <w:sz w:val="11"/>
          <w:szCs w:val="11"/>
          <w:b w:val="1"/>
          <w:bCs w:val="1"/>
          <w:color w:val="auto"/>
        </w:rPr>
        <w:t>Repair and classification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keep the Ship owned by it in a good and safe condition and state of repair:</w:t>
      </w:r>
    </w:p>
    <w:p>
      <w:pPr>
        <w:spacing w:after="0" w:line="150" w:lineRule="exact"/>
        <w:rPr>
          <w:sz w:val="20"/>
          <w:szCs w:val="20"/>
          <w:color w:val="auto"/>
        </w:rPr>
      </w:pPr>
    </w:p>
    <w:p>
      <w:pPr>
        <w:ind w:left="428" w:hanging="428"/>
        <w:spacing w:after="0"/>
        <w:tabs>
          <w:tab w:leader="none" w:pos="428" w:val="left"/>
        </w:tabs>
        <w:numPr>
          <w:ilvl w:val="0"/>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consistent with first class ship ownership and management practice;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 as to maintain the Approved Classification with the highest classification for vessels of the same type, age and specification as the Ships with a first-class classification society which is a member of IACS and acceptable to the Facility Agent free of overdue recommendations and conditions; and</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so as to comply with all laws and regulations applicable to vessels such as the Ships registered at ports in the applicable Approved Flag State or to vessels trading to any jurisdiction to which any Ship may trade from time to time, including but not limited to the ISM Code and the ISPS Code.</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82" w:name="page483"/>
    <w:bookmarkEnd w:id="482"/>
    <w:p>
      <w:pPr>
        <w:jc w:val="center"/>
        <w:ind w:right="9152"/>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26.4</w:t>
      </w:r>
      <w:r>
        <w:rPr>
          <w:sz w:val="20"/>
          <w:szCs w:val="20"/>
          <w:color w:val="auto"/>
        </w:rPr>
        <w:tab/>
      </w:r>
      <w:r>
        <w:rPr>
          <w:rFonts w:ascii="Times New Roman" w:cs="Times New Roman" w:eastAsia="Times New Roman" w:hAnsi="Times New Roman"/>
          <w:sz w:val="11"/>
          <w:szCs w:val="11"/>
          <w:b w:val="1"/>
          <w:bCs w:val="1"/>
          <w:color w:val="auto"/>
        </w:rPr>
        <w:t>Classification society undertaking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undertakes:</w:t>
      </w:r>
    </w:p>
    <w:p>
      <w:pPr>
        <w:spacing w:after="0" w:line="150" w:lineRule="exact"/>
        <w:rPr>
          <w:sz w:val="20"/>
          <w:szCs w:val="20"/>
          <w:color w:val="auto"/>
        </w:rPr>
      </w:pPr>
    </w:p>
    <w:p>
      <w:pPr>
        <w:ind w:left="428" w:hanging="428"/>
        <w:spacing w:after="0" w:line="279" w:lineRule="auto"/>
        <w:tabs>
          <w:tab w:leader="none" w:pos="428" w:val="left"/>
        </w:tabs>
        <w:numPr>
          <w:ilvl w:val="0"/>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send to the Facility Agent, promptly upon its request (such request to be communicated to that Borrower on reasonable notice), certified true copies of all original class records held by the Approved Classification Society in relation to its Ship;</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notify the Facility Agent immediately in writing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Ship's Approved Classification Society is to be changed; 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becomes aware of any facts or matters which may result in or have resulted in a change, suspension, discontinuance, withdrawal or expiry of its Ship's class under the rules or terms and conditions of that Borrower's or its Ship's membership of the Approved Classification Society;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receipt of a written request from the Facility Agent:</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confirm that it is not in default of any of its contractual obligations or liabilities to the relevant Approved Classification Society and, without limiting the foregoing, that it has paid in full all fees or other charges due and payable to the relevant Approved Classification Society; or</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is in default of any of its contractual obligations or liabilities to the Approved Classification Society, to specify to the Facility Agent in reasonable detail the facts and circumstances of such default, the consequences of such default, and any remedy period agreed or allowed by the Approved Classification Society.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26.5</w:t>
      </w:r>
      <w:r>
        <w:rPr>
          <w:sz w:val="20"/>
          <w:szCs w:val="20"/>
          <w:color w:val="auto"/>
        </w:rPr>
        <w:tab/>
      </w:r>
      <w:r>
        <w:rPr>
          <w:rFonts w:ascii="Times New Roman" w:cs="Times New Roman" w:eastAsia="Times New Roman" w:hAnsi="Times New Roman"/>
          <w:sz w:val="11"/>
          <w:szCs w:val="11"/>
          <w:b w:val="1"/>
          <w:bCs w:val="1"/>
          <w:color w:val="auto"/>
        </w:rPr>
        <w:t>Modifications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No Borrower shall make any modification or repairs to, or replacement of, any Ship or equipment installed on it which would or might materially and/or adversely alter the structure, type or performance characteristics of that Ship or materially reduce its value.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26.6</w:t>
      </w:r>
      <w:r>
        <w:rPr>
          <w:sz w:val="20"/>
          <w:szCs w:val="20"/>
          <w:color w:val="auto"/>
        </w:rPr>
        <w:tab/>
      </w:r>
      <w:r>
        <w:rPr>
          <w:rFonts w:ascii="Times New Roman" w:cs="Times New Roman" w:eastAsia="Times New Roman" w:hAnsi="Times New Roman"/>
          <w:sz w:val="11"/>
          <w:szCs w:val="11"/>
          <w:b w:val="1"/>
          <w:bCs w:val="1"/>
          <w:color w:val="auto"/>
        </w:rPr>
        <w:t>Removal and installation of parts</w:t>
      </w:r>
    </w:p>
    <w:p>
      <w:pPr>
        <w:spacing w:after="0" w:line="154" w:lineRule="exact"/>
        <w:rPr>
          <w:sz w:val="20"/>
          <w:szCs w:val="20"/>
          <w:color w:val="auto"/>
        </w:rPr>
      </w:pPr>
    </w:p>
    <w:p>
      <w:pPr>
        <w:ind w:left="428" w:hanging="428"/>
        <w:spacing w:after="0"/>
        <w:tabs>
          <w:tab w:leader="none" w:pos="428" w:val="left"/>
        </w:tabs>
        <w:numPr>
          <w:ilvl w:val="0"/>
          <w:numId w:val="8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no Borrower shall remove any material part of the Ship owned by it, or any item of equipment installed on such Ship unless: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 or item so removed is forthwith replaced by a suitable part or item which is in the same condition as or better condition than the part or item removed;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part or item is free from any Security in favour of any person other than the Security Agent;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replacement part or item becomes, on installation on that Ship, the property of that Borrower and subject to the security constituted by the Mortgage on that Ship.</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483" w:name="page484"/>
    <w:bookmarkEnd w:id="483"/>
    <w:p>
      <w:pPr>
        <w:ind w:left="428" w:hanging="428"/>
        <w:spacing w:after="0"/>
        <w:tabs>
          <w:tab w:leader="none" w:pos="428" w:val="left"/>
        </w:tabs>
        <w:numPr>
          <w:ilvl w:val="0"/>
          <w:numId w:val="8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Borrower may install equipment owned by a third party if the equipment can be removed without any risk of damage to the Ship owned by that Borrower.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26.7</w:t>
      </w:r>
      <w:r>
        <w:rPr>
          <w:sz w:val="20"/>
          <w:szCs w:val="20"/>
          <w:color w:val="auto"/>
        </w:rPr>
        <w:tab/>
      </w:r>
      <w:r>
        <w:rPr>
          <w:rFonts w:ascii="Times New Roman" w:cs="Times New Roman" w:eastAsia="Times New Roman" w:hAnsi="Times New Roman"/>
          <w:sz w:val="11"/>
          <w:szCs w:val="11"/>
          <w:b w:val="1"/>
          <w:bCs w:val="1"/>
          <w:color w:val="auto"/>
        </w:rPr>
        <w:t>Surveys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Each Borrower shall submit the Ship owned by it regularly to all periodic or other surveys which may be required for classification purposes and, if so required by the Facility Agent, provide the Facility Agent, with copies of all survey reports.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26.8</w:t>
      </w:r>
      <w:r>
        <w:rPr>
          <w:sz w:val="20"/>
          <w:szCs w:val="20"/>
          <w:color w:val="auto"/>
        </w:rPr>
        <w:tab/>
      </w:r>
      <w:r>
        <w:rPr>
          <w:rFonts w:ascii="Times New Roman" w:cs="Times New Roman" w:eastAsia="Times New Roman" w:hAnsi="Times New Roman"/>
          <w:sz w:val="11"/>
          <w:szCs w:val="11"/>
          <w:b w:val="1"/>
          <w:bCs w:val="1"/>
          <w:color w:val="auto"/>
        </w:rPr>
        <w:t>Inspection</w:t>
      </w:r>
    </w:p>
    <w:p>
      <w:pPr>
        <w:spacing w:after="0" w:line="154" w:lineRule="exact"/>
        <w:rPr>
          <w:sz w:val="20"/>
          <w:szCs w:val="20"/>
          <w:color w:val="auto"/>
        </w:rPr>
      </w:pPr>
    </w:p>
    <w:p>
      <w:pPr>
        <w:jc w:val="both"/>
        <w:ind w:left="428"/>
        <w:spacing w:after="0" w:line="260" w:lineRule="auto"/>
        <w:rPr>
          <w:sz w:val="20"/>
          <w:szCs w:val="20"/>
          <w:color w:val="auto"/>
        </w:rPr>
      </w:pPr>
      <w:r>
        <w:rPr>
          <w:rFonts w:ascii="Times New Roman" w:cs="Times New Roman" w:eastAsia="Times New Roman" w:hAnsi="Times New Roman"/>
          <w:sz w:val="12"/>
          <w:szCs w:val="12"/>
          <w:color w:val="auto"/>
        </w:rPr>
        <w:t xml:space="preserve">Each Borrower shall permit the Security Agent (acting through surveyors or other persons appointed by it for that purpose) to board the Ship owned by it at all reasonable times, with prior notice reasonably in advance, without interfering with the Ship's trading schedule, to inspect its condition or to satisfy themselves about proposed or executed repairs and shall afford all proper facilities for such inspections. The costs of such inspections shall be for the account of the Borrowers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so long as no Event of Default has occurred and is continuing, the Borrowers shall only be obliged to pay any costs incurred by the Facility Agent in respect of not more than one inspection in relation to a maximum of two Ships in each calendar year (starting from the Utilisation Date).</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26.9</w:t>
      </w:r>
      <w:r>
        <w:rPr>
          <w:sz w:val="20"/>
          <w:szCs w:val="20"/>
          <w:color w:val="auto"/>
        </w:rPr>
        <w:tab/>
      </w:r>
      <w:r>
        <w:rPr>
          <w:rFonts w:ascii="Times New Roman" w:cs="Times New Roman" w:eastAsia="Times New Roman" w:hAnsi="Times New Roman"/>
          <w:sz w:val="11"/>
          <w:szCs w:val="11"/>
          <w:b w:val="1"/>
          <w:bCs w:val="1"/>
          <w:color w:val="auto"/>
        </w:rPr>
        <w:t>Prevention of and release from arrest</w:t>
      </w:r>
    </w:p>
    <w:p>
      <w:pPr>
        <w:spacing w:after="0" w:line="154" w:lineRule="exact"/>
        <w:rPr>
          <w:sz w:val="20"/>
          <w:szCs w:val="20"/>
          <w:color w:val="auto"/>
        </w:rPr>
      </w:pPr>
    </w:p>
    <w:p>
      <w:pPr>
        <w:ind w:left="428" w:hanging="428"/>
        <w:spacing w:after="0"/>
        <w:tabs>
          <w:tab w:leader="none" w:pos="428" w:val="left"/>
        </w:tabs>
        <w:numPr>
          <w:ilvl w:val="0"/>
          <w:numId w:val="8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in respect of the Ship owned by it, promptly discharge: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liabilities which give or may give rise to maritime or possessory liens on or claims enforceable against that Ship, its Earnings or its Insurances;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Taxes, dues and other amounts charged in respect of that Ship, its Earnings or its Insurances;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outgoings whatsoever in respect of that Ship, its Earnings or its Insurances.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as promptly as possible after receiving notice of the arrest of the Ship owned by it or of its detention in exercise or purported exercise of any lien or claim, take all steps necessary to procure its release by providing bail or otherwise as the circumstances may require.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26.10</w:t>
      </w:r>
      <w:r>
        <w:rPr>
          <w:sz w:val="20"/>
          <w:szCs w:val="20"/>
          <w:color w:val="auto"/>
        </w:rPr>
        <w:tab/>
      </w:r>
      <w:r>
        <w:rPr>
          <w:rFonts w:ascii="Times New Roman" w:cs="Times New Roman" w:eastAsia="Times New Roman" w:hAnsi="Times New Roman"/>
          <w:sz w:val="11"/>
          <w:szCs w:val="11"/>
          <w:b w:val="1"/>
          <w:bCs w:val="1"/>
          <w:color w:val="auto"/>
        </w:rPr>
        <w:t>Compliance with laws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w:t>
      </w:r>
    </w:p>
    <w:p>
      <w:pPr>
        <w:spacing w:after="0" w:line="150" w:lineRule="exact"/>
        <w:rPr>
          <w:sz w:val="20"/>
          <w:szCs w:val="20"/>
          <w:color w:val="auto"/>
        </w:rPr>
      </w:pPr>
    </w:p>
    <w:p>
      <w:pPr>
        <w:ind w:left="428" w:hanging="428"/>
        <w:spacing w:after="0"/>
        <w:tabs>
          <w:tab w:leader="none" w:pos="428" w:val="left"/>
        </w:tabs>
        <w:numPr>
          <w:ilvl w:val="0"/>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or procure compliance with all laws or regulations: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to its business generally;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Sanctions;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relating to the Ship owned by it, its ownership, employment, operation, management and registration,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including, but not limited to, the ISM Code, the ISPS Code, all Environmental Laws, all Sanctions and the laws of the Approved Flag;</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84" w:name="page485"/>
    <w:bookmarkEnd w:id="484"/>
    <w:p>
      <w:pPr>
        <w:ind w:left="428" w:hanging="428"/>
        <w:spacing w:after="0"/>
        <w:tabs>
          <w:tab w:leader="none" w:pos="428" w:val="left"/>
        </w:tabs>
        <w:numPr>
          <w:ilvl w:val="0"/>
          <w:numId w:val="8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comply with and do all that is necessary to maintain in full force and effect any Environmental Approvals;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(a) above, not employ the Ship owned by it nor allow its employment, operation or management in any manner contrary to any law or regulation including but not limited to the ISM Code, the ISPS Code, all Environmental Laws and Sanctions.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26.11</w:t>
      </w:r>
      <w:r>
        <w:rPr>
          <w:sz w:val="20"/>
          <w:szCs w:val="20"/>
          <w:color w:val="auto"/>
        </w:rPr>
        <w:tab/>
      </w:r>
      <w:r>
        <w:rPr>
          <w:rFonts w:ascii="Times New Roman" w:cs="Times New Roman" w:eastAsia="Times New Roman" w:hAnsi="Times New Roman"/>
          <w:sz w:val="11"/>
          <w:szCs w:val="11"/>
          <w:b w:val="1"/>
          <w:bCs w:val="1"/>
          <w:color w:val="auto"/>
        </w:rPr>
        <w:t>ISPS Code</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limiting paragraph (a) of Clause 26.10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each Borrower shall:</w:t>
      </w:r>
    </w:p>
    <w:p>
      <w:pPr>
        <w:spacing w:after="0" w:line="152" w:lineRule="exact"/>
        <w:rPr>
          <w:sz w:val="20"/>
          <w:szCs w:val="20"/>
          <w:color w:val="auto"/>
        </w:rPr>
      </w:pPr>
    </w:p>
    <w:p>
      <w:pPr>
        <w:ind w:left="428" w:hanging="428"/>
        <w:spacing w:after="0"/>
        <w:tabs>
          <w:tab w:leader="none" w:pos="428" w:val="left"/>
        </w:tabs>
        <w:numPr>
          <w:ilvl w:val="0"/>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procure that the Ship owned by it and the company responsible for that Ship's compliance with the ISPS Code comply with the ISPS Code;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 an ISSC for that Ship;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the Facility Agent immediately in writing of any actual or threatened withdrawal, suspension, cancellation or modification of the ISSC.</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26.12</w:t>
      </w:r>
      <w:r>
        <w:rPr>
          <w:sz w:val="20"/>
          <w:szCs w:val="20"/>
          <w:color w:val="auto"/>
        </w:rPr>
        <w:tab/>
      </w:r>
      <w:r>
        <w:rPr>
          <w:rFonts w:ascii="Times New Roman" w:cs="Times New Roman" w:eastAsia="Times New Roman" w:hAnsi="Times New Roman"/>
          <w:sz w:val="11"/>
          <w:szCs w:val="11"/>
          <w:b w:val="1"/>
          <w:bCs w:val="1"/>
          <w:color w:val="auto"/>
        </w:rPr>
        <w:t>Trading in war zones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1"/>
          <w:szCs w:val="11"/>
          <w:color w:val="auto"/>
        </w:rPr>
        <w:t>In the event of hostilities in any part of the world (whether war is declared or not), no Borrower shall cause or permit the Ship owned by it to enter or trade to any zone which is declared a war zone by any government or by that</w:t>
      </w:r>
    </w:p>
    <w:p>
      <w:pPr>
        <w:spacing w:after="0" w:line="28"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Ship's war risks insurers unless:</w:t>
      </w:r>
    </w:p>
    <w:p>
      <w:pPr>
        <w:spacing w:after="0" w:line="139" w:lineRule="exact"/>
        <w:rPr>
          <w:sz w:val="20"/>
          <w:szCs w:val="20"/>
          <w:color w:val="auto"/>
        </w:rPr>
      </w:pPr>
    </w:p>
    <w:p>
      <w:pPr>
        <w:ind w:left="428" w:hanging="428"/>
        <w:spacing w:after="0"/>
        <w:tabs>
          <w:tab w:leader="none" w:pos="428" w:val="left"/>
        </w:tabs>
        <w:numPr>
          <w:ilvl w:val="0"/>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prior written consent of the underwriters of that Ship has been given;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Borrower has (at its expense) effected any special, additional or modified insurance cover (to the extent not covered by that Ship's war risks insurances) which the underwriters of that Ship may require.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26.13</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21.6 (</w:t>
      </w:r>
      <w:r>
        <w:rPr>
          <w:rFonts w:ascii="Times New Roman" w:cs="Times New Roman" w:eastAsia="Times New Roman" w:hAnsi="Times New Roman"/>
          <w:sz w:val="12"/>
          <w:szCs w:val="12"/>
          <w:i w:val="1"/>
          <w:iCs w:val="1"/>
          <w:color w:val="auto"/>
        </w:rPr>
        <w:t>Information: miscellaneous</w:t>
      </w:r>
      <w:r>
        <w:rPr>
          <w:rFonts w:ascii="Times New Roman" w:cs="Times New Roman" w:eastAsia="Times New Roman" w:hAnsi="Times New Roman"/>
          <w:sz w:val="12"/>
          <w:szCs w:val="12"/>
          <w:color w:val="auto"/>
        </w:rPr>
        <w:t>) each Borrower shall in respect of the Ship owned by it, promptly provide the Facility Agent with any information which it requests regarding:</w:t>
      </w:r>
    </w:p>
    <w:p>
      <w:pPr>
        <w:spacing w:after="0" w:line="152" w:lineRule="exact"/>
        <w:rPr>
          <w:sz w:val="20"/>
          <w:szCs w:val="20"/>
          <w:color w:val="auto"/>
        </w:rPr>
      </w:pPr>
    </w:p>
    <w:p>
      <w:pPr>
        <w:ind w:left="428" w:hanging="428"/>
        <w:spacing w:after="0"/>
        <w:tabs>
          <w:tab w:leader="none" w:pos="428" w:val="left"/>
        </w:tabs>
        <w:numPr>
          <w:ilvl w:val="0"/>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Ship, its employment, position and engagements;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Earnings and payments and amounts due to its master and crew;</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expenditure incurred, or likely to be incurred, in connection with the operation, maintenance or repair of that Ship and any payments made by it in respect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towages and salvages;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compliance, the Approved Manager's compliance and the compliance of that Ship with the ISM Code and the ISPS Code,</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and, upon the Facility Agent's request, promptly provide copies of any current Charter relating to that Ship, of any current guarantee of any such Charter, the Ship's Safety Management Certificate and any relevant Document of Compliance.</w:t>
      </w:r>
    </w:p>
    <w:p>
      <w:pPr>
        <w:spacing w:after="0" w:line="111"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85" w:name="page486"/>
    <w:bookmarkEnd w:id="48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26.14</w:t>
        <w:tab/>
        <w:t>Notification of certain events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in respect of the Ship owned by it, as soon as practically possible (and in respect of sub-paragraphs (a), (c) and (e) below no later than ten Business Days) notify the Facility Agent by letter or email, of:</w:t>
      </w:r>
    </w:p>
    <w:p>
      <w:pPr>
        <w:spacing w:after="0" w:line="150" w:lineRule="exact"/>
        <w:rPr>
          <w:sz w:val="20"/>
          <w:szCs w:val="20"/>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casualty to that Ship which is a Major Casualty;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occurrence as a result of which that Ship has become or is, by the passing of time or otherwise, likely to become a Total Loss;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 of that Ship for hire;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overdue requirement or recommendation made in relation to that Ship by any insurer or classification society or by any competent authority;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arrest or detention of that Ship or any exercise or purported exercise of any lien on that Ship or the Earnings;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intended dry docking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deactivation or lay up of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Environmental Claim made against that Borrower or in connection with that Ship, or any Environmental Incident;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claim for breach of the ISM Code or the ISPS Code being made against that Borrower, an Approved Manager or otherwise in connection with that Ship;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other matter, event or incident, actual or threatened, the effect of which will or could lead to the ISM Code or the ISPS Code not being complied with,</w:t>
      </w:r>
    </w:p>
    <w:p>
      <w:pPr>
        <w:spacing w:after="0" w:line="150" w:lineRule="exact"/>
        <w:rPr>
          <w:rFonts w:ascii="Times New Roman" w:cs="Times New Roman" w:eastAsia="Times New Roman" w:hAnsi="Times New Roman"/>
          <w:sz w:val="12"/>
          <w:szCs w:val="12"/>
          <w:color w:val="auto"/>
        </w:rPr>
      </w:pPr>
    </w:p>
    <w:p>
      <w:pPr>
        <w:ind w:left="428" w:right="20"/>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each Borrower shall keep the Facility Agent advised in writing on a regular basis and in such detail as the Facility Agent shall require as to that Borrower's, any such Approved Manager's or any other person's response to any of those events or matters.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26.15</w:t>
      </w:r>
      <w:r>
        <w:rPr>
          <w:sz w:val="20"/>
          <w:szCs w:val="20"/>
          <w:color w:val="auto"/>
        </w:rPr>
        <w:tab/>
      </w:r>
      <w:r>
        <w:rPr>
          <w:rFonts w:ascii="Times New Roman" w:cs="Times New Roman" w:eastAsia="Times New Roman" w:hAnsi="Times New Roman"/>
          <w:sz w:val="11"/>
          <w:szCs w:val="11"/>
          <w:b w:val="1"/>
          <w:bCs w:val="1"/>
          <w:color w:val="auto"/>
        </w:rPr>
        <w:t>Restrictions on chartering, appointment of managers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in relation to the Ship owned by it:</w:t>
      </w:r>
    </w:p>
    <w:p>
      <w:pPr>
        <w:spacing w:after="0" w:line="150" w:lineRule="exact"/>
        <w:rPr>
          <w:sz w:val="20"/>
          <w:szCs w:val="20"/>
          <w:color w:val="auto"/>
        </w:rPr>
      </w:pPr>
    </w:p>
    <w:p>
      <w:pPr>
        <w:ind w:left="428" w:hanging="428"/>
        <w:spacing w:after="0"/>
        <w:tabs>
          <w:tab w:leader="none" w:pos="428"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let that Ship on demise or bareboat charter for any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time, voyage or consecutive voyage charter in respect of that Ship other than a Permitted Charter;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materially amend, supplement or terminate a Management Agreement;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 a manager of that Ship other than the Approved Commercial Manager and the Approved Technical Manager or agree to any alteration to the terms of an Approved Manager's appointment;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 activate or layup that Ship; or</w:t>
      </w:r>
    </w:p>
    <w:p>
      <w:pPr>
        <w:spacing w:after="0" w:line="150" w:lineRule="exact"/>
        <w:rPr>
          <w:sz w:val="20"/>
          <w:szCs w:val="20"/>
          <w:color w:val="auto"/>
        </w:rPr>
      </w:pPr>
    </w:p>
    <w:p>
      <w:pPr>
        <w:jc w:val="both"/>
        <w:ind w:left="5588"/>
        <w:spacing w:after="0"/>
        <w:tabs>
          <w:tab w:leader="none" w:pos="10188" w:val="left"/>
        </w:tabs>
        <w:rPr>
          <w:sz w:val="20"/>
          <w:szCs w:val="20"/>
          <w:color w:val="auto"/>
        </w:rPr>
      </w:pPr>
      <w:r>
        <w:rPr>
          <w:rFonts w:ascii="Times New Roman" w:cs="Times New Roman" w:eastAsia="Times New Roman" w:hAnsi="Times New Roman"/>
          <w:sz w:val="12"/>
          <w:szCs w:val="12"/>
          <w:color w:val="auto"/>
        </w:rPr>
        <w:t>99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86" w:name="page487"/>
    <w:bookmarkEnd w:id="486"/>
    <w:p>
      <w:pPr>
        <w:ind w:left="428" w:hanging="428"/>
        <w:spacing w:after="0" w:line="279" w:lineRule="auto"/>
        <w:tabs>
          <w:tab w:leader="none" w:pos="428" w:val="left"/>
        </w:tabs>
        <w:numPr>
          <w:ilvl w:val="0"/>
          <w:numId w:val="8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put that Ship into the possession of any person for the purpose of work being done upon it in an amount exceeding or likely to exceed $1,500,000 (or the equivalent in any other currency) unless that person has first given to the Security Agent and in terms satisfactory to it a written undertaking not to exercise any lien on that Ship or its Earnings for the cost of such work or for any other reason.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26.16</w:t>
      </w:r>
      <w:r>
        <w:rPr>
          <w:sz w:val="20"/>
          <w:szCs w:val="20"/>
          <w:color w:val="auto"/>
        </w:rPr>
        <w:tab/>
      </w:r>
      <w:r>
        <w:rPr>
          <w:rFonts w:ascii="Times New Roman" w:cs="Times New Roman" w:eastAsia="Times New Roman" w:hAnsi="Times New Roman"/>
          <w:sz w:val="11"/>
          <w:szCs w:val="11"/>
          <w:b w:val="1"/>
          <w:bCs w:val="1"/>
          <w:color w:val="auto"/>
        </w:rPr>
        <w:t>Notice of Mortgage</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Borrower shall keep the relevant Mortgage registered against the Ship owned by it as a valid first preferred mortgage or, as the case may be, priority mortgage, and (if so required by any law or regulation of a Relevant Jurisdiction or the state of the Approved Flag of that Ship) carry on board that Ship a certified copy of the relevant Mortgage and place and maintain in a conspicuous place in the navigation room and the master's cabin of that Ship a framed printed notice stating that that Ship is mortgaged by that Borrower to the Security Agent.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26.17</w:t>
      </w:r>
      <w:r>
        <w:rPr>
          <w:sz w:val="20"/>
          <w:szCs w:val="20"/>
          <w:color w:val="auto"/>
        </w:rPr>
        <w:tab/>
      </w:r>
      <w:r>
        <w:rPr>
          <w:rFonts w:ascii="Times New Roman" w:cs="Times New Roman" w:eastAsia="Times New Roman" w:hAnsi="Times New Roman"/>
          <w:sz w:val="11"/>
          <w:szCs w:val="11"/>
          <w:b w:val="1"/>
          <w:bCs w:val="1"/>
          <w:color w:val="auto"/>
        </w:rPr>
        <w:t>Sustainable and socially responsible dismantling and recycling of Ship</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If a Ship is sold for scrapping, the Borrower owning that Ship shall ensure that that Ship is sold on the basis of a memorandum of agreement that contains language that ensures that that Ship will be dismantled and recycled in accordance with the Hong Kong Convention and/or the EU Ship Recycling Regulation, to the extent the EU Ship Recycling Regulation is applicable to the Ship and/or the relevant Borrower.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26.18</w:t>
      </w:r>
      <w:r>
        <w:rPr>
          <w:sz w:val="20"/>
          <w:szCs w:val="20"/>
          <w:color w:val="auto"/>
        </w:rPr>
        <w:tab/>
      </w:r>
      <w:r>
        <w:rPr>
          <w:rFonts w:ascii="Times New Roman" w:cs="Times New Roman" w:eastAsia="Times New Roman" w:hAnsi="Times New Roman"/>
          <w:sz w:val="11"/>
          <w:szCs w:val="11"/>
          <w:b w:val="1"/>
          <w:bCs w:val="1"/>
          <w:color w:val="auto"/>
        </w:rPr>
        <w:t>Charterparty Assignment</w:t>
      </w:r>
    </w:p>
    <w:p>
      <w:pPr>
        <w:spacing w:after="0" w:line="154" w:lineRule="exact"/>
        <w:rPr>
          <w:sz w:val="20"/>
          <w:szCs w:val="20"/>
          <w:color w:val="auto"/>
        </w:rPr>
      </w:pPr>
    </w:p>
    <w:p>
      <w:pPr>
        <w:jc w:val="both"/>
        <w:ind w:left="428" w:right="20"/>
        <w:spacing w:after="0" w:line="279" w:lineRule="auto"/>
        <w:rPr>
          <w:sz w:val="20"/>
          <w:szCs w:val="20"/>
          <w:color w:val="auto"/>
        </w:rPr>
      </w:pPr>
      <w:r>
        <w:rPr>
          <w:rFonts w:ascii="Times New Roman" w:cs="Times New Roman" w:eastAsia="Times New Roman" w:hAnsi="Times New Roman"/>
          <w:sz w:val="12"/>
          <w:szCs w:val="12"/>
          <w:color w:val="auto"/>
        </w:rPr>
        <w:t>If a Borrower enters into any Assignable Charter (other than an Initial Charter) and subject to obtaining the prior consent of the Facility Agent in accordance with paragraph (a) or, as the case may be, paragraph (b) Clause 26.15 (</w:t>
      </w:r>
      <w:r>
        <w:rPr>
          <w:rFonts w:ascii="Times New Roman" w:cs="Times New Roman" w:eastAsia="Times New Roman" w:hAnsi="Times New Roman"/>
          <w:sz w:val="12"/>
          <w:szCs w:val="12"/>
          <w:i w:val="1"/>
          <w:iCs w:val="1"/>
          <w:color w:val="auto"/>
        </w:rPr>
        <w:t>Restrictions on chartering, appointment of managers etc.</w:t>
      </w:r>
      <w:r>
        <w:rPr>
          <w:rFonts w:ascii="Times New Roman" w:cs="Times New Roman" w:eastAsia="Times New Roman" w:hAnsi="Times New Roman"/>
          <w:sz w:val="12"/>
          <w:szCs w:val="12"/>
          <w:color w:val="auto"/>
        </w:rPr>
        <w:t>), that Borrower shall promptly after the date of entry into such Assignable Charter:</w:t>
      </w:r>
    </w:p>
    <w:p>
      <w:pPr>
        <w:spacing w:after="0" w:line="111" w:lineRule="exact"/>
        <w:rPr>
          <w:sz w:val="20"/>
          <w:szCs w:val="20"/>
          <w:color w:val="auto"/>
        </w:rPr>
      </w:pPr>
    </w:p>
    <w:p>
      <w:pPr>
        <w:ind w:left="428" w:hanging="428"/>
        <w:spacing w:after="0"/>
        <w:tabs>
          <w:tab w:leader="none" w:pos="428" w:val="left"/>
        </w:tabs>
        <w:numPr>
          <w:ilvl w:val="0"/>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 the Facility Agent with a certified true copy of such Assignable Charter (or, alternatively if a copy is not then available, a copy of a binding and unconditional recapitulation of charterparty terms);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in respect of a demise or bareboat charter, execute in favour of the Security Agent a Charterparty Assignment in respect of that Assignable Charter (such Charterparty Assignment to be notified to the relevant charterer and any charter guarantor and use its best endeavours to procure that an executed acknowledgment of such notice from the relevant charterer and charter guarantor is obtained);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 demise charter or bareboat charter, execute and procure that the charterer executes in favour of the Security Agent a tripartite assignment in such form and substance acceptable to the Lenders;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deliver to the Facility Agent such other documents as it may reasonably require (including, without limitation, documents equivalent to those referred to at paragraphs 1.5 and 6.1 of Part A of Schedule 2 (Conditions Precedent) in respect of such Charterparty Assignment or, as the case may be, such tripartite assignment).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26.19</w:t>
      </w:r>
      <w:r>
        <w:rPr>
          <w:sz w:val="20"/>
          <w:szCs w:val="20"/>
          <w:color w:val="auto"/>
        </w:rPr>
        <w:tab/>
      </w:r>
      <w:r>
        <w:rPr>
          <w:rFonts w:ascii="Times New Roman" w:cs="Times New Roman" w:eastAsia="Times New Roman" w:hAnsi="Times New Roman"/>
          <w:sz w:val="11"/>
          <w:szCs w:val="11"/>
          <w:b w:val="1"/>
          <w:bCs w:val="1"/>
          <w:color w:val="auto"/>
        </w:rPr>
        <w:t>Sharing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 Borrower shall enter into any agreement or arrangement for the sharing of any Earnings other than for the purposes of this Agreement.</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487" w:name="page488"/>
    <w:bookmarkEnd w:id="48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26.20</w:t>
      </w:r>
      <w:r>
        <w:rPr>
          <w:sz w:val="20"/>
          <w:szCs w:val="20"/>
          <w:color w:val="auto"/>
        </w:rPr>
        <w:tab/>
      </w:r>
      <w:r>
        <w:rPr>
          <w:rFonts w:ascii="Times New Roman" w:cs="Times New Roman" w:eastAsia="Times New Roman" w:hAnsi="Times New Roman"/>
          <w:sz w:val="11"/>
          <w:szCs w:val="11"/>
          <w:b w:val="1"/>
          <w:bCs w:val="1"/>
          <w:color w:val="auto"/>
        </w:rPr>
        <w:t>Inventory of Hazardous Materials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maintain an Inventory of Hazardous Materials in respect of the Ship owned by it (or any applicable equivalent document required by applicable law).</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26.21</w:t>
      </w:r>
      <w:r>
        <w:rPr>
          <w:sz w:val="20"/>
          <w:szCs w:val="20"/>
          <w:color w:val="auto"/>
        </w:rPr>
        <w:tab/>
      </w:r>
      <w:r>
        <w:rPr>
          <w:rFonts w:ascii="Times New Roman" w:cs="Times New Roman" w:eastAsia="Times New Roman" w:hAnsi="Times New Roman"/>
          <w:sz w:val="11"/>
          <w:szCs w:val="11"/>
          <w:b w:val="1"/>
          <w:bCs w:val="1"/>
          <w:color w:val="auto"/>
        </w:rPr>
        <w:t>Notification of compliance</w:t>
      </w:r>
    </w:p>
    <w:p>
      <w:pPr>
        <w:spacing w:after="0" w:line="152" w:lineRule="exact"/>
        <w:rPr>
          <w:sz w:val="20"/>
          <w:szCs w:val="20"/>
          <w:color w:val="auto"/>
        </w:rPr>
      </w:pPr>
    </w:p>
    <w:p>
      <w:pPr>
        <w:jc w:val="both"/>
        <w:ind w:left="428" w:right="20"/>
        <w:spacing w:after="0" w:line="283" w:lineRule="auto"/>
        <w:rPr>
          <w:sz w:val="20"/>
          <w:szCs w:val="20"/>
          <w:color w:val="auto"/>
        </w:rPr>
      </w:pPr>
      <w:r>
        <w:rPr>
          <w:rFonts w:ascii="Times New Roman" w:cs="Times New Roman" w:eastAsia="Times New Roman" w:hAnsi="Times New Roman"/>
          <w:sz w:val="12"/>
          <w:szCs w:val="12"/>
          <w:color w:val="auto"/>
        </w:rPr>
        <w:t>Each Borrower shall promptly provide the Facility Agent from time to time with evidence (in such form as the Facility Agent may reasonably require) that it is complying with this Clause 26 (</w:t>
      </w:r>
      <w:r>
        <w:rPr>
          <w:rFonts w:ascii="Times New Roman" w:cs="Times New Roman" w:eastAsia="Times New Roman" w:hAnsi="Times New Roman"/>
          <w:sz w:val="12"/>
          <w:szCs w:val="12"/>
          <w:i w:val="1"/>
          <w:iCs w:val="1"/>
          <w:color w:val="auto"/>
        </w:rPr>
        <w:t>General Ship Undertakings</w:t>
      </w:r>
      <w:r>
        <w:rPr>
          <w:rFonts w:ascii="Times New Roman" w:cs="Times New Roman" w:eastAsia="Times New Roman" w:hAnsi="Times New Roman"/>
          <w:sz w:val="12"/>
          <w:szCs w:val="12"/>
          <w:color w:val="auto"/>
        </w:rPr>
        <w:t>) at the times and in the manner provided in this Agreement.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26.22</w:t>
        <w:tab/>
        <w:t>Fuel Oil Consumption Data</w:t>
      </w:r>
    </w:p>
    <w:p>
      <w:pPr>
        <w:spacing w:after="0" w:line="154"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2"/>
          <w:szCs w:val="12"/>
          <w:color w:val="auto"/>
        </w:rPr>
        <w:t>Each Borrower shall, upon the request of any Lender and at the cost of the Borrower, on or before 31st July in each calendar year, supply or procure the supply to the Facility Agent of all information necessary in order for any Lender to comply with its obligations under the Poseidon Principles in respect of the preceding year, including, without limitation, all ship fuel oil consumption data required to be collected and reported in accordance with Regulation 22A of Annex VI and any Statement of Compliance, in each case relating to its Ship for the preceding calendar year. For the avoidance of doubt, such information shall be confidential, but each Borrower acknowledges that, in accordance with the Poseidon Principles, such information will form part of the information published regarding the relevant Lender's portfolio climate alignment in a manner which will preserve the anonymity of the information disclosed by the Borrowers.</w:t>
      </w:r>
    </w:p>
    <w:p>
      <w:pPr>
        <w:spacing w:after="0" w:line="12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For the purposes of this Clause 26.22 (</w:t>
      </w:r>
      <w:r>
        <w:rPr>
          <w:rFonts w:ascii="Times New Roman" w:cs="Times New Roman" w:eastAsia="Times New Roman" w:hAnsi="Times New Roman"/>
          <w:sz w:val="12"/>
          <w:szCs w:val="12"/>
          <w:i w:val="1"/>
          <w:iCs w:val="1"/>
          <w:color w:val="auto"/>
        </w:rPr>
        <w:t>Fuel Oil Consumption Data</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Annex VI</w:t>
      </w:r>
      <w:r>
        <w:rPr>
          <w:rFonts w:ascii="Times New Roman" w:cs="Times New Roman" w:eastAsia="Times New Roman" w:hAnsi="Times New Roman"/>
          <w:sz w:val="12"/>
          <w:szCs w:val="12"/>
          <w:color w:val="auto"/>
        </w:rPr>
        <w:t>" means Annex VI of the Protocol of 1997 (as subsequently amended from time to time) to amend the International Convention for the Prevention of Pollution from Ships 1973 ("MARPOL"), as modified by the Protocol of 1978 relating thereto;</w:t>
      </w:r>
    </w:p>
    <w:p>
      <w:pPr>
        <w:spacing w:after="0" w:line="103" w:lineRule="exact"/>
        <w:rPr>
          <w:sz w:val="20"/>
          <w:szCs w:val="20"/>
          <w:color w:val="auto"/>
        </w:rPr>
      </w:pPr>
    </w:p>
    <w:p>
      <w:pPr>
        <w:jc w:val="both"/>
        <w:ind w:left="428"/>
        <w:spacing w:after="0" w:line="286"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Poseidon Principles</w:t>
      </w:r>
      <w:r>
        <w:rPr>
          <w:rFonts w:ascii="Times New Roman" w:cs="Times New Roman" w:eastAsia="Times New Roman" w:hAnsi="Times New Roman"/>
          <w:sz w:val="12"/>
          <w:szCs w:val="12"/>
          <w:color w:val="auto"/>
        </w:rPr>
        <w:t>" means the financial industry framework for assessing and disclosing the climate alignment of ship finance portfolios published in June 2019 as the same may be amended or replaced from time to time; and</w:t>
      </w:r>
    </w:p>
    <w:p>
      <w:pPr>
        <w:spacing w:after="0" w:line="103"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Statement of Compliance</w:t>
      </w:r>
      <w:r>
        <w:rPr>
          <w:rFonts w:ascii="Times New Roman" w:cs="Times New Roman" w:eastAsia="Times New Roman" w:hAnsi="Times New Roman"/>
          <w:sz w:val="12"/>
          <w:szCs w:val="12"/>
          <w:color w:val="auto"/>
        </w:rPr>
        <w:t>" means a Statement of Compliance related to fuel oil consumption pursuant to regulations 6.6 and 6.7 of Annex VI.</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w:t>
      </w:r>
      <w:r>
        <w:rPr>
          <w:sz w:val="20"/>
          <w:szCs w:val="20"/>
          <w:color w:val="auto"/>
        </w:rPr>
        <w:tab/>
      </w:r>
      <w:r>
        <w:rPr>
          <w:rFonts w:ascii="Times New Roman" w:cs="Times New Roman" w:eastAsia="Times New Roman" w:hAnsi="Times New Roman"/>
          <w:sz w:val="12"/>
          <w:szCs w:val="12"/>
          <w:b w:val="1"/>
          <w:bCs w:val="1"/>
          <w:color w:val="auto"/>
        </w:rPr>
        <w:t>SECURITY COVER</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27.1</w:t>
      </w:r>
      <w:r>
        <w:rPr>
          <w:sz w:val="20"/>
          <w:szCs w:val="20"/>
          <w:color w:val="auto"/>
        </w:rPr>
        <w:tab/>
      </w:r>
      <w:r>
        <w:rPr>
          <w:rFonts w:ascii="Times New Roman" w:cs="Times New Roman" w:eastAsia="Times New Roman" w:hAnsi="Times New Roman"/>
          <w:sz w:val="11"/>
          <w:szCs w:val="11"/>
          <w:b w:val="1"/>
          <w:bCs w:val="1"/>
          <w:color w:val="auto"/>
        </w:rPr>
        <w:t>Minimum required security cover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applies if the Facility Agent notifies the Borrowers that the Security Cover Ratio is below 130 per cent. of the Loan (the "</w:t>
      </w:r>
      <w:r>
        <w:rPr>
          <w:rFonts w:ascii="Times New Roman" w:cs="Times New Roman" w:eastAsia="Times New Roman" w:hAnsi="Times New Roman"/>
          <w:sz w:val="12"/>
          <w:szCs w:val="12"/>
          <w:b w:val="1"/>
          <w:bCs w:val="1"/>
          <w:color w:val="auto"/>
        </w:rPr>
        <w:t>Relevant Percentage</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27.2</w:t>
      </w:r>
      <w:r>
        <w:rPr>
          <w:sz w:val="20"/>
          <w:szCs w:val="20"/>
          <w:color w:val="auto"/>
        </w:rPr>
        <w:tab/>
      </w:r>
      <w:r>
        <w:rPr>
          <w:rFonts w:ascii="Times New Roman" w:cs="Times New Roman" w:eastAsia="Times New Roman" w:hAnsi="Times New Roman"/>
          <w:sz w:val="11"/>
          <w:szCs w:val="11"/>
          <w:b w:val="1"/>
          <w:bCs w:val="1"/>
          <w:color w:val="auto"/>
        </w:rPr>
        <w:t>Provision of additional security; prepayment</w:t>
      </w:r>
    </w:p>
    <w:p>
      <w:pPr>
        <w:spacing w:after="0" w:line="150" w:lineRule="exact"/>
        <w:rPr>
          <w:sz w:val="20"/>
          <w:szCs w:val="20"/>
          <w:color w:val="auto"/>
        </w:rPr>
      </w:pPr>
    </w:p>
    <w:p>
      <w:pPr>
        <w:ind w:left="428" w:hanging="428"/>
        <w:spacing w:after="0" w:line="286" w:lineRule="auto"/>
        <w:tabs>
          <w:tab w:leader="none" w:pos="428" w:val="left"/>
        </w:tabs>
        <w:numPr>
          <w:ilvl w:val="0"/>
          <w:numId w:val="8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serves a notice on the Borrowers under Clause 27.1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 the Borrowers shall, on or before the date falling 30 days after the date (the "</w:t>
      </w:r>
      <w:r>
        <w:rPr>
          <w:rFonts w:ascii="Times New Roman" w:cs="Times New Roman" w:eastAsia="Times New Roman" w:hAnsi="Times New Roman"/>
          <w:sz w:val="12"/>
          <w:szCs w:val="12"/>
          <w:b w:val="1"/>
          <w:bCs w:val="1"/>
          <w:color w:val="auto"/>
        </w:rPr>
        <w:t>Prepayment Date</w:t>
      </w:r>
      <w:r>
        <w:rPr>
          <w:rFonts w:ascii="Times New Roman" w:cs="Times New Roman" w:eastAsia="Times New Roman" w:hAnsi="Times New Roman"/>
          <w:sz w:val="12"/>
          <w:szCs w:val="12"/>
          <w:color w:val="auto"/>
        </w:rPr>
        <w:t>") on which the Facility Agent's notice is served, prepay such part of the Loan as shall eliminate the shortfall.</w:t>
      </w:r>
    </w:p>
    <w:p>
      <w:pPr>
        <w:spacing w:after="0" w:line="107"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88" w:name="page489"/>
    <w:bookmarkEnd w:id="488"/>
    <w:p>
      <w:pPr>
        <w:ind w:left="428" w:hanging="428"/>
        <w:spacing w:after="0" w:line="279" w:lineRule="auto"/>
        <w:tabs>
          <w:tab w:leader="none" w:pos="428" w:val="left"/>
        </w:tabs>
        <w:numPr>
          <w:ilvl w:val="0"/>
          <w:numId w:val="8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instead of making a prepayment as described in paragraph (a) above provide, or ensure that a third party has provided, additional security which, in the opinion of the Facility Agent acting on the instructions of the Majority Lenders:</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8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a net realisable value at least equal to the shortfall;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1"/>
          <w:numId w:val="8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documented in such terms as the Facility Agent may approve or require;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before the Prepayment Date; and conditional upon such security being provided in such manner, it shall satisfy such prepayment obligation.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27.3</w:t>
      </w:r>
      <w:r>
        <w:rPr>
          <w:sz w:val="20"/>
          <w:szCs w:val="20"/>
          <w:color w:val="auto"/>
        </w:rPr>
        <w:tab/>
      </w:r>
      <w:r>
        <w:rPr>
          <w:rFonts w:ascii="Times New Roman" w:cs="Times New Roman" w:eastAsia="Times New Roman" w:hAnsi="Times New Roman"/>
          <w:sz w:val="11"/>
          <w:szCs w:val="11"/>
          <w:b w:val="1"/>
          <w:bCs w:val="1"/>
          <w:color w:val="auto"/>
        </w:rPr>
        <w:t>Value of additional vessel security</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The net realisable value of any additional security which is provided under 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in the case of cash denominated in dollars, shall be the face value thereof and if it consists of Security over a vessel shall be the Market Value of the vessel concerned, determined in accordance with Clause 27.7 (</w:t>
      </w:r>
      <w:r>
        <w:rPr>
          <w:rFonts w:ascii="Times New Roman" w:cs="Times New Roman" w:eastAsia="Times New Roman" w:hAnsi="Times New Roman"/>
          <w:sz w:val="12"/>
          <w:szCs w:val="12"/>
          <w:i w:val="1"/>
          <w:iCs w:val="1"/>
          <w:color w:val="auto"/>
        </w:rPr>
        <w:t>Provision of valuations</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27.4</w:t>
      </w:r>
      <w:r>
        <w:rPr>
          <w:sz w:val="20"/>
          <w:szCs w:val="20"/>
          <w:color w:val="auto"/>
        </w:rPr>
        <w:tab/>
      </w:r>
      <w:r>
        <w:rPr>
          <w:rFonts w:ascii="Times New Roman" w:cs="Times New Roman" w:eastAsia="Times New Roman" w:hAnsi="Times New Roman"/>
          <w:sz w:val="11"/>
          <w:szCs w:val="11"/>
          <w:b w:val="1"/>
          <w:bCs w:val="1"/>
          <w:color w:val="auto"/>
        </w:rPr>
        <w:t>Valuations binding</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valuation under this Clause 27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shall be binding and conclusive as regards each Borrower, save for any manifest error.</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27.5</w:t>
      </w:r>
      <w:r>
        <w:rPr>
          <w:sz w:val="20"/>
          <w:szCs w:val="20"/>
          <w:color w:val="auto"/>
        </w:rPr>
        <w:tab/>
      </w:r>
      <w:r>
        <w:rPr>
          <w:rFonts w:ascii="Times New Roman" w:cs="Times New Roman" w:eastAsia="Times New Roman" w:hAnsi="Times New Roman"/>
          <w:sz w:val="11"/>
          <w:szCs w:val="11"/>
          <w:b w:val="1"/>
          <w:bCs w:val="1"/>
          <w:color w:val="auto"/>
        </w:rPr>
        <w:t>Provision of information</w:t>
      </w:r>
    </w:p>
    <w:p>
      <w:pPr>
        <w:spacing w:after="0" w:line="152" w:lineRule="exact"/>
        <w:rPr>
          <w:sz w:val="20"/>
          <w:szCs w:val="20"/>
          <w:color w:val="auto"/>
        </w:rPr>
      </w:pPr>
    </w:p>
    <w:p>
      <w:pPr>
        <w:ind w:left="428" w:right="20" w:hanging="428"/>
        <w:spacing w:after="0" w:line="283" w:lineRule="auto"/>
        <w:tabs>
          <w:tab w:leader="none" w:pos="428" w:val="left"/>
        </w:tabs>
        <w:numPr>
          <w:ilvl w:val="0"/>
          <w:numId w:val="8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Borrower shall promptly provide the Facility Agent and any Approved Valuer acting under this Clause 27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with any information which the Facility Agent or the Approved Valuer may request for the purposes of the valuation.</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Borrower fails to provide the information referred to in paragraph (a) above by the date specified in the request, the valuation may be made on any basis and assumptions which the Approved Valuer or the Facility Agent considers prudent.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27.6</w:t>
      </w:r>
      <w:r>
        <w:rPr>
          <w:sz w:val="20"/>
          <w:szCs w:val="20"/>
          <w:color w:val="auto"/>
        </w:rPr>
        <w:tab/>
      </w:r>
      <w:r>
        <w:rPr>
          <w:rFonts w:ascii="Times New Roman" w:cs="Times New Roman" w:eastAsia="Times New Roman" w:hAnsi="Times New Roman"/>
          <w:sz w:val="11"/>
          <w:szCs w:val="11"/>
          <w:b w:val="1"/>
          <w:bCs w:val="1"/>
          <w:color w:val="auto"/>
        </w:rPr>
        <w:t>Prepayment mechanism</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Any prepayment pursuant to 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shall be made in accordance with the relevant provisions of Clause 7 (</w:t>
      </w:r>
      <w:r>
        <w:rPr>
          <w:rFonts w:ascii="Times New Roman" w:cs="Times New Roman" w:eastAsia="Times New Roman" w:hAnsi="Times New Roman"/>
          <w:sz w:val="12"/>
          <w:szCs w:val="12"/>
          <w:i w:val="1"/>
          <w:iCs w:val="1"/>
          <w:color w:val="auto"/>
        </w:rPr>
        <w:t>Prepayment and Cancellation</w:t>
      </w:r>
      <w:r>
        <w:rPr>
          <w:rFonts w:ascii="Times New Roman" w:cs="Times New Roman" w:eastAsia="Times New Roman" w:hAnsi="Times New Roman"/>
          <w:sz w:val="12"/>
          <w:szCs w:val="12"/>
          <w:color w:val="auto"/>
        </w:rPr>
        <w:t>) and shall be applied pro rata against the then outstanding Repayment Instalments and the Balloon Instalment pursuant to the provisions of Clause 6.2 (</w:t>
      </w:r>
      <w:r>
        <w:rPr>
          <w:rFonts w:ascii="Times New Roman" w:cs="Times New Roman" w:eastAsia="Times New Roman" w:hAnsi="Times New Roman"/>
          <w:sz w:val="12"/>
          <w:szCs w:val="12"/>
          <w:i w:val="1"/>
          <w:iCs w:val="1"/>
          <w:color w:val="auto"/>
        </w:rPr>
        <w:t>Effect of cancellation and prepayment on scheduled prepayments</w:t>
      </w:r>
      <w:r>
        <w:rPr>
          <w:rFonts w:ascii="Times New Roman" w:cs="Times New Roman" w:eastAsia="Times New Roman" w:hAnsi="Times New Roman"/>
          <w:sz w:val="12"/>
          <w:szCs w:val="12"/>
          <w:color w:val="auto"/>
        </w:rPr>
        <w:t>).</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27.7</w:t>
      </w:r>
      <w:r>
        <w:rPr>
          <w:sz w:val="20"/>
          <w:szCs w:val="20"/>
          <w:color w:val="auto"/>
        </w:rPr>
        <w:tab/>
      </w:r>
      <w:r>
        <w:rPr>
          <w:rFonts w:ascii="Times New Roman" w:cs="Times New Roman" w:eastAsia="Times New Roman" w:hAnsi="Times New Roman"/>
          <w:sz w:val="11"/>
          <w:szCs w:val="11"/>
          <w:b w:val="1"/>
          <w:bCs w:val="1"/>
          <w:color w:val="auto"/>
        </w:rPr>
        <w:t>Provision of valuations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The Borrowers shall provide the Facility Agent with valuations of each Ship and any other vessel over which additional Security has been created in accordance with 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from an Approved Valuer, addressed to the Finance Parties, to enable the Facility Agent to determine the Market Value of the Ship and such other vessel at least semi-annually, on each of 30th June and 31st December in each calendar year (or such other dates as may be advised by the Facility Agent to the Borrowers in writing from time to time).</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489" w:name="page490"/>
    <w:bookmarkEnd w:id="489"/>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27.8</w:t>
      </w:r>
      <w:r>
        <w:rPr>
          <w:sz w:val="20"/>
          <w:szCs w:val="20"/>
          <w:color w:val="auto"/>
        </w:rPr>
        <w:tab/>
      </w:r>
      <w:r>
        <w:rPr>
          <w:rFonts w:ascii="Times New Roman" w:cs="Times New Roman" w:eastAsia="Times New Roman" w:hAnsi="Times New Roman"/>
          <w:sz w:val="11"/>
          <w:szCs w:val="11"/>
          <w:b w:val="1"/>
          <w:bCs w:val="1"/>
          <w:color w:val="auto"/>
        </w:rPr>
        <w:t>Payment of valuation expenses</w:t>
      </w:r>
    </w:p>
    <w:p>
      <w:pPr>
        <w:spacing w:after="0" w:line="152" w:lineRule="exact"/>
        <w:rPr>
          <w:sz w:val="20"/>
          <w:szCs w:val="20"/>
          <w:color w:val="auto"/>
        </w:rPr>
      </w:pPr>
    </w:p>
    <w:p>
      <w:pPr>
        <w:jc w:val="both"/>
        <w:ind w:left="428"/>
        <w:spacing w:after="0" w:line="258" w:lineRule="auto"/>
        <w:rPr>
          <w:sz w:val="20"/>
          <w:szCs w:val="20"/>
          <w:color w:val="auto"/>
        </w:rPr>
      </w:pPr>
      <w:r>
        <w:rPr>
          <w:rFonts w:ascii="Times New Roman" w:cs="Times New Roman" w:eastAsia="Times New Roman" w:hAnsi="Times New Roman"/>
          <w:sz w:val="12"/>
          <w:szCs w:val="12"/>
          <w:color w:val="auto"/>
        </w:rPr>
        <w:t>Without prejudice to the generality of the Borrowers' obligations under Clauses 17.1 (</w:t>
      </w:r>
      <w:r>
        <w:rPr>
          <w:rFonts w:ascii="Times New Roman" w:cs="Times New Roman" w:eastAsia="Times New Roman" w:hAnsi="Times New Roman"/>
          <w:sz w:val="12"/>
          <w:szCs w:val="12"/>
          <w:i w:val="1"/>
          <w:iCs w:val="1"/>
          <w:color w:val="auto"/>
        </w:rPr>
        <w:t>Transaction expenses</w:t>
      </w:r>
      <w:r>
        <w:rPr>
          <w:rFonts w:ascii="Times New Roman" w:cs="Times New Roman" w:eastAsia="Times New Roman" w:hAnsi="Times New Roman"/>
          <w:sz w:val="12"/>
          <w:szCs w:val="12"/>
          <w:color w:val="auto"/>
        </w:rPr>
        <w:t>), 17.2 (</w:t>
      </w:r>
      <w:r>
        <w:rPr>
          <w:rFonts w:ascii="Times New Roman" w:cs="Times New Roman" w:eastAsia="Times New Roman" w:hAnsi="Times New Roman"/>
          <w:sz w:val="12"/>
          <w:szCs w:val="12"/>
          <w:i w:val="1"/>
          <w:iCs w:val="1"/>
          <w:color w:val="auto"/>
        </w:rPr>
        <w:t>Amendment costs</w:t>
      </w:r>
      <w:r>
        <w:rPr>
          <w:rFonts w:ascii="Times New Roman" w:cs="Times New Roman" w:eastAsia="Times New Roman" w:hAnsi="Times New Roman"/>
          <w:sz w:val="12"/>
          <w:szCs w:val="12"/>
          <w:color w:val="auto"/>
        </w:rPr>
        <w:t>) and 15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the Borrowers shall, on demand, pay the Facility Agent the amount of the fees and expenses of the Approved Valuer or experts instructed by the Facility Agent under this Clause and all legal and other expenses incurred by any Finance Party in connection with any matter arising out of this Clause 27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so long as no Event of Default has occurred the Borrowers shall not be obliged to pay any such fees and expenses in respect of more than one set of valuations (consisting of up to three valuations) of the Ships in any calendar year (in addition to the set of valuations to determine the Initial Market Value) and any valuations required for the purpose of testing the Financial Covenants referred to in Clause 22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w:t>
      </w:r>
    </w:p>
    <w:p>
      <w:pPr>
        <w:spacing w:after="0" w:line="12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27.9</w:t>
      </w:r>
      <w:r>
        <w:rPr>
          <w:sz w:val="20"/>
          <w:szCs w:val="20"/>
          <w:color w:val="auto"/>
        </w:rPr>
        <w:tab/>
      </w:r>
      <w:r>
        <w:rPr>
          <w:rFonts w:ascii="Times New Roman" w:cs="Times New Roman" w:eastAsia="Times New Roman" w:hAnsi="Times New Roman"/>
          <w:sz w:val="11"/>
          <w:szCs w:val="11"/>
          <w:b w:val="1"/>
          <w:bCs w:val="1"/>
          <w:color w:val="auto"/>
        </w:rPr>
        <w:t>Release of additional security</w:t>
      </w:r>
    </w:p>
    <w:p>
      <w:pPr>
        <w:spacing w:after="0" w:line="154" w:lineRule="exact"/>
        <w:rPr>
          <w:sz w:val="20"/>
          <w:szCs w:val="20"/>
          <w:color w:val="auto"/>
        </w:rPr>
      </w:pPr>
    </w:p>
    <w:p>
      <w:pPr>
        <w:jc w:val="both"/>
        <w:ind w:left="428"/>
        <w:spacing w:after="0" w:line="257" w:lineRule="auto"/>
        <w:rPr>
          <w:sz w:val="20"/>
          <w:szCs w:val="20"/>
          <w:color w:val="auto"/>
        </w:rPr>
      </w:pPr>
      <w:r>
        <w:rPr>
          <w:rFonts w:ascii="Times New Roman" w:cs="Times New Roman" w:eastAsia="Times New Roman" w:hAnsi="Times New Roman"/>
          <w:sz w:val="12"/>
          <w:szCs w:val="12"/>
          <w:color w:val="auto"/>
        </w:rPr>
        <w:t>If, at any time, the Security Agent holds additional security provided under this Clause 27 (Security Cover) and the Market Value of the Ships disregarding the value of any additional security provided pursuant to Clause 27.2 (</w:t>
      </w:r>
      <w:r>
        <w:rPr>
          <w:rFonts w:ascii="Times New Roman" w:cs="Times New Roman" w:eastAsia="Times New Roman" w:hAnsi="Times New Roman"/>
          <w:sz w:val="12"/>
          <w:szCs w:val="12"/>
          <w:i w:val="1"/>
          <w:iCs w:val="1"/>
          <w:color w:val="auto"/>
        </w:rPr>
        <w:t>Provision of additional security; prepayment</w:t>
      </w:r>
      <w:r>
        <w:rPr>
          <w:rFonts w:ascii="Times New Roman" w:cs="Times New Roman" w:eastAsia="Times New Roman" w:hAnsi="Times New Roman"/>
          <w:sz w:val="12"/>
          <w:szCs w:val="12"/>
          <w:color w:val="auto"/>
        </w:rPr>
        <w:t>) above exceeds for a period of at least 90 consecutive days the Security Cover Ratio required pursuant to Clause 27.1 (</w:t>
      </w:r>
      <w:r>
        <w:rPr>
          <w:rFonts w:ascii="Times New Roman" w:cs="Times New Roman" w:eastAsia="Times New Roman" w:hAnsi="Times New Roman"/>
          <w:sz w:val="12"/>
          <w:szCs w:val="12"/>
          <w:i w:val="1"/>
          <w:iCs w:val="1"/>
          <w:color w:val="auto"/>
        </w:rPr>
        <w:t>Minimum required security cover</w:t>
      </w:r>
      <w:r>
        <w:rPr>
          <w:rFonts w:ascii="Times New Roman" w:cs="Times New Roman" w:eastAsia="Times New Roman" w:hAnsi="Times New Roman"/>
          <w:sz w:val="12"/>
          <w:szCs w:val="12"/>
          <w:color w:val="auto"/>
        </w:rPr>
        <w:t>), the Borrowers may, by notice to the Facility Agent, require the release and discharge of that additional security. The Facility Agent shall then promptly direct the Security Agent to release and discharge that additional security if no Event of Default is then continuing or will result from such release and discharge and, upon such release and discharge and, if so required by the Facility Agent, the Borrowers shall reimburse to the Facility Agent any costs and expenses payable under Clause 17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in relation to that release and discharge.</w:t>
      </w:r>
    </w:p>
    <w:p>
      <w:pPr>
        <w:spacing w:after="0" w:line="121" w:lineRule="exact"/>
        <w:rPr>
          <w:sz w:val="20"/>
          <w:szCs w:val="20"/>
          <w:color w:val="auto"/>
        </w:rPr>
      </w:pPr>
    </w:p>
    <w:p>
      <w:pPr>
        <w:ind w:left="8" w:right="8200" w:hanging="8"/>
        <w:spacing w:after="0" w:line="504" w:lineRule="auto"/>
        <w:tabs>
          <w:tab w:leader="none" w:pos="431" w:val="left"/>
        </w:tabs>
        <w:numPr>
          <w:ilvl w:val="0"/>
          <w:numId w:val="85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ACCOUNTS AND APPLICATION OF EARNINGS 28.1 Accounts</w:t>
      </w:r>
    </w:p>
    <w:p>
      <w:pPr>
        <w:ind w:left="428"/>
        <w:spacing w:after="0" w:line="279" w:lineRule="auto"/>
        <w:rPr>
          <w:sz w:val="20"/>
          <w:szCs w:val="20"/>
          <w:color w:val="auto"/>
        </w:rPr>
      </w:pPr>
      <w:r>
        <w:rPr>
          <w:rFonts w:ascii="Times New Roman" w:cs="Times New Roman" w:eastAsia="Times New Roman" w:hAnsi="Times New Roman"/>
          <w:sz w:val="12"/>
          <w:szCs w:val="12"/>
          <w:color w:val="auto"/>
        </w:rPr>
        <w:t>No Borrower may, without the prior consent of the Facility Agent, maintain any bank account other than its Earnings Account; for the avoidance of doubt, the Borrowers may maintain any bank accounts they hold under the Existing Agreements, which they undertake to close within 3-month period from the Utilisation Date.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28.2</w:t>
      </w:r>
      <w:r>
        <w:rPr>
          <w:sz w:val="20"/>
          <w:szCs w:val="20"/>
          <w:color w:val="auto"/>
        </w:rPr>
        <w:tab/>
      </w:r>
      <w:r>
        <w:rPr>
          <w:rFonts w:ascii="Times New Roman" w:cs="Times New Roman" w:eastAsia="Times New Roman" w:hAnsi="Times New Roman"/>
          <w:sz w:val="11"/>
          <w:szCs w:val="11"/>
          <w:b w:val="1"/>
          <w:bCs w:val="1"/>
          <w:color w:val="auto"/>
        </w:rPr>
        <w:t>Payment of Earnings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ensure that subject only to the provisions of the relevant General Assignment and Charterparty Assignment, all the Earnings are paid into its Earnings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28.3</w:t>
      </w:r>
      <w:r>
        <w:rPr>
          <w:sz w:val="20"/>
          <w:szCs w:val="20"/>
          <w:color w:val="auto"/>
        </w:rPr>
        <w:tab/>
      </w:r>
      <w:r>
        <w:rPr>
          <w:rFonts w:ascii="Times New Roman" w:cs="Times New Roman" w:eastAsia="Times New Roman" w:hAnsi="Times New Roman"/>
          <w:sz w:val="11"/>
          <w:szCs w:val="11"/>
          <w:b w:val="1"/>
          <w:bCs w:val="1"/>
          <w:color w:val="auto"/>
        </w:rPr>
        <w:t>Withdrawals from Earnings Account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an Event of Default has occurred and is continuing at that time, each Borrower shall be entitled to withdraw any balance standing to the credit of its Earnings Account for the purpose of:</w:t>
      </w:r>
    </w:p>
    <w:p>
      <w:pPr>
        <w:spacing w:after="0" w:line="150" w:lineRule="exact"/>
        <w:rPr>
          <w:sz w:val="20"/>
          <w:szCs w:val="20"/>
          <w:color w:val="auto"/>
        </w:rPr>
      </w:pPr>
    </w:p>
    <w:p>
      <w:pPr>
        <w:ind w:left="428" w:hanging="428"/>
        <w:spacing w:after="0"/>
        <w:tabs>
          <w:tab w:leader="none" w:pos="428" w:val="left"/>
        </w:tabs>
        <w:numPr>
          <w:ilvl w:val="0"/>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complying with its obligations as they fall due under this Agreement and the other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paying the Operating Expenses (including any general and administrative expenses) of its Ship to the extent that they are due and payable on or prior to the date of such withdrawal and are attributable to, or owed by, that Borrower; or</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90" w:name="page491"/>
    <w:bookmarkEnd w:id="490"/>
    <w:p>
      <w:pPr>
        <w:ind w:left="428" w:hanging="428"/>
        <w:spacing w:after="0"/>
        <w:tabs>
          <w:tab w:leader="none" w:pos="428" w:val="left"/>
        </w:tabs>
        <w:numPr>
          <w:ilvl w:val="0"/>
          <w:numId w:val="8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making any Dividend Payment (subject to compliance with Clause 23.18 (</w:t>
      </w:r>
      <w:r>
        <w:rPr>
          <w:rFonts w:ascii="Times New Roman" w:cs="Times New Roman" w:eastAsia="Times New Roman" w:hAnsi="Times New Roman"/>
          <w:sz w:val="12"/>
          <w:szCs w:val="12"/>
          <w:i w:val="1"/>
          <w:iCs w:val="1"/>
          <w:color w:val="auto"/>
        </w:rPr>
        <w:t>Dividends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28.4</w:t>
      </w:r>
      <w:r>
        <w:rPr>
          <w:sz w:val="20"/>
          <w:szCs w:val="20"/>
          <w:color w:val="auto"/>
        </w:rPr>
        <w:tab/>
      </w:r>
      <w:r>
        <w:rPr>
          <w:rFonts w:ascii="Times New Roman" w:cs="Times New Roman" w:eastAsia="Times New Roman" w:hAnsi="Times New Roman"/>
          <w:sz w:val="11"/>
          <w:szCs w:val="11"/>
          <w:b w:val="1"/>
          <w:bCs w:val="1"/>
          <w:color w:val="auto"/>
        </w:rPr>
        <w:t>Location of Accounts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Borrower shall promptly:</w:t>
      </w:r>
    </w:p>
    <w:p>
      <w:pPr>
        <w:spacing w:after="0" w:line="150" w:lineRule="exact"/>
        <w:rPr>
          <w:sz w:val="20"/>
          <w:szCs w:val="20"/>
          <w:color w:val="auto"/>
        </w:rPr>
      </w:pPr>
    </w:p>
    <w:p>
      <w:pPr>
        <w:ind w:left="428" w:hanging="428"/>
        <w:spacing w:after="0"/>
        <w:tabs>
          <w:tab w:leader="none" w:pos="428" w:val="left"/>
        </w:tabs>
        <w:numPr>
          <w:ilvl w:val="0"/>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comply with any requirement of the Facility Agent as to the location or relocation of its Earnings Account;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execute any documents which the Facility Agent specifies to create or maintain in favour of the Security Agent Security over (and/or rights of set-off, consolidation or other rights in relation to) the Earnings Accounts.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28.5</w:t>
      </w:r>
      <w:r>
        <w:rPr>
          <w:sz w:val="20"/>
          <w:szCs w:val="20"/>
          <w:color w:val="auto"/>
        </w:rPr>
        <w:tab/>
      </w:r>
      <w:r>
        <w:rPr>
          <w:rFonts w:ascii="Times New Roman" w:cs="Times New Roman" w:eastAsia="Times New Roman" w:hAnsi="Times New Roman"/>
          <w:sz w:val="11"/>
          <w:szCs w:val="11"/>
          <w:b w:val="1"/>
          <w:bCs w:val="1"/>
          <w:color w:val="auto"/>
        </w:rPr>
        <w:t>Debits authorisation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is hereby irrevocably authorised by the Borrowers from time to time to:</w:t>
      </w:r>
    </w:p>
    <w:p>
      <w:pPr>
        <w:spacing w:after="0" w:line="150" w:lineRule="exact"/>
        <w:rPr>
          <w:sz w:val="20"/>
          <w:szCs w:val="20"/>
          <w:color w:val="auto"/>
        </w:rPr>
      </w:pPr>
    </w:p>
    <w:p>
      <w:pPr>
        <w:ind w:left="428" w:hanging="428"/>
        <w:spacing w:after="0"/>
        <w:tabs>
          <w:tab w:leader="none" w:pos="428"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instruct the Account Bank to debit the Earnings Accounts (or any of them);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apply the relevant amounts towards the pro tanto satisfaction of the Borrowers' obligations to a Finance Party in respect of the payment of: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principal and interest due and payable under this Agreement (if not paid when due and payable); and</w:t>
      </w:r>
    </w:p>
    <w:p>
      <w:pPr>
        <w:spacing w:after="0" w:line="148" w:lineRule="exact"/>
        <w:rPr>
          <w:rFonts w:ascii="Times New Roman" w:cs="Times New Roman" w:eastAsia="Times New Roman" w:hAnsi="Times New Roman"/>
          <w:sz w:val="12"/>
          <w:szCs w:val="12"/>
          <w:color w:val="auto"/>
        </w:rPr>
      </w:pPr>
    </w:p>
    <w:p>
      <w:pPr>
        <w:ind w:left="848" w:right="20" w:hanging="425"/>
        <w:spacing w:after="0" w:line="283" w:lineRule="auto"/>
        <w:tabs>
          <w:tab w:leader="none" w:pos="848" w:val="left"/>
        </w:tabs>
        <w:numPr>
          <w:ilvl w:val="1"/>
          <w:numId w:val="8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amounts due and payable to a Finance Party under Clauses 12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or 15 (</w:t>
      </w:r>
      <w:r>
        <w:rPr>
          <w:rFonts w:ascii="Times New Roman" w:cs="Times New Roman" w:eastAsia="Times New Roman" w:hAnsi="Times New Roman"/>
          <w:sz w:val="12"/>
          <w:szCs w:val="12"/>
          <w:i w:val="1"/>
          <w:iCs w:val="1"/>
          <w:color w:val="auto"/>
        </w:rPr>
        <w:t>Other Indemnities</w:t>
      </w:r>
      <w:r>
        <w:rPr>
          <w:rFonts w:ascii="Times New Roman" w:cs="Times New Roman" w:eastAsia="Times New Roman" w:hAnsi="Times New Roman"/>
          <w:sz w:val="12"/>
          <w:szCs w:val="12"/>
          <w:color w:val="auto"/>
        </w:rPr>
        <w:t>) or any amounts which such Finance Party is entitled to demand under Clauses 17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or 15 (</w:t>
      </w:r>
      <w:r>
        <w:rPr>
          <w:rFonts w:ascii="Times New Roman" w:cs="Times New Roman" w:eastAsia="Times New Roman" w:hAnsi="Times New Roman"/>
          <w:sz w:val="12"/>
          <w:szCs w:val="12"/>
          <w:i w:val="1"/>
          <w:iCs w:val="1"/>
          <w:color w:val="auto"/>
        </w:rPr>
        <w:t>Other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Indemnities</w:t>
      </w:r>
      <w:r>
        <w:rPr>
          <w:rFonts w:ascii="Times New Roman" w:cs="Times New Roman" w:eastAsia="Times New Roman" w:hAnsi="Times New Roman"/>
          <w:sz w:val="12"/>
          <w:szCs w:val="12"/>
          <w:color w:val="auto"/>
        </w:rPr>
        <w:t>), if such amounts are not paid when due and payable.</w:t>
      </w:r>
    </w:p>
    <w:p>
      <w:pPr>
        <w:spacing w:after="0" w:line="105" w:lineRule="exact"/>
        <w:rPr>
          <w:sz w:val="20"/>
          <w:szCs w:val="20"/>
          <w:color w:val="auto"/>
        </w:rPr>
      </w:pPr>
    </w:p>
    <w:p>
      <w:pPr>
        <w:ind w:left="8" w:right="9620" w:hanging="8"/>
        <w:spacing w:after="0" w:line="502" w:lineRule="auto"/>
        <w:tabs>
          <w:tab w:leader="none" w:pos="431" w:val="left"/>
        </w:tabs>
        <w:numPr>
          <w:ilvl w:val="0"/>
          <w:numId w:val="85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EVENTS OF DEFAULT 29.1 General</w:t>
      </w: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of the events or circumstances set out in this Clause 29 (</w:t>
      </w:r>
      <w:r>
        <w:rPr>
          <w:rFonts w:ascii="Times New Roman" w:cs="Times New Roman" w:eastAsia="Times New Roman" w:hAnsi="Times New Roman"/>
          <w:sz w:val="12"/>
          <w:szCs w:val="12"/>
          <w:i w:val="1"/>
          <w:iCs w:val="1"/>
          <w:color w:val="auto"/>
        </w:rPr>
        <w:t>Events of Default</w:t>
      </w:r>
      <w:r>
        <w:rPr>
          <w:rFonts w:ascii="Times New Roman" w:cs="Times New Roman" w:eastAsia="Times New Roman" w:hAnsi="Times New Roman"/>
          <w:sz w:val="12"/>
          <w:szCs w:val="12"/>
          <w:color w:val="auto"/>
        </w:rPr>
        <w:t>) is an Event of Default except for Clause 29.20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and Clause 29.21 (</w:t>
      </w:r>
      <w:r>
        <w:rPr>
          <w:rFonts w:ascii="Times New Roman" w:cs="Times New Roman" w:eastAsia="Times New Roman" w:hAnsi="Times New Roman"/>
          <w:sz w:val="12"/>
          <w:szCs w:val="12"/>
          <w:i w:val="1"/>
          <w:iCs w:val="1"/>
          <w:color w:val="auto"/>
        </w:rPr>
        <w:t>Enforcement of security</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29.2</w:t>
      </w:r>
      <w:r>
        <w:rPr>
          <w:sz w:val="20"/>
          <w:szCs w:val="20"/>
          <w:color w:val="auto"/>
        </w:rPr>
        <w:tab/>
      </w:r>
      <w:r>
        <w:rPr>
          <w:rFonts w:ascii="Times New Roman" w:cs="Times New Roman" w:eastAsia="Times New Roman" w:hAnsi="Times New Roman"/>
          <w:sz w:val="11"/>
          <w:szCs w:val="11"/>
          <w:b w:val="1"/>
          <w:bCs w:val="1"/>
          <w:color w:val="auto"/>
        </w:rPr>
        <w:t>Non-payment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 Transaction Obligor does not pay on the due date any amount payable pursuant to a Finance Document at the place at and in the currency in which it is expressed to be payable unless:</w:t>
      </w:r>
    </w:p>
    <w:p>
      <w:pPr>
        <w:spacing w:after="0" w:line="150" w:lineRule="exact"/>
        <w:rPr>
          <w:sz w:val="20"/>
          <w:szCs w:val="20"/>
          <w:color w:val="auto"/>
        </w:rPr>
      </w:pPr>
    </w:p>
    <w:p>
      <w:pPr>
        <w:ind w:left="428" w:hanging="428"/>
        <w:spacing w:after="0"/>
        <w:tabs>
          <w:tab w:leader="none" w:pos="428" w:val="left"/>
        </w:tabs>
        <w:numPr>
          <w:ilvl w:val="0"/>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failure to pay is caused by: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administrative or technical error;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Disruption Event;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is made within three Business Days of its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29.3</w:t>
      </w:r>
      <w:r>
        <w:rPr>
          <w:sz w:val="20"/>
          <w:szCs w:val="20"/>
          <w:color w:val="auto"/>
        </w:rPr>
        <w:tab/>
      </w:r>
      <w:r>
        <w:rPr>
          <w:rFonts w:ascii="Times New Roman" w:cs="Times New Roman" w:eastAsia="Times New Roman" w:hAnsi="Times New Roman"/>
          <w:sz w:val="11"/>
          <w:szCs w:val="11"/>
          <w:b w:val="1"/>
          <w:bCs w:val="1"/>
          <w:color w:val="auto"/>
        </w:rPr>
        <w:t>Specific obligations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A breach occurs of Clause 4.4 (</w:t>
      </w:r>
      <w:r>
        <w:rPr>
          <w:rFonts w:ascii="Times New Roman" w:cs="Times New Roman" w:eastAsia="Times New Roman" w:hAnsi="Times New Roman"/>
          <w:sz w:val="12"/>
          <w:szCs w:val="12"/>
          <w:i w:val="1"/>
          <w:iCs w:val="1"/>
          <w:color w:val="auto"/>
        </w:rPr>
        <w:t>Waiver of conditions precedent</w:t>
      </w:r>
      <w:r>
        <w:rPr>
          <w:rFonts w:ascii="Times New Roman" w:cs="Times New Roman" w:eastAsia="Times New Roman" w:hAnsi="Times New Roman"/>
          <w:sz w:val="12"/>
          <w:szCs w:val="12"/>
          <w:color w:val="auto"/>
        </w:rPr>
        <w:t>), Clause 21.3 (</w:t>
      </w:r>
      <w:r>
        <w:rPr>
          <w:rFonts w:ascii="Times New Roman" w:cs="Times New Roman" w:eastAsia="Times New Roman" w:hAnsi="Times New Roman"/>
          <w:sz w:val="12"/>
          <w:szCs w:val="12"/>
          <w:i w:val="1"/>
          <w:iCs w:val="1"/>
          <w:color w:val="auto"/>
        </w:rPr>
        <w:t>Financial Statements</w:t>
      </w:r>
      <w:r>
        <w:rPr>
          <w:rFonts w:ascii="Times New Roman" w:cs="Times New Roman" w:eastAsia="Times New Roman" w:hAnsi="Times New Roman"/>
          <w:sz w:val="12"/>
          <w:szCs w:val="12"/>
          <w:color w:val="auto"/>
        </w:rPr>
        <w:t>), Clause 22 (</w:t>
      </w:r>
      <w:r>
        <w:rPr>
          <w:rFonts w:ascii="Times New Roman" w:cs="Times New Roman" w:eastAsia="Times New Roman" w:hAnsi="Times New Roman"/>
          <w:sz w:val="12"/>
          <w:szCs w:val="12"/>
          <w:i w:val="1"/>
          <w:iCs w:val="1"/>
          <w:color w:val="auto"/>
        </w:rPr>
        <w:t>Financial Covenants</w:t>
      </w:r>
      <w:r>
        <w:rPr>
          <w:rFonts w:ascii="Times New Roman" w:cs="Times New Roman" w:eastAsia="Times New Roman" w:hAnsi="Times New Roman"/>
          <w:sz w:val="12"/>
          <w:szCs w:val="12"/>
          <w:color w:val="auto"/>
        </w:rPr>
        <w:t>), Clause 23.10 (</w:t>
      </w:r>
      <w:r>
        <w:rPr>
          <w:rFonts w:ascii="Times New Roman" w:cs="Times New Roman" w:eastAsia="Times New Roman" w:hAnsi="Times New Roman"/>
          <w:sz w:val="12"/>
          <w:szCs w:val="12"/>
          <w:i w:val="1"/>
          <w:iCs w:val="1"/>
          <w:color w:val="auto"/>
        </w:rPr>
        <w:t>Title</w:t>
      </w:r>
      <w:r>
        <w:rPr>
          <w:rFonts w:ascii="Times New Roman" w:cs="Times New Roman" w:eastAsia="Times New Roman" w:hAnsi="Times New Roman"/>
          <w:sz w:val="12"/>
          <w:szCs w:val="12"/>
          <w:color w:val="auto"/>
        </w:rPr>
        <w:t>), Clause 23.11 (</w:t>
      </w:r>
      <w:r>
        <w:rPr>
          <w:rFonts w:ascii="Times New Roman" w:cs="Times New Roman" w:eastAsia="Times New Roman" w:hAnsi="Times New Roman"/>
          <w:sz w:val="12"/>
          <w:szCs w:val="12"/>
          <w:i w:val="1"/>
          <w:iCs w:val="1"/>
          <w:color w:val="auto"/>
        </w:rPr>
        <w:t>Negative pledge)</w:t>
      </w:r>
      <w:r>
        <w:rPr>
          <w:rFonts w:ascii="Times New Roman" w:cs="Times New Roman" w:eastAsia="Times New Roman" w:hAnsi="Times New Roman"/>
          <w:sz w:val="12"/>
          <w:szCs w:val="12"/>
          <w:color w:val="auto"/>
        </w:rPr>
        <w:t>, Clause 23.12 (</w:t>
      </w:r>
      <w:r>
        <w:rPr>
          <w:rFonts w:ascii="Times New Roman" w:cs="Times New Roman" w:eastAsia="Times New Roman" w:hAnsi="Times New Roman"/>
          <w:sz w:val="12"/>
          <w:szCs w:val="12"/>
          <w:i w:val="1"/>
          <w:iCs w:val="1"/>
          <w:color w:val="auto"/>
        </w:rPr>
        <w:t>Disposals</w:t>
      </w:r>
      <w:r>
        <w:rPr>
          <w:rFonts w:ascii="Times New Roman" w:cs="Times New Roman" w:eastAsia="Times New Roman" w:hAnsi="Times New Roman"/>
          <w:sz w:val="12"/>
          <w:szCs w:val="12"/>
          <w:color w:val="auto"/>
        </w:rPr>
        <w:t>), Clause 23.20 (</w:t>
      </w:r>
      <w:r>
        <w:rPr>
          <w:rFonts w:ascii="Times New Roman" w:cs="Times New Roman" w:eastAsia="Times New Roman" w:hAnsi="Times New Roman"/>
          <w:sz w:val="12"/>
          <w:szCs w:val="12"/>
          <w:i w:val="1"/>
          <w:iCs w:val="1"/>
          <w:color w:val="auto"/>
        </w:rPr>
        <w:t>Unlawfulness, invalidity and ranking; Security imperilled</w:t>
      </w:r>
      <w:r>
        <w:rPr>
          <w:rFonts w:ascii="Times New Roman" w:cs="Times New Roman" w:eastAsia="Times New Roman" w:hAnsi="Times New Roman"/>
          <w:sz w:val="12"/>
          <w:szCs w:val="12"/>
          <w:color w:val="auto"/>
        </w:rPr>
        <w:t>), Clause 23.24 (</w:t>
      </w:r>
      <w:r>
        <w:rPr>
          <w:rFonts w:ascii="Times New Roman" w:cs="Times New Roman" w:eastAsia="Times New Roman" w:hAnsi="Times New Roman"/>
          <w:sz w:val="12"/>
          <w:szCs w:val="12"/>
          <w:i w:val="1"/>
          <w:iCs w:val="1"/>
          <w:color w:val="auto"/>
        </w:rPr>
        <w:t>Anti-Corruption</w:t>
      </w:r>
      <w:r>
        <w:rPr>
          <w:rFonts w:ascii="Times New Roman" w:cs="Times New Roman" w:eastAsia="Times New Roman" w:hAnsi="Times New Roman"/>
          <w:sz w:val="12"/>
          <w:szCs w:val="12"/>
          <w:color w:val="auto"/>
        </w:rPr>
        <w:t>),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Clause 24.2 (</w:t>
      </w:r>
      <w:r>
        <w:rPr>
          <w:rFonts w:ascii="Times New Roman" w:cs="Times New Roman" w:eastAsia="Times New Roman" w:hAnsi="Times New Roman"/>
          <w:sz w:val="12"/>
          <w:szCs w:val="12"/>
          <w:i w:val="1"/>
          <w:iCs w:val="1"/>
          <w:color w:val="auto"/>
        </w:rPr>
        <w:t>Maintenance of obligatory insurances</w:t>
      </w:r>
      <w:r>
        <w:rPr>
          <w:rFonts w:ascii="Times New Roman" w:cs="Times New Roman" w:eastAsia="Times New Roman" w:hAnsi="Times New Roman"/>
          <w:sz w:val="12"/>
          <w:szCs w:val="12"/>
          <w:color w:val="auto"/>
        </w:rPr>
        <w:t>), Clause 24.3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Clause 24.5 (</w:t>
      </w:r>
      <w:r>
        <w:rPr>
          <w:rFonts w:ascii="Times New Roman" w:cs="Times New Roman" w:eastAsia="Times New Roman" w:hAnsi="Times New Roman"/>
          <w:sz w:val="12"/>
          <w:szCs w:val="12"/>
          <w:i w:val="1"/>
          <w:iCs w:val="1"/>
          <w:color w:val="auto"/>
        </w:rPr>
        <w:t>Renewal of obligatory insurances</w:t>
      </w:r>
      <w:r>
        <w:rPr>
          <w:rFonts w:ascii="Times New Roman" w:cs="Times New Roman" w:eastAsia="Times New Roman" w:hAnsi="Times New Roman"/>
          <w:sz w:val="12"/>
          <w:szCs w:val="12"/>
          <w:color w:val="auto"/>
        </w:rPr>
        <w:t>), Clause 26.9 (</w:t>
      </w:r>
      <w:r>
        <w:rPr>
          <w:rFonts w:ascii="Times New Roman" w:cs="Times New Roman" w:eastAsia="Times New Roman" w:hAnsi="Times New Roman"/>
          <w:sz w:val="12"/>
          <w:szCs w:val="12"/>
          <w:i w:val="1"/>
          <w:iCs w:val="1"/>
          <w:color w:val="auto"/>
        </w:rPr>
        <w:t>Prevention of and release from Arrest</w:t>
      </w:r>
      <w:r>
        <w:rPr>
          <w:rFonts w:ascii="Times New Roman" w:cs="Times New Roman" w:eastAsia="Times New Roman" w:hAnsi="Times New Roman"/>
          <w:sz w:val="12"/>
          <w:szCs w:val="12"/>
          <w:color w:val="auto"/>
        </w:rPr>
        <w:t>) or Clause 27 (</w:t>
      </w:r>
      <w:r>
        <w:rPr>
          <w:rFonts w:ascii="Times New Roman" w:cs="Times New Roman" w:eastAsia="Times New Roman" w:hAnsi="Times New Roman"/>
          <w:sz w:val="12"/>
          <w:szCs w:val="12"/>
          <w:i w:val="1"/>
          <w:iCs w:val="1"/>
          <w:color w:val="auto"/>
        </w:rPr>
        <w:t>Security Cover</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2" w:right="299" w:bottom="1440" w:gutter="0" w:footer="0" w:header="0"/>
        </w:sectPr>
      </w:pPr>
    </w:p>
    <w:bookmarkStart w:id="491" w:name="page492"/>
    <w:bookmarkEnd w:id="49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29.4</w:t>
      </w:r>
      <w:r>
        <w:rPr>
          <w:sz w:val="20"/>
          <w:szCs w:val="20"/>
          <w:color w:val="auto"/>
        </w:rPr>
        <w:tab/>
      </w:r>
      <w:r>
        <w:rPr>
          <w:rFonts w:ascii="Times New Roman" w:cs="Times New Roman" w:eastAsia="Times New Roman" w:hAnsi="Times New Roman"/>
          <w:sz w:val="12"/>
          <w:szCs w:val="12"/>
          <w:b w:val="1"/>
          <w:bCs w:val="1"/>
          <w:color w:val="auto"/>
        </w:rPr>
        <w:t>Other obligations</w:t>
      </w:r>
    </w:p>
    <w:p>
      <w:pPr>
        <w:spacing w:after="0" w:line="152" w:lineRule="exact"/>
        <w:rPr>
          <w:sz w:val="20"/>
          <w:szCs w:val="20"/>
          <w:color w:val="auto"/>
        </w:rPr>
      </w:pPr>
    </w:p>
    <w:p>
      <w:pPr>
        <w:ind w:left="428" w:hanging="428"/>
        <w:spacing w:after="0" w:line="283" w:lineRule="auto"/>
        <w:tabs>
          <w:tab w:leader="none" w:pos="428" w:val="left"/>
        </w:tabs>
        <w:numPr>
          <w:ilvl w:val="0"/>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 or an Approved Manager does not comply with any provision of the Finance Documents to which it is a party (other than those referred to in Clause 29.2 (</w:t>
      </w:r>
      <w:r>
        <w:rPr>
          <w:rFonts w:ascii="Times New Roman" w:cs="Times New Roman" w:eastAsia="Times New Roman" w:hAnsi="Times New Roman"/>
          <w:sz w:val="12"/>
          <w:szCs w:val="12"/>
          <w:i w:val="1"/>
          <w:iCs w:val="1"/>
          <w:color w:val="auto"/>
        </w:rPr>
        <w:t>Non-payment</w:t>
      </w:r>
      <w:r>
        <w:rPr>
          <w:rFonts w:ascii="Times New Roman" w:cs="Times New Roman" w:eastAsia="Times New Roman" w:hAnsi="Times New Roman"/>
          <w:sz w:val="12"/>
          <w:szCs w:val="12"/>
          <w:color w:val="auto"/>
        </w:rPr>
        <w:t>) and Clause 29.3 (</w:t>
      </w:r>
      <w:r>
        <w:rPr>
          <w:rFonts w:ascii="Times New Roman" w:cs="Times New Roman" w:eastAsia="Times New Roman" w:hAnsi="Times New Roman"/>
          <w:sz w:val="12"/>
          <w:szCs w:val="12"/>
          <w:i w:val="1"/>
          <w:iCs w:val="1"/>
          <w:color w:val="auto"/>
        </w:rPr>
        <w:t>Specific</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obligations</w:t>
      </w:r>
      <w:r>
        <w:rPr>
          <w:rFonts w:ascii="Times New Roman" w:cs="Times New Roman" w:eastAsia="Times New Roman" w:hAnsi="Times New Roman"/>
          <w:sz w:val="12"/>
          <w:szCs w:val="12"/>
          <w:color w:val="auto"/>
        </w:rPr>
        <w:t>)).</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under paragraph (a) above will occur if the failure to comply is capable of remedy and is remedied within fifteen (15) Business Days of the Facility Agent giving notice to the Borrowers or (if earlier) any Transaction Obligor or, as the context may require, an Approved Manager, becoming aware of the failure to comply.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29.5</w:t>
      </w:r>
      <w:r>
        <w:rPr>
          <w:sz w:val="20"/>
          <w:szCs w:val="20"/>
          <w:color w:val="auto"/>
        </w:rPr>
        <w:tab/>
      </w:r>
      <w:r>
        <w:rPr>
          <w:rFonts w:ascii="Times New Roman" w:cs="Times New Roman" w:eastAsia="Times New Roman" w:hAnsi="Times New Roman"/>
          <w:sz w:val="12"/>
          <w:szCs w:val="12"/>
          <w:b w:val="1"/>
          <w:bCs w:val="1"/>
          <w:color w:val="auto"/>
        </w:rPr>
        <w:t>Misrepresentation</w:t>
      </w:r>
    </w:p>
    <w:p>
      <w:pPr>
        <w:spacing w:after="0" w:line="154" w:lineRule="exact"/>
        <w:rPr>
          <w:sz w:val="20"/>
          <w:szCs w:val="20"/>
          <w:color w:val="auto"/>
        </w:rPr>
      </w:pPr>
    </w:p>
    <w:p>
      <w:pPr>
        <w:jc w:val="both"/>
        <w:ind w:left="428" w:right="20"/>
        <w:spacing w:after="0" w:line="265" w:lineRule="auto"/>
        <w:rPr>
          <w:sz w:val="20"/>
          <w:szCs w:val="20"/>
          <w:color w:val="auto"/>
        </w:rPr>
      </w:pPr>
      <w:r>
        <w:rPr>
          <w:rFonts w:ascii="Times New Roman" w:cs="Times New Roman" w:eastAsia="Times New Roman" w:hAnsi="Times New Roman"/>
          <w:sz w:val="12"/>
          <w:szCs w:val="12"/>
          <w:color w:val="auto"/>
        </w:rPr>
        <w:t>Any representation or statement made or deemed to be made by a Transaction Obligor in the Finance Documents or any other document delivered by or on behalf of any Transaction Obligor under or in connection with any Finance Document is or proves to have been incorrect or misleading when made or deemed to be made unless such misrepresentation or statement is determined by the Facility Agent (acting on the instructions of the Majority Lenders) to have been made in error and is rectified within five Business Days from the date of such representation or statement.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29.6</w:t>
      </w:r>
      <w:r>
        <w:rPr>
          <w:sz w:val="20"/>
          <w:szCs w:val="20"/>
          <w:color w:val="auto"/>
        </w:rPr>
        <w:tab/>
      </w:r>
      <w:r>
        <w:rPr>
          <w:rFonts w:ascii="Times New Roman" w:cs="Times New Roman" w:eastAsia="Times New Roman" w:hAnsi="Times New Roman"/>
          <w:sz w:val="11"/>
          <w:szCs w:val="11"/>
          <w:b w:val="1"/>
          <w:bCs w:val="1"/>
          <w:color w:val="auto"/>
        </w:rPr>
        <w:t>Cross default</w:t>
      </w:r>
    </w:p>
    <w:p>
      <w:pPr>
        <w:spacing w:after="0" w:line="154" w:lineRule="exact"/>
        <w:rPr>
          <w:sz w:val="20"/>
          <w:szCs w:val="20"/>
          <w:color w:val="auto"/>
        </w:rPr>
      </w:pPr>
    </w:p>
    <w:p>
      <w:pPr>
        <w:ind w:left="428" w:hanging="428"/>
        <w:spacing w:after="0"/>
        <w:tabs>
          <w:tab w:leader="none" w:pos="428" w:val="left"/>
        </w:tabs>
        <w:numPr>
          <w:ilvl w:val="0"/>
          <w:numId w:val="8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any Transaction Obligor is not paid when due (unless contested in good faith) nor within any originally applicable grace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Financial Indebtedness of any Transaction Obligor is declared to be due and payable prior to its specified maturity as a result of an event of default (however described).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commitment for any Financial Indebtedness of any Transaction Obligor is cancelled or suspended by a creditor of any Transaction Obligor as a result of an event of default (however described) unless the relevant Transaction Obligor has satisfied the Facility Agent that such cancellation or suspension will not have any negative impact on the ability of that Transaction Obligor to satisfy its debts as they fall due.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creditor of any Transaction Obligor becomes entitled to declare any Financial Indebtedness of any Transaction Obligor due and payable prior to its specified maturity as a result of an event of default (however described).</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8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Event of Default will occur under this Clause 29.6 (</w:t>
      </w:r>
      <w:r>
        <w:rPr>
          <w:rFonts w:ascii="Times New Roman" w:cs="Times New Roman" w:eastAsia="Times New Roman" w:hAnsi="Times New Roman"/>
          <w:sz w:val="12"/>
          <w:szCs w:val="12"/>
          <w:i w:val="1"/>
          <w:iCs w:val="1"/>
          <w:color w:val="auto"/>
        </w:rPr>
        <w:t>Cross default</w:t>
      </w:r>
      <w:r>
        <w:rPr>
          <w:rFonts w:ascii="Times New Roman" w:cs="Times New Roman" w:eastAsia="Times New Roman" w:hAnsi="Times New Roman"/>
          <w:sz w:val="12"/>
          <w:szCs w:val="12"/>
          <w:color w:val="auto"/>
        </w:rPr>
        <w:t>) in respect of the Guarantor if the aggregate amount of Financial Indebtedness or commitment for Financial Indebtedness falling within paragraphs (a) to (d) above is less than $15,000,000 (or its equivalent in any other currency).</w:t>
      </w:r>
    </w:p>
    <w:p>
      <w:pPr>
        <w:spacing w:after="0" w:line="10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92" w:name="page493"/>
    <w:bookmarkEnd w:id="49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29.7</w:t>
      </w:r>
      <w:r>
        <w:rPr>
          <w:sz w:val="20"/>
          <w:szCs w:val="20"/>
          <w:color w:val="auto"/>
        </w:rPr>
        <w:tab/>
      </w:r>
      <w:r>
        <w:rPr>
          <w:rFonts w:ascii="Times New Roman" w:cs="Times New Roman" w:eastAsia="Times New Roman" w:hAnsi="Times New Roman"/>
          <w:sz w:val="11"/>
          <w:szCs w:val="11"/>
          <w:b w:val="1"/>
          <w:bCs w:val="1"/>
          <w:color w:val="auto"/>
        </w:rPr>
        <w:t>Insolvency</w:t>
      </w:r>
    </w:p>
    <w:p>
      <w:pPr>
        <w:spacing w:after="0" w:line="154" w:lineRule="exact"/>
        <w:rPr>
          <w:sz w:val="20"/>
          <w:szCs w:val="20"/>
          <w:color w:val="auto"/>
        </w:rPr>
      </w:pPr>
    </w:p>
    <w:p>
      <w:pPr>
        <w:ind w:left="428" w:hanging="428"/>
        <w:spacing w:after="0"/>
        <w:tabs>
          <w:tab w:leader="none" w:pos="428" w:val="left"/>
        </w:tabs>
        <w:numPr>
          <w:ilvl w:val="0"/>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unable or admits inability to pay its debts as they fall due;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declared to be unable to pay its debts under applicable law;</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suspends or threatens to suspend making payments on any of its debts; 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07" w:lineRule="exact"/>
        <w:rPr>
          <w:sz w:val="20"/>
          <w:szCs w:val="20"/>
          <w:color w:val="auto"/>
        </w:rPr>
      </w:pPr>
    </w:p>
    <w:p>
      <w:pPr>
        <w:jc w:val="both"/>
        <w:ind w:left="42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Provided that </w:t>
      </w:r>
      <w:r>
        <w:rPr>
          <w:rFonts w:ascii="Times New Roman" w:cs="Times New Roman" w:eastAsia="Times New Roman" w:hAnsi="Times New Roman"/>
          <w:sz w:val="12"/>
          <w:szCs w:val="12"/>
          <w:color w:val="auto"/>
        </w:rPr>
        <w:t>should such Transaction Obligor, for any reason, including without limitation, any actual or anticipated financial difficulties, commences, with prior written notice to the Facility Agent, negotiations with one 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more of its creditors (including the Facility Agent for account of the Lenders) with a view to rescheduling, deferring, re-organising or suspending any of its indebtedness, the negotiations themselves or the entering, as a result of such negotiations, into any agreement or contract with one or more of its creditors (including the Facility Agent for account of the Lenders) setting out terms for any rescheduling, deferral, re-organization or suspension of its indebtedness, shall not in itself constitute an Event of Default.</w:t>
      </w:r>
    </w:p>
    <w:p>
      <w:pPr>
        <w:spacing w:after="0" w:line="121" w:lineRule="exact"/>
        <w:rPr>
          <w:sz w:val="20"/>
          <w:szCs w:val="20"/>
          <w:color w:val="auto"/>
        </w:rPr>
      </w:pPr>
    </w:p>
    <w:p>
      <w:pPr>
        <w:ind w:left="428" w:hanging="428"/>
        <w:spacing w:after="0"/>
        <w:tabs>
          <w:tab w:leader="none" w:pos="428" w:val="left"/>
        </w:tabs>
        <w:numPr>
          <w:ilvl w:val="0"/>
          <w:numId w:val="8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moratorium is declared in respect of any indebtedness of any Transaction Obligor. If a moratorium occurs, the ending of the moratorium will not remedy any Event of Default caused by that moratorium.</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29.8</w:t>
      </w:r>
      <w:r>
        <w:rPr>
          <w:sz w:val="20"/>
          <w:szCs w:val="20"/>
          <w:color w:val="auto"/>
        </w:rPr>
        <w:tab/>
      </w:r>
      <w:r>
        <w:rPr>
          <w:rFonts w:ascii="Times New Roman" w:cs="Times New Roman" w:eastAsia="Times New Roman" w:hAnsi="Times New Roman"/>
          <w:sz w:val="11"/>
          <w:szCs w:val="11"/>
          <w:b w:val="1"/>
          <w:bCs w:val="1"/>
          <w:color w:val="auto"/>
        </w:rPr>
        <w:t>Insolvency proceedings</w:t>
      </w:r>
    </w:p>
    <w:p>
      <w:pPr>
        <w:spacing w:after="0" w:line="154" w:lineRule="exact"/>
        <w:rPr>
          <w:sz w:val="20"/>
          <w:szCs w:val="20"/>
          <w:color w:val="auto"/>
        </w:rPr>
      </w:pPr>
    </w:p>
    <w:p>
      <w:pPr>
        <w:ind w:left="428" w:hanging="428"/>
        <w:spacing w:after="0"/>
        <w:tabs>
          <w:tab w:leader="none" w:pos="428" w:val="left"/>
        </w:tabs>
        <w:numPr>
          <w:ilvl w:val="0"/>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corporate action, legal proceedings or other procedure or step is taken in relation to:</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suspension of payments, a moratorium of any indebtedness, winding-up, dissolution, administration or reorganisation (by way of voluntary arrangement, scheme of arrangement or otherwise) of any Transaction Obligor;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composition, compromise, assignment or arrangement with any creditor of any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liquidator, receiver, administrator, administrative receiver, compulsory manager or other similar officer in respect of any Transaction Obligor or any of its assets;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enforcement of any Security over any assets of any Transaction Obligor,</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or any analogous procedure or step is taken in any jurisdiction.</w:t>
      </w:r>
    </w:p>
    <w:p>
      <w:pPr>
        <w:spacing w:after="0" w:line="150" w:lineRule="exact"/>
        <w:rPr>
          <w:sz w:val="20"/>
          <w:szCs w:val="20"/>
          <w:color w:val="auto"/>
        </w:rPr>
      </w:pPr>
    </w:p>
    <w:p>
      <w:pPr>
        <w:ind w:left="428" w:hanging="428"/>
        <w:spacing w:after="0"/>
        <w:tabs>
          <w:tab w:leader="none" w:pos="428" w:val="left"/>
        </w:tabs>
        <w:numPr>
          <w:ilvl w:val="0"/>
          <w:numId w:val="86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 to any winding-up petition which is frivolous or vexatious and is discharged, stayed or dismissed within 30 days of commencement.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29.9</w:t>
      </w:r>
      <w:r>
        <w:rPr>
          <w:sz w:val="20"/>
          <w:szCs w:val="20"/>
          <w:color w:val="auto"/>
        </w:rPr>
        <w:tab/>
      </w:r>
      <w:r>
        <w:rPr>
          <w:rFonts w:ascii="Times New Roman" w:cs="Times New Roman" w:eastAsia="Times New Roman" w:hAnsi="Times New Roman"/>
          <w:sz w:val="11"/>
          <w:szCs w:val="11"/>
          <w:b w:val="1"/>
          <w:bCs w:val="1"/>
          <w:color w:val="auto"/>
        </w:rPr>
        <w:t>Creditors' process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Any expropriation, attachment, sequestration, distress or execution (or any analogous process in any jurisdiction) affects any asset or assets of a Transaction Obligor (other than an arrest or detention of a Ship referred to in Clause 29.13 (</w:t>
      </w:r>
      <w:r>
        <w:rPr>
          <w:rFonts w:ascii="Times New Roman" w:cs="Times New Roman" w:eastAsia="Times New Roman" w:hAnsi="Times New Roman"/>
          <w:sz w:val="12"/>
          <w:szCs w:val="12"/>
          <w:i w:val="1"/>
          <w:iCs w:val="1"/>
          <w:color w:val="auto"/>
        </w:rPr>
        <w:t>Arrest</w:t>
      </w:r>
      <w:r>
        <w:rPr>
          <w:rFonts w:ascii="Times New Roman" w:cs="Times New Roman" w:eastAsia="Times New Roman" w:hAnsi="Times New Roman"/>
          <w:sz w:val="12"/>
          <w:szCs w:val="12"/>
          <w:color w:val="auto"/>
        </w:rPr>
        <w:t>)) and is not discharged within 30 days (or such longer period the Facility Agent, acting on the instructions of the Majority Lenders, may agree to).</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493" w:name="page494"/>
    <w:bookmarkEnd w:id="49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29.10</w:t>
      </w:r>
      <w:r>
        <w:rPr>
          <w:sz w:val="20"/>
          <w:szCs w:val="20"/>
          <w:color w:val="auto"/>
        </w:rPr>
        <w:tab/>
      </w:r>
      <w:r>
        <w:rPr>
          <w:rFonts w:ascii="Times New Roman" w:cs="Times New Roman" w:eastAsia="Times New Roman" w:hAnsi="Times New Roman"/>
          <w:sz w:val="11"/>
          <w:szCs w:val="11"/>
          <w:b w:val="1"/>
          <w:bCs w:val="1"/>
          <w:color w:val="auto"/>
        </w:rPr>
        <w:t>Unlawfulness, invalidity and ranking</w:t>
      </w:r>
    </w:p>
    <w:p>
      <w:pPr>
        <w:spacing w:after="0" w:line="154" w:lineRule="exact"/>
        <w:rPr>
          <w:sz w:val="20"/>
          <w:szCs w:val="20"/>
          <w:color w:val="auto"/>
        </w:rPr>
      </w:pPr>
    </w:p>
    <w:p>
      <w:pPr>
        <w:ind w:left="428" w:hanging="428"/>
        <w:spacing w:after="0"/>
        <w:tabs>
          <w:tab w:leader="none" w:pos="428" w:val="left"/>
        </w:tabs>
        <w:numPr>
          <w:ilvl w:val="0"/>
          <w:numId w:val="8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is or becomes unlawful for a Transaction Obligor to perform any of its obligations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obligation of a Transaction Obligor under the Finance Documents is not or ceases to be legal, valid, binding or enforceable.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Finance Document ceases to be in full force and effect or to be continuing or is or purports to be determined or any Transaction Security is alleged by a party to it (other than a Finance Party) to be ineffective.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Transaction Security proves to have ranked after, or loses its priority to, any other Security.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29.11</w:t>
      </w:r>
      <w:r>
        <w:rPr>
          <w:sz w:val="20"/>
          <w:szCs w:val="20"/>
          <w:color w:val="auto"/>
        </w:rPr>
        <w:tab/>
      </w:r>
      <w:r>
        <w:rPr>
          <w:rFonts w:ascii="Times New Roman" w:cs="Times New Roman" w:eastAsia="Times New Roman" w:hAnsi="Times New Roman"/>
          <w:sz w:val="11"/>
          <w:szCs w:val="11"/>
          <w:b w:val="1"/>
          <w:bCs w:val="1"/>
          <w:color w:val="auto"/>
        </w:rPr>
        <w:t>Security imperilled</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Security created or intended to be created by a Finance Document is in any way imperilled or in jeopardy.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29.12</w:t>
      </w:r>
      <w:r>
        <w:rPr>
          <w:sz w:val="20"/>
          <w:szCs w:val="20"/>
          <w:color w:val="auto"/>
        </w:rPr>
        <w:tab/>
      </w:r>
      <w:r>
        <w:rPr>
          <w:rFonts w:ascii="Times New Roman" w:cs="Times New Roman" w:eastAsia="Times New Roman" w:hAnsi="Times New Roman"/>
          <w:sz w:val="11"/>
          <w:szCs w:val="11"/>
          <w:b w:val="1"/>
          <w:bCs w:val="1"/>
          <w:color w:val="auto"/>
        </w:rPr>
        <w:t>Cessation of business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Transaction Obligor suspends or ceases to carry on (or threatens to suspend or cease to carry on) all or a material part of its business.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29.13</w:t>
      </w:r>
      <w:r>
        <w:rPr>
          <w:sz w:val="20"/>
          <w:szCs w:val="20"/>
          <w:color w:val="auto"/>
        </w:rPr>
        <w:tab/>
      </w:r>
      <w:r>
        <w:rPr>
          <w:rFonts w:ascii="Times New Roman" w:cs="Times New Roman" w:eastAsia="Times New Roman" w:hAnsi="Times New Roman"/>
          <w:sz w:val="11"/>
          <w:szCs w:val="11"/>
          <w:b w:val="1"/>
          <w:bCs w:val="1"/>
          <w:color w:val="auto"/>
        </w:rPr>
        <w:t>Arrest</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Any arrest of a Ship or its detention in the exercise or the purported exercise of any lien or claim unless it is redelivered to the full control of the relevant Borrower within 30 days of such arrest or detention (or such longer period as may be required in the circumstances based on the assessment of the Facility Agent acting with the authorisation of the Majority Lenders).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29.14</w:t>
      </w:r>
      <w:r>
        <w:rPr>
          <w:sz w:val="20"/>
          <w:szCs w:val="20"/>
          <w:color w:val="auto"/>
        </w:rPr>
        <w:tab/>
      </w:r>
      <w:r>
        <w:rPr>
          <w:rFonts w:ascii="Times New Roman" w:cs="Times New Roman" w:eastAsia="Times New Roman" w:hAnsi="Times New Roman"/>
          <w:sz w:val="11"/>
          <w:szCs w:val="11"/>
          <w:b w:val="1"/>
          <w:bCs w:val="1"/>
          <w:color w:val="auto"/>
        </w:rPr>
        <w:t>Expropriation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The authority or ability of any Transaction Obligor to conduct its business is limited or wholly or substantially curtailed by any seizure, expropriation, nationalisation, intervention, restriction or other action by or on behalf of any governmental, regulatory or other authority or other person in relation to any Transaction Obligor or any of its assets other than:</w:t>
      </w:r>
    </w:p>
    <w:p>
      <w:pPr>
        <w:spacing w:after="0" w:line="109" w:lineRule="exact"/>
        <w:rPr>
          <w:sz w:val="20"/>
          <w:szCs w:val="20"/>
          <w:color w:val="auto"/>
        </w:rPr>
      </w:pPr>
    </w:p>
    <w:p>
      <w:pPr>
        <w:ind w:left="428" w:hanging="428"/>
        <w:spacing w:after="0"/>
        <w:tabs>
          <w:tab w:leader="none" w:pos="428" w:val="left"/>
        </w:tabs>
        <w:numPr>
          <w:ilvl w:val="0"/>
          <w:numId w:val="8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arrest or detention of a Ship referred to in Clause 29.13 (</w:t>
      </w:r>
      <w:r>
        <w:rPr>
          <w:rFonts w:ascii="Times New Roman" w:cs="Times New Roman" w:eastAsia="Times New Roman" w:hAnsi="Times New Roman"/>
          <w:sz w:val="12"/>
          <w:szCs w:val="12"/>
          <w:i w:val="1"/>
          <w:iCs w:val="1"/>
          <w:color w:val="auto"/>
        </w:rPr>
        <w:t>Arrest</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Requisition.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29.15</w:t>
      </w:r>
      <w:r>
        <w:rPr>
          <w:sz w:val="20"/>
          <w:szCs w:val="20"/>
          <w:color w:val="auto"/>
        </w:rPr>
        <w:tab/>
      </w:r>
      <w:r>
        <w:rPr>
          <w:rFonts w:ascii="Times New Roman" w:cs="Times New Roman" w:eastAsia="Times New Roman" w:hAnsi="Times New Roman"/>
          <w:sz w:val="11"/>
          <w:szCs w:val="11"/>
          <w:b w:val="1"/>
          <w:bCs w:val="1"/>
          <w:color w:val="auto"/>
        </w:rPr>
        <w:t>Repudiation and rescission of agreements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Any Obligor (or any other relevant party) rescinds or purports to rescind or repudiates or purports to repudiate a Transaction Document (other than an Assignable Charter where the prior approval of the Facility Agent has been obtained for rescission pursuant to the Finance Documents) or any of the Transaction Security or evidences an intention to rescind or repudiate a Transaction Document or any Transaction Security.</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494" w:name="page495"/>
    <w:bookmarkEnd w:id="49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29.16</w:t>
      </w:r>
      <w:r>
        <w:rPr>
          <w:sz w:val="20"/>
          <w:szCs w:val="20"/>
          <w:color w:val="auto"/>
        </w:rPr>
        <w:tab/>
      </w:r>
      <w:r>
        <w:rPr>
          <w:rFonts w:ascii="Times New Roman" w:cs="Times New Roman" w:eastAsia="Times New Roman" w:hAnsi="Times New Roman"/>
          <w:sz w:val="11"/>
          <w:szCs w:val="11"/>
          <w:b w:val="1"/>
          <w:bCs w:val="1"/>
          <w:color w:val="auto"/>
        </w:rPr>
        <w:t>Litigation</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litigation, arbitration or administrative proceedings or investigations of, or before, any court, arbitral body or agency are started or threatened, or any judgment or order of a court, arbitral body or agency is made, in relation to any of the Transaction Documents or the transactions contemplated in any of the Transaction Documents or against any member of the Group or its assets which has a Material Adverse Effect.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29.17</w:t>
      </w:r>
      <w:r>
        <w:rPr>
          <w:sz w:val="20"/>
          <w:szCs w:val="20"/>
          <w:color w:val="auto"/>
        </w:rPr>
        <w:tab/>
      </w:r>
      <w:r>
        <w:rPr>
          <w:rFonts w:ascii="Times New Roman" w:cs="Times New Roman" w:eastAsia="Times New Roman" w:hAnsi="Times New Roman"/>
          <w:sz w:val="11"/>
          <w:szCs w:val="11"/>
          <w:b w:val="1"/>
          <w:bCs w:val="1"/>
          <w:color w:val="auto"/>
        </w:rPr>
        <w:t>Material adverse change</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event or circumstance occurs which has a Material Adverse Effect, including, without limitation, the withdrawal of any material license or governmental or regulatory approval in respect of a Ship, the Guarantor or a Borrower (unless such withdrawal can be contested with the effect of suspension and is in fact so contested in good faith by the Borrowers and the Guarantor).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29.18</w:t>
      </w:r>
      <w:r>
        <w:rPr>
          <w:sz w:val="20"/>
          <w:szCs w:val="20"/>
          <w:color w:val="auto"/>
        </w:rPr>
        <w:tab/>
      </w:r>
      <w:r>
        <w:rPr>
          <w:rFonts w:ascii="Times New Roman" w:cs="Times New Roman" w:eastAsia="Times New Roman" w:hAnsi="Times New Roman"/>
          <w:sz w:val="11"/>
          <w:szCs w:val="11"/>
          <w:b w:val="1"/>
          <w:bCs w:val="1"/>
          <w:color w:val="auto"/>
        </w:rPr>
        <w:t>Approved Flag</w:t>
      </w:r>
    </w:p>
    <w:p>
      <w:pPr>
        <w:spacing w:after="0" w:line="154" w:lineRule="exact"/>
        <w:rPr>
          <w:sz w:val="20"/>
          <w:szCs w:val="20"/>
          <w:color w:val="auto"/>
        </w:rPr>
      </w:pPr>
    </w:p>
    <w:p>
      <w:pPr>
        <w:ind w:left="428" w:hanging="428"/>
        <w:spacing w:after="0"/>
        <w:tabs>
          <w:tab w:leader="none" w:pos="428" w:val="left"/>
        </w:tabs>
        <w:numPr>
          <w:ilvl w:val="0"/>
          <w:numId w:val="8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failure by a Borrower to keep the Ship owned by it registered under an Approved Flag.</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57" w:lineRule="auto"/>
        <w:tabs>
          <w:tab w:leader="none" w:pos="428" w:val="left"/>
        </w:tabs>
        <w:numPr>
          <w:ilvl w:val="0"/>
          <w:numId w:val="8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state of the Approved Flag of a Ship or any Relevant Jurisdiction is or becomes involved in hostilities or civil war or there are events of political risk or instability or there is a seizure of power in such state by unconstitutional means, or any other event occurs in relation to a Ship, the Mortgage on that Ship or its Approved Flag and in the opinion of the Facility Agent such event is likely to have a Material Adverse Effect and the Borrower owning that Ship fails upon the request of the Facility Agent to promptly (and in any case within such timing as may be reasonably set by the Facility Agent, acting on the instructions of the Majority Lenders) register that Ship in its name under another Approved Flag together with a first priority or first preferred ship mortgage (as the case may be and as required under the relevant state of the Approved Flag) in favour of the Security Agent and on such terms as required by the Facility Agent at the relevant time and in any case on substantially the same terms as the terms of the Mortgage.</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29.19</w:t>
      </w:r>
      <w:r>
        <w:rPr>
          <w:sz w:val="20"/>
          <w:szCs w:val="20"/>
          <w:color w:val="auto"/>
        </w:rPr>
        <w:tab/>
      </w:r>
      <w:r>
        <w:rPr>
          <w:rFonts w:ascii="Times New Roman" w:cs="Times New Roman" w:eastAsia="Times New Roman" w:hAnsi="Times New Roman"/>
          <w:sz w:val="11"/>
          <w:szCs w:val="11"/>
          <w:b w:val="1"/>
          <w:bCs w:val="1"/>
          <w:color w:val="auto"/>
        </w:rPr>
        <w:t>Termination of an Initial Charter</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Any Initial Charter (being an Assignable Charter) in respect of any Ship is terminated (except in the case of a Total Loss of that Ship or by effluxion of time) and not replaced by a new charter (which shall include for the avoidance of doubt a binding recapitulation of terms) acceptable to the Facility Agent (acting on the instructions of the Majority Lenders) in its reasonable discretion within 60 days from the termination date of the relevant Initial Charter.</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29.20</w:t>
      </w:r>
      <w:r>
        <w:rPr>
          <w:sz w:val="20"/>
          <w:szCs w:val="20"/>
          <w:color w:val="auto"/>
        </w:rPr>
        <w:tab/>
      </w:r>
      <w:r>
        <w:rPr>
          <w:rFonts w:ascii="Times New Roman" w:cs="Times New Roman" w:eastAsia="Times New Roman" w:hAnsi="Times New Roman"/>
          <w:sz w:val="11"/>
          <w:szCs w:val="11"/>
          <w:b w:val="1"/>
          <w:bCs w:val="1"/>
          <w:color w:val="auto"/>
        </w:rPr>
        <w:t>Acceleration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On and at any time after the occurrence of an Event of Default the Facility Agent may, and shall if so directed by the Majority Lenders:</w:t>
      </w:r>
    </w:p>
    <w:p>
      <w:pPr>
        <w:spacing w:after="0" w:line="150" w:lineRule="exact"/>
        <w:rPr>
          <w:sz w:val="20"/>
          <w:szCs w:val="20"/>
          <w:color w:val="auto"/>
        </w:rPr>
      </w:pPr>
    </w:p>
    <w:p>
      <w:pPr>
        <w:ind w:left="428" w:hanging="428"/>
        <w:spacing w:after="0"/>
        <w:tabs>
          <w:tab w:leader="none" w:pos="428" w:val="left"/>
        </w:tabs>
        <w:numPr>
          <w:ilvl w:val="0"/>
          <w:numId w:val="8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by notice to the Borrowers: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cancel the Total Commitments, whereupon they shall immediately be cancelled;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that all or part of the Loan, together with accrued interest, and all other amounts accrued or outstanding under the Finance Documents be immediately due and payable, whereupon it shall become immediately due and payable; and/or</w:t>
      </w:r>
    </w:p>
    <w:p>
      <w:pPr>
        <w:spacing w:after="0" w:line="111" w:lineRule="exact"/>
        <w:rPr>
          <w:sz w:val="20"/>
          <w:szCs w:val="20"/>
          <w:color w:val="auto"/>
        </w:rPr>
      </w:pPr>
    </w:p>
    <w:p>
      <w:pPr>
        <w:ind w:left="5568"/>
        <w:spacing w:after="0"/>
        <w:tabs>
          <w:tab w:leader="none" w:pos="10188" w:val="left"/>
        </w:tabs>
        <w:rPr>
          <w:sz w:val="20"/>
          <w:szCs w:val="20"/>
          <w:color w:val="auto"/>
        </w:rPr>
      </w:pPr>
      <w:r>
        <w:rPr>
          <w:rFonts w:ascii="Times New Roman" w:cs="Times New Roman" w:eastAsia="Times New Roman" w:hAnsi="Times New Roman"/>
          <w:sz w:val="11"/>
          <w:szCs w:val="11"/>
          <w:color w:val="auto"/>
        </w:rPr>
        <w:t>108</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495" w:name="page496"/>
    <w:bookmarkEnd w:id="495"/>
    <w:p>
      <w:pPr>
        <w:ind w:left="848" w:hanging="425"/>
        <w:spacing w:after="0"/>
        <w:tabs>
          <w:tab w:leader="none" w:pos="848" w:val="left"/>
        </w:tabs>
        <w:numPr>
          <w:ilvl w:val="1"/>
          <w:numId w:val="8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declare that all or part of the Loan be payable on demand, whereupon it shall immediately become payable on demand by the Facility Agent acting on the instructions of the Majority Lenders; and/or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exercise or direct the Security Agent to exercise any or all of its rights, remedies, powers or discretions under the Finance Documents,</w:t>
      </w:r>
    </w:p>
    <w:p>
      <w:pPr>
        <w:spacing w:after="0" w:line="150" w:lineRule="exact"/>
        <w:rPr>
          <w:rFonts w:ascii="Times New Roman" w:cs="Times New Roman" w:eastAsia="Times New Roman" w:hAnsi="Times New Roman"/>
          <w:sz w:val="12"/>
          <w:szCs w:val="12"/>
          <w:color w:val="auto"/>
        </w:rPr>
      </w:pPr>
    </w:p>
    <w:p>
      <w:pPr>
        <w:ind w:left="428"/>
        <w:spacing w:after="0" w:line="279"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the Facility Agent may serve notices under sub-paragraph (i), (ii) or (iii) of paragraph (a) above simultaneously or on different dates and any Servicing Party may take any action referred to in paragraph (b) above or Clause 29.21 (</w:t>
      </w:r>
      <w:r>
        <w:rPr>
          <w:rFonts w:ascii="Times New Roman" w:cs="Times New Roman" w:eastAsia="Times New Roman" w:hAnsi="Times New Roman"/>
          <w:sz w:val="12"/>
          <w:szCs w:val="12"/>
          <w:i w:val="1"/>
          <w:iCs w:val="1"/>
          <w:color w:val="auto"/>
        </w:rPr>
        <w:t>Enforcement of security</w:t>
      </w:r>
      <w:r>
        <w:rPr>
          <w:rFonts w:ascii="Times New Roman" w:cs="Times New Roman" w:eastAsia="Times New Roman" w:hAnsi="Times New Roman"/>
          <w:sz w:val="12"/>
          <w:szCs w:val="12"/>
          <w:color w:val="auto"/>
        </w:rPr>
        <w:t>) if no such notice is served or simultaneously with or at any time after the service of any of such notice.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29.21</w:t>
      </w:r>
      <w:r>
        <w:rPr>
          <w:sz w:val="20"/>
          <w:szCs w:val="20"/>
          <w:color w:val="auto"/>
        </w:rPr>
        <w:tab/>
      </w:r>
      <w:r>
        <w:rPr>
          <w:rFonts w:ascii="Times New Roman" w:cs="Times New Roman" w:eastAsia="Times New Roman" w:hAnsi="Times New Roman"/>
          <w:sz w:val="11"/>
          <w:szCs w:val="11"/>
          <w:b w:val="1"/>
          <w:bCs w:val="1"/>
          <w:color w:val="auto"/>
        </w:rPr>
        <w:t>Enforcement of security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and at any time after the occurrence of an Event of Default the Security Agent may, and shall if so directed by the Majority Lenders, take any action which, as a result of the Event of Default or any notice served under Clause 29.20 (</w:t>
      </w:r>
      <w:r>
        <w:rPr>
          <w:rFonts w:ascii="Times New Roman" w:cs="Times New Roman" w:eastAsia="Times New Roman" w:hAnsi="Times New Roman"/>
          <w:sz w:val="12"/>
          <w:szCs w:val="12"/>
          <w:i w:val="1"/>
          <w:iCs w:val="1"/>
          <w:color w:val="auto"/>
        </w:rPr>
        <w:t>Acceleration</w:t>
      </w:r>
      <w:r>
        <w:rPr>
          <w:rFonts w:ascii="Times New Roman" w:cs="Times New Roman" w:eastAsia="Times New Roman" w:hAnsi="Times New Roman"/>
          <w:sz w:val="12"/>
          <w:szCs w:val="12"/>
          <w:color w:val="auto"/>
        </w:rPr>
        <w:t>), the Security Agent is entitled to take under any Finance Document or any applicable law or regulation.</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109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96" w:name="page497"/>
    <w:bookmarkEnd w:id="49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9</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CHANGES TO PARTIES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w:t>
      </w:r>
      <w:r>
        <w:rPr>
          <w:sz w:val="20"/>
          <w:szCs w:val="20"/>
          <w:color w:val="auto"/>
        </w:rPr>
        <w:tab/>
      </w:r>
      <w:r>
        <w:rPr>
          <w:rFonts w:ascii="Times New Roman" w:cs="Times New Roman" w:eastAsia="Times New Roman" w:hAnsi="Times New Roman"/>
          <w:sz w:val="12"/>
          <w:szCs w:val="12"/>
          <w:b w:val="1"/>
          <w:bCs w:val="1"/>
          <w:color w:val="auto"/>
        </w:rPr>
        <w:t>CHANGES TO THE LENDERS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w:t>
      </w:r>
      <w:r>
        <w:rPr>
          <w:sz w:val="20"/>
          <w:szCs w:val="20"/>
          <w:color w:val="auto"/>
        </w:rPr>
        <w:tab/>
      </w:r>
      <w:r>
        <w:rPr>
          <w:rFonts w:ascii="Times New Roman" w:cs="Times New Roman" w:eastAsia="Times New Roman" w:hAnsi="Times New Roman"/>
          <w:sz w:val="12"/>
          <w:szCs w:val="12"/>
          <w:b w:val="1"/>
          <w:bCs w:val="1"/>
          <w:color w:val="auto"/>
        </w:rPr>
        <w:t>Assignments and transfers by the Lenders</w:t>
      </w:r>
    </w:p>
    <w:p>
      <w:pPr>
        <w:spacing w:after="0" w:line="150" w:lineRule="exact"/>
        <w:rPr>
          <w:sz w:val="20"/>
          <w:szCs w:val="20"/>
          <w:color w:val="auto"/>
        </w:rPr>
      </w:pPr>
    </w:p>
    <w:p>
      <w:pPr>
        <w:ind w:left="428" w:hanging="428"/>
        <w:spacing w:after="0"/>
        <w:tabs>
          <w:tab w:leader="none" w:pos="428" w:val="left"/>
        </w:tabs>
        <w:numPr>
          <w:ilvl w:val="0"/>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this Clause 30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and without prejudice to any other rights available to it as a matter of applicable law, a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may at any time:</w:t>
      </w:r>
    </w:p>
    <w:p>
      <w:pPr>
        <w:spacing w:after="0" w:line="154"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assign any of its rights;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transfer by novation any of its rights and obligations (including, for the avoidance of doubt, its Commitment or any part thereof),</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under the Finance Documents to:</w:t>
      </w:r>
    </w:p>
    <w:p>
      <w:pPr>
        <w:spacing w:after="0" w:line="150" w:lineRule="exact"/>
        <w:rPr>
          <w:sz w:val="20"/>
          <w:szCs w:val="20"/>
          <w:color w:val="auto"/>
        </w:rPr>
      </w:pPr>
    </w:p>
    <w:p>
      <w:pPr>
        <w:ind w:left="1268" w:hanging="422"/>
        <w:spacing w:after="0"/>
        <w:tabs>
          <w:tab w:leader="none" w:pos="1268" w:val="left"/>
        </w:tabs>
        <w:numPr>
          <w:ilvl w:val="0"/>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another Lender;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Affiliate of a Lender;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existing lender of the Guarantor or any Affiliate of that lender;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member of the European System of Central Banks;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fund managed by a Lender or any of its Affiliates; or</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0"/>
          <w:numId w:val="8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any other first class bank or financial institution or insurance company which has a minimum investment grade rating for its long term senior unsecured debt by any two of the rating agencies Moody's, Fitch and Standard &amp; Poor's,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such entity is regularly engaged in or established for the purpose of making, purchasing or investing in shipping loans, securities or other financial assets,</w:t>
      </w:r>
    </w:p>
    <w:p>
      <w:pPr>
        <w:spacing w:after="0" w:line="107"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 and, following the occurrence of an Event of Default which is continuing, a New Lender may be any person other than an individual).</w:t>
      </w:r>
    </w:p>
    <w:p>
      <w:pPr>
        <w:spacing w:after="0" w:line="154" w:lineRule="exact"/>
        <w:rPr>
          <w:sz w:val="20"/>
          <w:szCs w:val="20"/>
          <w:color w:val="auto"/>
        </w:rPr>
      </w:pPr>
    </w:p>
    <w:p>
      <w:pPr>
        <w:ind w:left="428" w:hanging="428"/>
        <w:spacing w:after="0"/>
        <w:tabs>
          <w:tab w:leader="none" w:pos="428" w:val="left"/>
        </w:tabs>
        <w:numPr>
          <w:ilvl w:val="0"/>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an Event of Default has occurred which is continuing, an assignment or transfer by an Existing Lender under paragraph (a) above (other than an assignment or transfer to an Affiliate in accordance with sub-paragraph</w:t>
      </w:r>
    </w:p>
    <w:p>
      <w:pPr>
        <w:spacing w:after="0" w:line="16" w:lineRule="exact"/>
        <w:rPr>
          <w:rFonts w:ascii="Times New Roman" w:cs="Times New Roman" w:eastAsia="Times New Roman" w:hAnsi="Times New Roman"/>
          <w:sz w:val="12"/>
          <w:szCs w:val="12"/>
          <w:color w:val="auto"/>
        </w:rPr>
      </w:pPr>
    </w:p>
    <w:p>
      <w:pPr>
        <w:jc w:val="both"/>
        <w:ind w:left="428"/>
        <w:spacing w:after="0" w:line="255"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above) is subject to prior consultation with the Obligors by giving the Obligors no less than 45 days' prior written notice (the "</w:t>
      </w:r>
      <w:r>
        <w:rPr>
          <w:rFonts w:ascii="Times New Roman" w:cs="Times New Roman" w:eastAsia="Times New Roman" w:hAnsi="Times New Roman"/>
          <w:sz w:val="12"/>
          <w:szCs w:val="12"/>
          <w:b w:val="1"/>
          <w:bCs w:val="1"/>
          <w:color w:val="auto"/>
        </w:rPr>
        <w:t>Notice Period</w:t>
      </w:r>
      <w:r>
        <w:rPr>
          <w:rFonts w:ascii="Times New Roman" w:cs="Times New Roman" w:eastAsia="Times New Roman" w:hAnsi="Times New Roman"/>
          <w:sz w:val="12"/>
          <w:szCs w:val="12"/>
          <w:color w:val="auto"/>
        </w:rPr>
        <w:t>"), during which the Borrowers will have the right to refinance or otherwise prepay said Lender's participation in the Facility prior to the expiry of the Notice Period (and subject to the Borrowers giving irrevocable written notice to the Facility Agent 21 days prior to the intended prepayment or refinancing).</w:t>
      </w:r>
    </w:p>
    <w:p>
      <w:pPr>
        <w:spacing w:after="0" w:line="125"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 Event of Default which is continuing, the Existing Lender may assign any of its rights or transfer any of its rights and obligations (including, for the avoidance of doubt, its Commitment or any part thereof) under the Finance Documents to any person other than an individual, without any notification to or consultation with the Obligors and without the need to obtain the prior consent of the Obligors.</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497" w:name="page498"/>
    <w:bookmarkEnd w:id="497"/>
    <w:p>
      <w:pPr>
        <w:ind w:left="428" w:hanging="428"/>
        <w:spacing w:after="0"/>
        <w:tabs>
          <w:tab w:leader="none" w:pos="428" w:val="left"/>
        </w:tabs>
        <w:numPr>
          <w:ilvl w:val="0"/>
          <w:numId w:val="8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avoidance of doubt, the consent of the Obligors is not required for any assignment or transfer by an Existing Lender.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Obligor may be a New Lender.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30.2</w:t>
      </w:r>
      <w:r>
        <w:rPr>
          <w:sz w:val="20"/>
          <w:szCs w:val="20"/>
          <w:color w:val="auto"/>
        </w:rPr>
        <w:tab/>
      </w:r>
      <w:r>
        <w:rPr>
          <w:rFonts w:ascii="Times New Roman" w:cs="Times New Roman" w:eastAsia="Times New Roman" w:hAnsi="Times New Roman"/>
          <w:sz w:val="11"/>
          <w:szCs w:val="11"/>
          <w:b w:val="1"/>
          <w:bCs w:val="1"/>
          <w:color w:val="auto"/>
        </w:rPr>
        <w:t>Conditions of assignment or transfer</w:t>
      </w:r>
    </w:p>
    <w:p>
      <w:pPr>
        <w:spacing w:after="0" w:line="154" w:lineRule="exact"/>
        <w:rPr>
          <w:sz w:val="20"/>
          <w:szCs w:val="20"/>
          <w:color w:val="auto"/>
        </w:rPr>
      </w:pPr>
    </w:p>
    <w:p>
      <w:pPr>
        <w:ind w:left="428" w:hanging="428"/>
        <w:spacing w:after="0"/>
        <w:tabs>
          <w:tab w:leader="none" w:pos="428" w:val="left"/>
        </w:tabs>
        <w:numPr>
          <w:ilvl w:val="0"/>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assignment will only be effective on: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receipt by the Facility Agent (whether in the Assignment Agreement or otherwise) of written confirmation from the New Lender (in form and substance satisfactory to the Facility Agent) that the New Lender will assume the same obligations to the other Secured Parties as it would have been under if it were an Original Lender;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by the Facility Agent of all necessary "know your customer" or other similar checks under all applicable laws and regulations in relation to such assignment to a New Lender, the completion of which the Facility Agent shall promptly notify to the Existing Lender and the New Lender.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on behalf of itself and each Transaction Obligor agrees that all rights and interests (present, future or contingent) which the Existing Lender has under or by virtue of the Finance Documents are assigned to the New Lender absolutely, free of any defects in the Existing Lender's title and of any rights or equities which the Borrowers or any other Transaction Obligor had against the Existing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transfer will only be effective if the procedure set out in Clause 30.5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is complied with.</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Lender assigns or transfers any of its rights or obligations under the Finance Documents or changes its Facility Office;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circumstances existing at the date the assignment, transfer or change occurs, a Transaction Obligor would be obliged to make a payment to the New Lender or Lender acting through its new Facility Office under Clause 13 (</w:t>
      </w:r>
      <w:r>
        <w:rPr>
          <w:rFonts w:ascii="Times New Roman" w:cs="Times New Roman" w:eastAsia="Times New Roman" w:hAnsi="Times New Roman"/>
          <w:sz w:val="12"/>
          <w:szCs w:val="12"/>
          <w:i w:val="1"/>
          <w:iCs w:val="1"/>
          <w:color w:val="auto"/>
        </w:rPr>
        <w:t>Tax Gross Up and Indemnities</w:t>
      </w:r>
      <w:r>
        <w:rPr>
          <w:rFonts w:ascii="Times New Roman" w:cs="Times New Roman" w:eastAsia="Times New Roman" w:hAnsi="Times New Roman"/>
          <w:sz w:val="12"/>
          <w:szCs w:val="12"/>
          <w:color w:val="auto"/>
        </w:rPr>
        <w:t>) or under that clause as incorporated by reference or in full in any other Finance Document or Clause 14 (</w:t>
      </w:r>
      <w:r>
        <w:rPr>
          <w:rFonts w:ascii="Times New Roman" w:cs="Times New Roman" w:eastAsia="Times New Roman" w:hAnsi="Times New Roman"/>
          <w:sz w:val="12"/>
          <w:szCs w:val="12"/>
          <w:i w:val="1"/>
          <w:iCs w:val="1"/>
          <w:color w:val="auto"/>
        </w:rPr>
        <w:t>Increased Costs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(d) shall not apply in respect of an assignment or transfer made in the ordinary course of the primary syndication of the Facility.</w:t>
      </w:r>
    </w:p>
    <w:p>
      <w:pPr>
        <w:spacing w:after="0" w:line="111" w:lineRule="exact"/>
        <w:rPr>
          <w:sz w:val="20"/>
          <w:szCs w:val="20"/>
          <w:color w:val="auto"/>
        </w:rPr>
      </w:pPr>
    </w:p>
    <w:p>
      <w:pPr>
        <w:jc w:val="both"/>
        <w:ind w:left="428" w:hanging="428"/>
        <w:spacing w:after="0" w:line="265" w:lineRule="auto"/>
        <w:tabs>
          <w:tab w:leader="none" w:pos="428" w:val="left"/>
        </w:tabs>
        <w:numPr>
          <w:ilvl w:val="0"/>
          <w:numId w:val="8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New Lender, by executing the relevant Transfer Certificate or Assignment Agreement, confirms, for the avoidance of doubt, that the Facility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498" w:name="page499"/>
    <w:bookmarkEnd w:id="49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30.3</w:t>
      </w:r>
      <w:r>
        <w:rPr>
          <w:sz w:val="20"/>
          <w:szCs w:val="20"/>
          <w:color w:val="auto"/>
        </w:rPr>
        <w:tab/>
      </w:r>
      <w:r>
        <w:rPr>
          <w:rFonts w:ascii="Times New Roman" w:cs="Times New Roman" w:eastAsia="Times New Roman" w:hAnsi="Times New Roman"/>
          <w:sz w:val="11"/>
          <w:szCs w:val="11"/>
          <w:b w:val="1"/>
          <w:bCs w:val="1"/>
          <w:color w:val="auto"/>
        </w:rPr>
        <w:t>Assignment or transfer fee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New Lender shall, on the date upon which an assignment or transfer takes effect, pay to the Facility Agent (for its own account) a fee of $5,000.</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30.4</w:t>
      </w:r>
      <w:r>
        <w:rPr>
          <w:sz w:val="20"/>
          <w:szCs w:val="20"/>
          <w:color w:val="auto"/>
        </w:rPr>
        <w:tab/>
      </w:r>
      <w:r>
        <w:rPr>
          <w:rFonts w:ascii="Times New Roman" w:cs="Times New Roman" w:eastAsia="Times New Roman" w:hAnsi="Times New Roman"/>
          <w:sz w:val="11"/>
          <w:szCs w:val="11"/>
          <w:b w:val="1"/>
          <w:bCs w:val="1"/>
          <w:color w:val="auto"/>
        </w:rPr>
        <w:t>Limitation of responsibility of Existing Lenders</w:t>
      </w:r>
    </w:p>
    <w:p>
      <w:pPr>
        <w:spacing w:after="0" w:line="154" w:lineRule="exact"/>
        <w:rPr>
          <w:sz w:val="20"/>
          <w:szCs w:val="20"/>
          <w:color w:val="auto"/>
        </w:rPr>
      </w:pPr>
    </w:p>
    <w:p>
      <w:pPr>
        <w:ind w:left="428" w:hanging="428"/>
        <w:spacing w:after="0"/>
        <w:tabs>
          <w:tab w:leader="none" w:pos="428" w:val="left"/>
        </w:tabs>
        <w:numPr>
          <w:ilvl w:val="0"/>
          <w:numId w:val="8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expressly agreed to the contrary, an Existing Lender makes no representation or warranty and assumes no responsibility to a New Lender for: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the Transaction Documents, the Transaction Security or any other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of any Transaction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performance and observance by any Transaction Obligor of its obligations under the Transaction Documents or any other documents;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any statements (whether written or oral) made in or in connection with any Transaction Document or any other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any representations or warranties implied by law are excluded.</w:t>
      </w:r>
    </w:p>
    <w:p>
      <w:pPr>
        <w:spacing w:after="0" w:line="150" w:lineRule="exact"/>
        <w:rPr>
          <w:sz w:val="20"/>
          <w:szCs w:val="20"/>
          <w:color w:val="auto"/>
        </w:rPr>
      </w:pPr>
    </w:p>
    <w:p>
      <w:pPr>
        <w:ind w:left="428" w:hanging="428"/>
        <w:spacing w:after="0"/>
        <w:tabs>
          <w:tab w:leader="none" w:pos="428" w:val="left"/>
        </w:tabs>
        <w:numPr>
          <w:ilvl w:val="0"/>
          <w:numId w:val="8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New Lender confirms to the Existing Lender and the other Finance Parties and the Secured Parties that it:</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has made (and shall continue to make) its own independent investigation and assessment of the financial condition and affairs of each Transaction Obligor and its related entities in connection with its participation in this Agreement and has not relied exclusively on any information provided to it by the Existing Lender or any other Finance Party in connection with any Transaction Document or the Transaction Security;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will continue to make its own independent appraisal of the creditworthiness of each Transaction Obligor and its related entities throughout the Security Period.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obliges an Existing Lender to:</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accept a re-transfer or re-assignment from a New Lender of any of the rights and obligations assigned or transferred under this Clause 30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or</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support any losses directly or indirectly incurred by the New Lender by reason of the non-performance by any Transaction Obligor of its obligations under the Transaction Documents or otherwise.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30.5</w:t>
      </w:r>
      <w:r>
        <w:rPr>
          <w:sz w:val="20"/>
          <w:szCs w:val="20"/>
          <w:color w:val="auto"/>
        </w:rPr>
        <w:tab/>
      </w:r>
      <w:r>
        <w:rPr>
          <w:rFonts w:ascii="Times New Roman" w:cs="Times New Roman" w:eastAsia="Times New Roman" w:hAnsi="Times New Roman"/>
          <w:sz w:val="11"/>
          <w:szCs w:val="11"/>
          <w:b w:val="1"/>
          <w:bCs w:val="1"/>
          <w:color w:val="auto"/>
        </w:rPr>
        <w:t>Procedure for transfer</w:t>
      </w:r>
    </w:p>
    <w:p>
      <w:pPr>
        <w:spacing w:after="0" w:line="152" w:lineRule="exact"/>
        <w:rPr>
          <w:sz w:val="20"/>
          <w:szCs w:val="20"/>
          <w:color w:val="auto"/>
        </w:rPr>
      </w:pPr>
    </w:p>
    <w:p>
      <w:pPr>
        <w:jc w:val="both"/>
        <w:ind w:left="428" w:right="20" w:hanging="428"/>
        <w:spacing w:after="0" w:line="266" w:lineRule="auto"/>
        <w:tabs>
          <w:tab w:leader="none" w:pos="428" w:val="left"/>
        </w:tabs>
        <w:numPr>
          <w:ilvl w:val="0"/>
          <w:numId w:val="8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conditions set out in Clause 30.2(a)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 a transfer is effected in accordance with paragraph (c) below when the Facility Agent executes an otherwise duly completed Transfer Certificate delivered to it by the Existing Lender and the New Lender. The Facility Agent shall, subject to paragraph (b) below as soon as reasonably practicable after receipt by it of a duly completed Transfer Certificate appearing on its face to comply with this Agreement and delivered in accordance with this Agreement, execute that Transfer Certificate.</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499" w:name="page500"/>
    <w:bookmarkEnd w:id="499"/>
    <w:p>
      <w:pPr>
        <w:ind w:left="428" w:right="20" w:hanging="428"/>
        <w:spacing w:after="0" w:line="279" w:lineRule="auto"/>
        <w:tabs>
          <w:tab w:leader="none" w:pos="428" w:val="left"/>
        </w:tabs>
        <w:numPr>
          <w:ilvl w:val="0"/>
          <w:numId w:val="8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09"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on the Transfer Date:</w:t>
      </w:r>
    </w:p>
    <w:p>
      <w:pPr>
        <w:spacing w:after="0" w:line="152"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that in the Transfer Certificate the Existing Lender seeks to transfer by novation its rights and obligations under the Finance Documents and in respect of the Transaction Security, each of the Transaction Obligors and the Existing Lender shall be released from further obligations towards one another under the Finance Documents and in respect of the Transaction Security and their respective rights against one another under the Finance Documents and in respect of the Transaction Security shall be cancelled (being the "</w:t>
      </w:r>
      <w:r>
        <w:rPr>
          <w:rFonts w:ascii="Times New Roman" w:cs="Times New Roman" w:eastAsia="Times New Roman" w:hAnsi="Times New Roman"/>
          <w:sz w:val="12"/>
          <w:szCs w:val="12"/>
          <w:b w:val="1"/>
          <w:bCs w:val="1"/>
          <w:color w:val="auto"/>
        </w:rPr>
        <w:t>Discharged Rights and Obligations</w:t>
      </w:r>
      <w:r>
        <w:rPr>
          <w:rFonts w:ascii="Times New Roman" w:cs="Times New Roman" w:eastAsia="Times New Roman" w:hAnsi="Times New Roman"/>
          <w:sz w:val="12"/>
          <w:szCs w:val="12"/>
          <w:color w:val="auto"/>
        </w:rPr>
        <w:t>");</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Transaction Obligors and the New Lender shall assume obligations towards one another and/or acquire rights against one another which differ from the Discharged Rights and Obligations only insofar as that Transaction Obligor and the New Lender have assumed and/or acquired the same in place of that Transaction Obligor and the Existing Lender;</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8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the Security Agent, the New Lender and other Lenders shall acquire the same rights and assume the same obligations between themselves and in respect of the Transaction Security as they would have acquired and assumed had the New Lender been an Original Lender with the rights and/or obligations acquired or assumed by it as a result of the transfer and to that extent the Facility Agent, the Security Agent and the Existing Lenders shall each be released from further obligations to each other under the Finance Documents; and</w:t>
      </w:r>
    </w:p>
    <w:p>
      <w:pPr>
        <w:spacing w:after="0" w:line="114"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shall become a Party as a "</w:t>
      </w:r>
      <w:r>
        <w:rPr>
          <w:rFonts w:ascii="Times New Roman" w:cs="Times New Roman" w:eastAsia="Times New Roman" w:hAnsi="Times New Roman"/>
          <w:sz w:val="12"/>
          <w:szCs w:val="12"/>
          <w:b w:val="1"/>
          <w:bCs w:val="1"/>
          <w:color w:val="auto"/>
        </w:rPr>
        <w:t>Lender</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30.6</w:t>
      </w:r>
      <w:r>
        <w:rPr>
          <w:sz w:val="20"/>
          <w:szCs w:val="20"/>
          <w:color w:val="auto"/>
        </w:rPr>
        <w:tab/>
      </w:r>
      <w:r>
        <w:rPr>
          <w:rFonts w:ascii="Times New Roman" w:cs="Times New Roman" w:eastAsia="Times New Roman" w:hAnsi="Times New Roman"/>
          <w:sz w:val="11"/>
          <w:szCs w:val="11"/>
          <w:b w:val="1"/>
          <w:bCs w:val="1"/>
          <w:color w:val="auto"/>
        </w:rPr>
        <w:t>Procedure for assignment</w:t>
      </w:r>
    </w:p>
    <w:p>
      <w:pPr>
        <w:spacing w:after="0" w:line="152" w:lineRule="exact"/>
        <w:rPr>
          <w:sz w:val="20"/>
          <w:szCs w:val="20"/>
          <w:color w:val="auto"/>
        </w:rPr>
      </w:pPr>
    </w:p>
    <w:p>
      <w:pPr>
        <w:jc w:val="both"/>
        <w:ind w:left="428" w:hanging="428"/>
        <w:spacing w:after="0" w:line="266" w:lineRule="auto"/>
        <w:tabs>
          <w:tab w:leader="none" w:pos="428" w:val="left"/>
        </w:tabs>
        <w:numPr>
          <w:ilvl w:val="0"/>
          <w:numId w:val="8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the conditions set out in Clause 30.2(a)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 an assignment may be effected in accordance with paragraph (c) below when the Facility Agent executes an otherwise duly completed Assignment Agreement delivered to it by the Existing Lender and the New Lender. The Facility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19"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500" w:name="page501"/>
    <w:bookmarkEnd w:id="500"/>
    <w:p>
      <w:pPr>
        <w:ind w:left="428" w:hanging="428"/>
        <w:spacing w:after="0"/>
        <w:tabs>
          <w:tab w:leader="none" w:pos="428" w:val="left"/>
        </w:tabs>
        <w:numPr>
          <w:ilvl w:val="0"/>
          <w:numId w:val="8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on the Transfer Date:</w:t>
      </w:r>
    </w:p>
    <w:p>
      <w:pPr>
        <w:spacing w:after="0" w:line="152"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will assign absolutely to the New Lender its rights under the Finance Documents and in respect of the Transaction Security expressed to be the subject of the assignment in the Assignment Agreement;</w:t>
      </w:r>
    </w:p>
    <w:p>
      <w:pPr>
        <w:spacing w:after="0" w:line="107" w:lineRule="exact"/>
        <w:rPr>
          <w:rFonts w:ascii="Times New Roman" w:cs="Times New Roman" w:eastAsia="Times New Roman" w:hAnsi="Times New Roman"/>
          <w:sz w:val="12"/>
          <w:szCs w:val="12"/>
          <w:color w:val="auto"/>
        </w:rPr>
      </w:pPr>
    </w:p>
    <w:p>
      <w:pPr>
        <w:ind w:left="848" w:right="20" w:hanging="425"/>
        <w:spacing w:after="0" w:line="286" w:lineRule="auto"/>
        <w:tabs>
          <w:tab w:leader="none" w:pos="848" w:val="left"/>
        </w:tabs>
        <w:numPr>
          <w:ilvl w:val="1"/>
          <w:numId w:val="8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will be released from the obligations (the "</w:t>
      </w:r>
      <w:r>
        <w:rPr>
          <w:rFonts w:ascii="Times New Roman" w:cs="Times New Roman" w:eastAsia="Times New Roman" w:hAnsi="Times New Roman"/>
          <w:sz w:val="12"/>
          <w:szCs w:val="12"/>
          <w:b w:val="1"/>
          <w:bCs w:val="1"/>
          <w:color w:val="auto"/>
        </w:rPr>
        <w:t>Relevant Obligations</w:t>
      </w:r>
      <w:r>
        <w:rPr>
          <w:rFonts w:ascii="Times New Roman" w:cs="Times New Roman" w:eastAsia="Times New Roman" w:hAnsi="Times New Roman"/>
          <w:sz w:val="12"/>
          <w:szCs w:val="12"/>
          <w:color w:val="auto"/>
        </w:rPr>
        <w:t>") expressed to be the subject of the release in the Assignment Agreement (and any corresponding obligations by which it is bound in respect of the Transaction Security); and</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shall become a Party as a "Lender" and will be bound by obligations equivalent to the Relevant Obligations.</w:t>
      </w:r>
    </w:p>
    <w:p>
      <w:pPr>
        <w:spacing w:after="0" w:line="148" w:lineRule="exact"/>
        <w:rPr>
          <w:rFonts w:ascii="Times New Roman" w:cs="Times New Roman" w:eastAsia="Times New Roman" w:hAnsi="Times New Roman"/>
          <w:sz w:val="12"/>
          <w:szCs w:val="12"/>
          <w:color w:val="auto"/>
        </w:rPr>
      </w:pPr>
    </w:p>
    <w:p>
      <w:pPr>
        <w:jc w:val="both"/>
        <w:ind w:left="428" w:hanging="428"/>
        <w:spacing w:after="0" w:line="266" w:lineRule="auto"/>
        <w:tabs>
          <w:tab w:leader="none" w:pos="428" w:val="left"/>
        </w:tabs>
        <w:numPr>
          <w:ilvl w:val="0"/>
          <w:numId w:val="8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Lenders may utilise procedures other than those set out in this Clause 30.6 (</w:t>
      </w:r>
      <w:r>
        <w:rPr>
          <w:rFonts w:ascii="Times New Roman" w:cs="Times New Roman" w:eastAsia="Times New Roman" w:hAnsi="Times New Roman"/>
          <w:sz w:val="12"/>
          <w:szCs w:val="12"/>
          <w:i w:val="1"/>
          <w:iCs w:val="1"/>
          <w:color w:val="auto"/>
        </w:rPr>
        <w:t>Procedure for assignment</w:t>
      </w:r>
      <w:r>
        <w:rPr>
          <w:rFonts w:ascii="Times New Roman" w:cs="Times New Roman" w:eastAsia="Times New Roman" w:hAnsi="Times New Roman"/>
          <w:sz w:val="12"/>
          <w:szCs w:val="12"/>
          <w:color w:val="auto"/>
        </w:rPr>
        <w:t>) to assign their rights under the Finance Documents (but not, without the consent of the relevant Transaction Obligor or unless in accordance with Clause 30.5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xml:space="preserve">), to obtain a release by that Transaction Obligor from the obligations owed to that Transaction Obligor by the Lenders nor the assumption of equivalent obligations by a New Lender) </w:t>
      </w:r>
      <w:r>
        <w:rPr>
          <w:rFonts w:ascii="Times New Roman" w:cs="Times New Roman" w:eastAsia="Times New Roman" w:hAnsi="Times New Roman"/>
          <w:sz w:val="12"/>
          <w:szCs w:val="12"/>
          <w:b w:val="1"/>
          <w:bCs w:val="1"/>
          <w:color w:val="auto"/>
        </w:rPr>
        <w:t>provided that</w:t>
      </w:r>
      <w:r>
        <w:rPr>
          <w:rFonts w:ascii="Times New Roman" w:cs="Times New Roman" w:eastAsia="Times New Roman" w:hAnsi="Times New Roman"/>
          <w:sz w:val="12"/>
          <w:szCs w:val="12"/>
          <w:color w:val="auto"/>
        </w:rPr>
        <w:t xml:space="preserve"> they comply with the conditions set out in Clause 30.2(a) (</w:t>
      </w:r>
      <w:r>
        <w:rPr>
          <w:rFonts w:ascii="Times New Roman" w:cs="Times New Roman" w:eastAsia="Times New Roman" w:hAnsi="Times New Roman"/>
          <w:sz w:val="12"/>
          <w:szCs w:val="12"/>
          <w:i w:val="1"/>
          <w:iCs w:val="1"/>
          <w:color w:val="auto"/>
        </w:rPr>
        <w:t>Conditions of assignment or transfer</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30.7</w:t>
      </w:r>
      <w:r>
        <w:rPr>
          <w:sz w:val="20"/>
          <w:szCs w:val="20"/>
          <w:color w:val="auto"/>
        </w:rPr>
        <w:tab/>
      </w:r>
      <w:r>
        <w:rPr>
          <w:rFonts w:ascii="Times New Roman" w:cs="Times New Roman" w:eastAsia="Times New Roman" w:hAnsi="Times New Roman"/>
          <w:sz w:val="11"/>
          <w:szCs w:val="11"/>
          <w:b w:val="1"/>
          <w:bCs w:val="1"/>
          <w:color w:val="auto"/>
        </w:rPr>
        <w:t>Copy of Transfer Certificate or Assignment Agreement to Borrowers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shall, as soon as reasonably practicable after it has executed a Transfer Certificate or an Assignment Agreement, send to the Borrowers a copy of that Transfer Certificate or Assignment Agreement.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30.8</w:t>
      </w:r>
      <w:r>
        <w:rPr>
          <w:sz w:val="20"/>
          <w:szCs w:val="20"/>
          <w:color w:val="auto"/>
        </w:rPr>
        <w:tab/>
      </w:r>
      <w:r>
        <w:rPr>
          <w:rFonts w:ascii="Times New Roman" w:cs="Times New Roman" w:eastAsia="Times New Roman" w:hAnsi="Times New Roman"/>
          <w:sz w:val="12"/>
          <w:szCs w:val="12"/>
          <w:b w:val="1"/>
          <w:bCs w:val="1"/>
          <w:color w:val="auto"/>
        </w:rPr>
        <w:t>Security over Lenders' rights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In addition to the other rights provided to Lenders under this Clause 30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each Lender may without consulting with or obtaining consent from any Transaction Obligor, at any time charge, assign or otherwise create Security in or over (whether by way of collateral or otherwise) all or any of its rights under any Finance Document to secure obligations of that Lender including, without limitation:</w:t>
      </w:r>
    </w:p>
    <w:p>
      <w:pPr>
        <w:spacing w:after="0" w:line="109" w:lineRule="exact"/>
        <w:rPr>
          <w:sz w:val="20"/>
          <w:szCs w:val="20"/>
          <w:color w:val="auto"/>
        </w:rPr>
      </w:pPr>
    </w:p>
    <w:p>
      <w:pPr>
        <w:ind w:left="428" w:hanging="428"/>
        <w:spacing w:after="0"/>
        <w:tabs>
          <w:tab w:leader="none" w:pos="428" w:val="left"/>
        </w:tabs>
        <w:numPr>
          <w:ilvl w:val="0"/>
          <w:numId w:val="8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charge, assignment or other Security to secure obligations to a federal reserve or central bank; and</w:t>
      </w:r>
    </w:p>
    <w:p>
      <w:pPr>
        <w:spacing w:after="0" w:line="150" w:lineRule="exact"/>
        <w:rPr>
          <w:rFonts w:ascii="Times New Roman" w:cs="Times New Roman" w:eastAsia="Times New Roman" w:hAnsi="Times New Roman"/>
          <w:sz w:val="12"/>
          <w:szCs w:val="12"/>
          <w:color w:val="auto"/>
        </w:rPr>
      </w:pPr>
    </w:p>
    <w:p>
      <w:pPr>
        <w:ind w:left="428" w:right="960" w:hanging="428"/>
        <w:spacing w:after="0" w:line="500" w:lineRule="auto"/>
        <w:tabs>
          <w:tab w:leader="none" w:pos="426" w:val="left"/>
        </w:tabs>
        <w:numPr>
          <w:ilvl w:val="0"/>
          <w:numId w:val="8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charge, assignment or other Security granted to any holders (or trustee or representatives of holders) of obligations owed, or securities issued, by that Lender as security for those obligations or securities, except that no such charge, assignment or Security shall:</w:t>
      </w:r>
    </w:p>
    <w:p>
      <w:pPr>
        <w:spacing w:after="0" w:line="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release a Lender from any of its obligations under the Finance Documents or substitute the beneficiary of the relevant charge, assignment or Security for the Lender as a party to any of the Finance Documents; 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8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payments to be made by a Transaction Obligor other than or in excess of, or grant to any person any more extensive rights than, those required to be made or granted to the relevant Lender under the Finance Documents.</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2" w:right="299" w:bottom="1440" w:gutter="0" w:footer="0" w:header="0"/>
        </w:sectPr>
      </w:pPr>
    </w:p>
    <w:bookmarkStart w:id="501" w:name="page502"/>
    <w:bookmarkEnd w:id="50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30.9</w:t>
      </w:r>
      <w:r>
        <w:rPr>
          <w:sz w:val="20"/>
          <w:szCs w:val="20"/>
          <w:color w:val="auto"/>
        </w:rPr>
        <w:tab/>
      </w:r>
      <w:r>
        <w:rPr>
          <w:rFonts w:ascii="Times New Roman" w:cs="Times New Roman" w:eastAsia="Times New Roman" w:hAnsi="Times New Roman"/>
          <w:sz w:val="11"/>
          <w:szCs w:val="11"/>
          <w:b w:val="1"/>
          <w:bCs w:val="1"/>
          <w:color w:val="auto"/>
        </w:rPr>
        <w:t>Pro rata interest settlement</w:t>
      </w:r>
    </w:p>
    <w:p>
      <w:pPr>
        <w:spacing w:after="0" w:line="152" w:lineRule="exact"/>
        <w:rPr>
          <w:sz w:val="20"/>
          <w:szCs w:val="20"/>
          <w:color w:val="auto"/>
        </w:rPr>
      </w:pPr>
    </w:p>
    <w:p>
      <w:pPr>
        <w:ind w:left="428" w:hanging="428"/>
        <w:spacing w:after="0" w:line="283" w:lineRule="auto"/>
        <w:tabs>
          <w:tab w:leader="none" w:pos="428" w:val="left"/>
        </w:tabs>
        <w:numPr>
          <w:ilvl w:val="0"/>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has notified the Lenders that it is able to distribute interest payments on a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color w:val="auto"/>
        </w:rPr>
        <w:t xml:space="preserve"> basis" to Existing Lenders and New Lenders then (in respect of any transfer pursuant to Clause 30.5 (</w:t>
      </w:r>
      <w:r>
        <w:rPr>
          <w:rFonts w:ascii="Times New Roman" w:cs="Times New Roman" w:eastAsia="Times New Roman" w:hAnsi="Times New Roman"/>
          <w:sz w:val="12"/>
          <w:szCs w:val="12"/>
          <w:i w:val="1"/>
          <w:iCs w:val="1"/>
          <w:color w:val="auto"/>
        </w:rPr>
        <w:t>Procedure for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transfer</w:t>
      </w:r>
      <w:r>
        <w:rPr>
          <w:rFonts w:ascii="Times New Roman" w:cs="Times New Roman" w:eastAsia="Times New Roman" w:hAnsi="Times New Roman"/>
          <w:sz w:val="12"/>
          <w:szCs w:val="12"/>
          <w:color w:val="auto"/>
        </w:rPr>
        <w:t>) or any assignment pursuant to Clause 30.6 (</w:t>
      </w:r>
      <w:r>
        <w:rPr>
          <w:rFonts w:ascii="Times New Roman" w:cs="Times New Roman" w:eastAsia="Times New Roman" w:hAnsi="Times New Roman"/>
          <w:sz w:val="12"/>
          <w:szCs w:val="12"/>
          <w:i w:val="1"/>
          <w:iCs w:val="1"/>
          <w:color w:val="auto"/>
        </w:rPr>
        <w:t>Procedure for assignment</w:t>
      </w:r>
      <w:r>
        <w:rPr>
          <w:rFonts w:ascii="Times New Roman" w:cs="Times New Roman" w:eastAsia="Times New Roman" w:hAnsi="Times New Roman"/>
          <w:sz w:val="12"/>
          <w:szCs w:val="12"/>
          <w:color w:val="auto"/>
        </w:rPr>
        <w:t>) the Transfer Date of which, in each case, is after the date of such notification and is not on the last day of an Interest Period):</w:t>
      </w:r>
    </w:p>
    <w:p>
      <w:pPr>
        <w:spacing w:after="0" w:line="10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or fees in respect of the relevant participation which are expressed to accrue by reference to the lapse of time shall continue to accrue in favour of the Existing Lender up to but excluding the Transfer Date ("</w:t>
      </w:r>
      <w:r>
        <w:rPr>
          <w:rFonts w:ascii="Times New Roman" w:cs="Times New Roman" w:eastAsia="Times New Roman" w:hAnsi="Times New Roman"/>
          <w:sz w:val="12"/>
          <w:szCs w:val="12"/>
          <w:b w:val="1"/>
          <w:bCs w:val="1"/>
          <w:color w:val="auto"/>
        </w:rPr>
        <w:t>Accrued Amounts</w:t>
      </w:r>
      <w:r>
        <w:rPr>
          <w:rFonts w:ascii="Times New Roman" w:cs="Times New Roman" w:eastAsia="Times New Roman" w:hAnsi="Times New Roman"/>
          <w:sz w:val="12"/>
          <w:szCs w:val="12"/>
          <w:color w:val="auto"/>
        </w:rPr>
        <w:t>") and shall become due and payable to the Existing Lender (without further interest accruing on them) on the last day of the current Interest Period;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rights assigned or transferred by the Existing Lender will not include the right to the Accrued Amounts, so that, for the avoidance of doubt: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when the Accrued Amounts become payable, those Accrued Amounts will be payable to the Existing Lender; and</w:t>
      </w:r>
    </w:p>
    <w:p>
      <w:pPr>
        <w:spacing w:after="0" w:line="148" w:lineRule="exact"/>
        <w:rPr>
          <w:rFonts w:ascii="Times New Roman" w:cs="Times New Roman" w:eastAsia="Times New Roman" w:hAnsi="Times New Roman"/>
          <w:sz w:val="12"/>
          <w:szCs w:val="12"/>
          <w:color w:val="auto"/>
        </w:rPr>
      </w:pPr>
    </w:p>
    <w:p>
      <w:pPr>
        <w:ind w:left="1268" w:right="20" w:hanging="422"/>
        <w:spacing w:after="0" w:line="283" w:lineRule="auto"/>
        <w:tabs>
          <w:tab w:leader="none" w:pos="1268" w:val="left"/>
        </w:tabs>
        <w:numPr>
          <w:ilvl w:val="2"/>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payable to the New Lender on that date will be the amount which would, but for the application of this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have been payable to it on that date, but after deduction of the Accrued Amounts.</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references to "Interest Period" shall be construed to include a reference to any other period for accrual of fees.</w:t>
      </w:r>
    </w:p>
    <w:p>
      <w:pPr>
        <w:spacing w:after="0" w:line="150"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8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Existing Lender which retains the right to the Accrued Amounts pursuant to this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but which does not have a Commitment shall be deemed not to be a Lender for the purposes of ascertaining whether the agreement of any specified group of Lenders has been obtained to approve any request for a consent, waiver, amendment or other vote of Lenders under the Finance Documents.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30.10</w:t>
      </w:r>
      <w:r>
        <w:rPr>
          <w:sz w:val="20"/>
          <w:szCs w:val="20"/>
          <w:color w:val="auto"/>
        </w:rPr>
        <w:tab/>
      </w:r>
      <w:r>
        <w:rPr>
          <w:rFonts w:ascii="Times New Roman" w:cs="Times New Roman" w:eastAsia="Times New Roman" w:hAnsi="Times New Roman"/>
          <w:sz w:val="11"/>
          <w:szCs w:val="11"/>
          <w:b w:val="1"/>
          <w:bCs w:val="1"/>
          <w:color w:val="auto"/>
        </w:rPr>
        <w:t>Account Transfer</w:t>
      </w:r>
    </w:p>
    <w:p>
      <w:pPr>
        <w:spacing w:after="0" w:line="150" w:lineRule="exact"/>
        <w:rPr>
          <w:sz w:val="20"/>
          <w:szCs w:val="20"/>
          <w:color w:val="auto"/>
        </w:rPr>
      </w:pPr>
    </w:p>
    <w:p>
      <w:pPr>
        <w:ind w:left="428" w:hanging="428"/>
        <w:spacing w:after="0"/>
        <w:tabs>
          <w:tab w:leader="none" w:pos="428" w:val="left"/>
        </w:tabs>
        <w:numPr>
          <w:ilvl w:val="0"/>
          <w:numId w:val="8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request of the Facility Agent, the Earnings Account or any of them may be transferred between UBS AG, as Account Bank, and the Affiliates of UBS AG (an "</w:t>
      </w:r>
      <w:r>
        <w:rPr>
          <w:rFonts w:ascii="Times New Roman" w:cs="Times New Roman" w:eastAsia="Times New Roman" w:hAnsi="Times New Roman"/>
          <w:sz w:val="12"/>
          <w:szCs w:val="12"/>
          <w:b w:val="1"/>
          <w:bCs w:val="1"/>
          <w:color w:val="auto"/>
        </w:rPr>
        <w:t>Account Transfer</w:t>
      </w:r>
      <w:r>
        <w:rPr>
          <w:rFonts w:ascii="Times New Roman" w:cs="Times New Roman" w:eastAsia="Times New Roman" w:hAnsi="Times New Roman"/>
          <w:sz w:val="12"/>
          <w:szCs w:val="12"/>
          <w:color w:val="auto"/>
        </w:rPr>
        <w:t>").</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agrees and consents to each Account Transfer.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an Account Transfer, each Obligor shall (and shall procure that each Transaction Obligor will) promptly enter into such documentation as the Facility Agent shall reasonably require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ensure that each Finance Document remains in full force and effect following such Account Transfer;</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or maintain in favour of the Facility Agent any of the rights under Clause 28.5 (</w:t>
      </w:r>
      <w:r>
        <w:rPr>
          <w:rFonts w:ascii="Times New Roman" w:cs="Times New Roman" w:eastAsia="Times New Roman" w:hAnsi="Times New Roman"/>
          <w:sz w:val="12"/>
          <w:szCs w:val="12"/>
          <w:i w:val="1"/>
          <w:iCs w:val="1"/>
          <w:color w:val="auto"/>
        </w:rPr>
        <w:t>Debits authorisation etc.)</w:t>
      </w:r>
      <w:r>
        <w:rPr>
          <w:rFonts w:ascii="Times New Roman" w:cs="Times New Roman" w:eastAsia="Times New Roman" w:hAnsi="Times New Roman"/>
          <w:sz w:val="12"/>
          <w:szCs w:val="12"/>
          <w:color w:val="auto"/>
        </w:rPr>
        <w:t xml:space="preserve"> and Clause 37 (</w:t>
      </w:r>
      <w:r>
        <w:rPr>
          <w:rFonts w:ascii="Times New Roman" w:cs="Times New Roman" w:eastAsia="Times New Roman" w:hAnsi="Times New Roman"/>
          <w:sz w:val="12"/>
          <w:szCs w:val="12"/>
          <w:i w:val="1"/>
          <w:iCs w:val="1"/>
          <w:color w:val="auto"/>
        </w:rPr>
        <w:t>Set-Off</w:t>
      </w:r>
      <w:r>
        <w:rPr>
          <w:rFonts w:ascii="Times New Roman" w:cs="Times New Roman" w:eastAsia="Times New Roman" w:hAnsi="Times New Roman"/>
          <w:sz w:val="12"/>
          <w:szCs w:val="12"/>
          <w:color w:val="auto"/>
        </w:rPr>
        <w:t>) following such Account Transfer; and</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create or maintain in favour of the Security Agent the Security over the transferred accounts following such Account Transfer.</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502" w:name="page503"/>
    <w:bookmarkEnd w:id="502"/>
    <w:p>
      <w:pPr>
        <w:ind w:left="8" w:right="8220" w:hanging="8"/>
        <w:spacing w:after="0" w:line="550" w:lineRule="auto"/>
        <w:tabs>
          <w:tab w:leader="none" w:pos="431" w:val="left"/>
        </w:tabs>
        <w:numPr>
          <w:ilvl w:val="0"/>
          <w:numId w:val="887"/>
        </w:numPr>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1"/>
          <w:szCs w:val="11"/>
          <w:b w:val="1"/>
          <w:bCs w:val="1"/>
          <w:color w:val="auto"/>
        </w:rPr>
        <w:t>CHANGES TO THE TRANSACTION OBLIGORS 31.1 Assignment or transfer by Transaction Obligors</w:t>
      </w:r>
    </w:p>
    <w:p>
      <w:pPr>
        <w:ind w:left="428"/>
        <w:spacing w:after="0"/>
        <w:rPr>
          <w:rFonts w:ascii="Times New Roman" w:cs="Times New Roman" w:eastAsia="Times New Roman" w:hAnsi="Times New Roman"/>
          <w:sz w:val="11"/>
          <w:szCs w:val="11"/>
          <w:b w:val="1"/>
          <w:bCs w:val="1"/>
          <w:color w:val="auto"/>
        </w:rPr>
      </w:pPr>
      <w:r>
        <w:rPr>
          <w:rFonts w:ascii="Times New Roman" w:cs="Times New Roman" w:eastAsia="Times New Roman" w:hAnsi="Times New Roman"/>
          <w:sz w:val="12"/>
          <w:szCs w:val="12"/>
          <w:color w:val="auto"/>
        </w:rPr>
        <w:t>No Transaction Obligor may assign any of its rights or transfer any of its rights or obligations under the Finance Documents, without the prior written consent of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31.2</w:t>
      </w:r>
      <w:r>
        <w:rPr>
          <w:sz w:val="20"/>
          <w:szCs w:val="20"/>
          <w:color w:val="auto"/>
        </w:rPr>
        <w:tab/>
      </w:r>
      <w:r>
        <w:rPr>
          <w:rFonts w:ascii="Times New Roman" w:cs="Times New Roman" w:eastAsia="Times New Roman" w:hAnsi="Times New Roman"/>
          <w:sz w:val="11"/>
          <w:szCs w:val="11"/>
          <w:b w:val="1"/>
          <w:bCs w:val="1"/>
          <w:color w:val="auto"/>
        </w:rPr>
        <w:t>Prohibition on Debt Purchase Transactions by the Borrowers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Borrowers shall not (and shall procure that none of their Affiliates will), enter into any Debt Purchase Transaction or be a Lender or beneficially own all or any part of the shares or (as the case may be) limited liability company interest or other equivalent rights of ownership of a company that is a Lender or a party to a Debt Purchase Transaction.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31.3</w:t>
      </w:r>
      <w:r>
        <w:rPr>
          <w:sz w:val="20"/>
          <w:szCs w:val="20"/>
          <w:color w:val="auto"/>
        </w:rPr>
        <w:tab/>
      </w:r>
      <w:r>
        <w:rPr>
          <w:rFonts w:ascii="Times New Roman" w:cs="Times New Roman" w:eastAsia="Times New Roman" w:hAnsi="Times New Roman"/>
          <w:sz w:val="11"/>
          <w:szCs w:val="11"/>
          <w:b w:val="1"/>
          <w:bCs w:val="1"/>
          <w:color w:val="auto"/>
        </w:rPr>
        <w:t>Release of security</w:t>
      </w:r>
    </w:p>
    <w:p>
      <w:pPr>
        <w:spacing w:after="0" w:line="154" w:lineRule="exact"/>
        <w:rPr>
          <w:sz w:val="20"/>
          <w:szCs w:val="20"/>
          <w:color w:val="auto"/>
        </w:rPr>
      </w:pPr>
    </w:p>
    <w:p>
      <w:pPr>
        <w:ind w:left="428" w:hanging="428"/>
        <w:spacing w:after="0"/>
        <w:tabs>
          <w:tab w:leader="none" w:pos="428" w:val="left"/>
        </w:tabs>
        <w:numPr>
          <w:ilvl w:val="0"/>
          <w:numId w:val="8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disposal of any asset subject to security created by a Security Document is made in the following circumstances: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permitted by the terms of any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agree to the disposal;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being made at the request of the Security Agent in circumstances where any security created by the Security Documents has become enforceable;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disposal is being effected by enforcement of a Security Document,</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Security Agent may release the asset(s) being disposed of from any security over those assets created by a Security Document. However, the proceeds of any disposal (or an amount corresponding to them) must be applied in accordance with the requirements of the Finance Documents (if any).</w:t>
      </w:r>
    </w:p>
    <w:p>
      <w:pPr>
        <w:spacing w:after="0" w:line="109" w:lineRule="exact"/>
        <w:rPr>
          <w:sz w:val="20"/>
          <w:szCs w:val="20"/>
          <w:color w:val="auto"/>
        </w:rPr>
      </w:pPr>
    </w:p>
    <w:p>
      <w:pPr>
        <w:jc w:val="both"/>
        <w:ind w:left="428" w:hanging="428"/>
        <w:spacing w:after="0" w:line="266" w:lineRule="auto"/>
        <w:tabs>
          <w:tab w:leader="none" w:pos="428" w:val="left"/>
        </w:tabs>
        <w:numPr>
          <w:ilvl w:val="0"/>
          <w:numId w:val="8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Security Agent is satisfied that a release is allowed under this Clause 31.3 (</w:t>
      </w:r>
      <w:r>
        <w:rPr>
          <w:rFonts w:ascii="Times New Roman" w:cs="Times New Roman" w:eastAsia="Times New Roman" w:hAnsi="Times New Roman"/>
          <w:sz w:val="12"/>
          <w:szCs w:val="12"/>
          <w:i w:val="1"/>
          <w:iCs w:val="1"/>
          <w:color w:val="auto"/>
        </w:rPr>
        <w:t>Release of security</w:t>
      </w:r>
      <w:r>
        <w:rPr>
          <w:rFonts w:ascii="Times New Roman" w:cs="Times New Roman" w:eastAsia="Times New Roman" w:hAnsi="Times New Roman"/>
          <w:sz w:val="12"/>
          <w:szCs w:val="12"/>
          <w:color w:val="auto"/>
        </w:rPr>
        <w:t>) (at the request and expense of the Borrowers) each Finance Party must enter into any document and do all such other things which are reasonably required to achieve that release. Each other Finance Party irrevocably authorises the Security Agent to enter into any such document. Any release will not affect the obligations of any other Transaction Obligor under the Finance Documents.</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31.4</w:t>
      </w:r>
      <w:r>
        <w:rPr>
          <w:sz w:val="20"/>
          <w:szCs w:val="20"/>
          <w:color w:val="auto"/>
        </w:rPr>
        <w:tab/>
      </w:r>
      <w:r>
        <w:rPr>
          <w:rFonts w:ascii="Times New Roman" w:cs="Times New Roman" w:eastAsia="Times New Roman" w:hAnsi="Times New Roman"/>
          <w:sz w:val="11"/>
          <w:szCs w:val="11"/>
          <w:b w:val="1"/>
          <w:bCs w:val="1"/>
          <w:color w:val="auto"/>
        </w:rPr>
        <w:t>Subordinated Creditors</w:t>
      </w:r>
    </w:p>
    <w:p>
      <w:pPr>
        <w:spacing w:after="0" w:line="154" w:lineRule="exact"/>
        <w:rPr>
          <w:sz w:val="20"/>
          <w:szCs w:val="20"/>
          <w:color w:val="auto"/>
        </w:rPr>
      </w:pPr>
    </w:p>
    <w:p>
      <w:pPr>
        <w:ind w:left="428" w:hanging="428"/>
        <w:spacing w:after="0"/>
        <w:tabs>
          <w:tab w:leader="none" w:pos="428" w:val="left"/>
        </w:tabs>
        <w:numPr>
          <w:ilvl w:val="0"/>
          <w:numId w:val="8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Borrowers may request that any person becomes a Subordinated Creditor, with the prior approval of the Facility Agent, by delivering to the Facility Agent: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Subordination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duly executed Subordinated Debt Security;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constitutional documents, corporate authorisations and other documents and matters as the Facility Agent may reasonably require, in form and substance satisfactory to the Facility Agent, to verify that the person's obligations are legally binding, valid and enforceable and to satisfy any applicable legal and regulatory requirements.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9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person referred to in paragraph (a) above will become a Subordinated Creditor on the date the Security Agent enters into the Subordination Agreement and the Subordinated Debt Security delivered under paragraph (a) above.</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03" w:name="page504"/>
    <w:bookmarkEnd w:id="503"/>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10</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THE FINANCE PARTIES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w:t>
      </w:r>
      <w:r>
        <w:rPr>
          <w:sz w:val="20"/>
          <w:szCs w:val="20"/>
          <w:color w:val="auto"/>
        </w:rPr>
        <w:tab/>
      </w:r>
      <w:r>
        <w:rPr>
          <w:rFonts w:ascii="Times New Roman" w:cs="Times New Roman" w:eastAsia="Times New Roman" w:hAnsi="Times New Roman"/>
          <w:sz w:val="12"/>
          <w:szCs w:val="12"/>
          <w:b w:val="1"/>
          <w:bCs w:val="1"/>
          <w:color w:val="auto"/>
        </w:rPr>
        <w:t>THE FACILITY AGENT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w:t>
      </w:r>
      <w:r>
        <w:rPr>
          <w:sz w:val="20"/>
          <w:szCs w:val="20"/>
          <w:color w:val="auto"/>
        </w:rPr>
        <w:tab/>
      </w:r>
      <w:r>
        <w:rPr>
          <w:rFonts w:ascii="Times New Roman" w:cs="Times New Roman" w:eastAsia="Times New Roman" w:hAnsi="Times New Roman"/>
          <w:sz w:val="11"/>
          <w:szCs w:val="11"/>
          <w:b w:val="1"/>
          <w:bCs w:val="1"/>
          <w:color w:val="auto"/>
        </w:rPr>
        <w:t>Appointment of the Facility Agent</w:t>
      </w:r>
    </w:p>
    <w:p>
      <w:pPr>
        <w:spacing w:after="0" w:line="154" w:lineRule="exact"/>
        <w:rPr>
          <w:sz w:val="20"/>
          <w:szCs w:val="20"/>
          <w:color w:val="auto"/>
        </w:rPr>
      </w:pPr>
    </w:p>
    <w:p>
      <w:pPr>
        <w:ind w:left="428" w:hanging="428"/>
        <w:spacing w:after="0"/>
        <w:tabs>
          <w:tab w:leader="none" w:pos="428" w:val="left"/>
        </w:tabs>
        <w:numPr>
          <w:ilvl w:val="0"/>
          <w:numId w:val="8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Lenders appoints the Facility Agent to act as its agent under and in connection with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Lenders authorises the Facility Agent to perform the duties, obligations and responsibilities and to exercise the rights, powers, authorities and discretions specifically given to the Facility Agent under, or in connection with, the Finance Documents together with any other incidental rights, powers, authorities and discretions.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32.2</w:t>
      </w:r>
      <w:r>
        <w:rPr>
          <w:sz w:val="20"/>
          <w:szCs w:val="20"/>
          <w:color w:val="auto"/>
        </w:rPr>
        <w:tab/>
      </w:r>
      <w:r>
        <w:rPr>
          <w:rFonts w:ascii="Times New Roman" w:cs="Times New Roman" w:eastAsia="Times New Roman" w:hAnsi="Times New Roman"/>
          <w:sz w:val="11"/>
          <w:szCs w:val="11"/>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a Finance Document, exercise or refrain from exercising any right, power, authority or discretion vested in it as Facility Agent in accordance with any instructions given to it by:</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Lenders if the relevant Finance Document stipulates the matter is an all Lender decision;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Majority Lenders;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be entitled to request instructions, or clarification of any instruction, from the Majority Lenders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Facility Agent may refrain from acting unless and until it receives any such instructions or clarification that it has requested.</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Facility Agent by the Majority Lenders shall override any conflicting instructions given by any other Parties and will be binding on all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contrary indication appears in a Finance Document;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the Facility Agent to act in a specified manner or to take a specified action;</w:t>
      </w:r>
    </w:p>
    <w:p>
      <w:pPr>
        <w:spacing w:after="0" w:line="150" w:lineRule="exact"/>
        <w:rPr>
          <w:sz w:val="20"/>
          <w:szCs w:val="20"/>
          <w:color w:val="auto"/>
        </w:rPr>
      </w:pPr>
    </w:p>
    <w:p>
      <w:pPr>
        <w:ind w:left="5568"/>
        <w:spacing w:after="0"/>
        <w:tabs>
          <w:tab w:leader="none" w:pos="10188" w:val="left"/>
        </w:tabs>
        <w:rPr>
          <w:sz w:val="20"/>
          <w:szCs w:val="20"/>
          <w:color w:val="auto"/>
        </w:rPr>
      </w:pPr>
      <w:r>
        <w:rPr>
          <w:rFonts w:ascii="Times New Roman" w:cs="Times New Roman" w:eastAsia="Times New Roman" w:hAnsi="Times New Roman"/>
          <w:sz w:val="11"/>
          <w:szCs w:val="11"/>
          <w:color w:val="auto"/>
        </w:rPr>
        <w:t>117</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04" w:name="page505"/>
    <w:bookmarkEnd w:id="504"/>
    <w:p>
      <w:pPr>
        <w:ind w:left="848" w:hanging="425"/>
        <w:spacing w:after="0"/>
        <w:tabs>
          <w:tab w:leader="none" w:pos="848" w:val="left"/>
        </w:tabs>
        <w:numPr>
          <w:ilvl w:val="1"/>
          <w:numId w:val="89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provision which protects the Facility Agent's own position in its personal capacity as opposed to its role of Facility Agent for the relevant Finance Parties.</w:t>
      </w:r>
    </w:p>
    <w:p>
      <w:pPr>
        <w:spacing w:after="0" w:line="148"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giving effect to instructions given by the Majority Lenders would in the Facility Agent's opinion have an effect equivalent to an amendment or waiver referred to in Clause 45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 the Facility Agent shall not act in accordance with those instructions unless consent to it so acting is obtained from each Party (other than the Facility Agent) whose consent would have been required in respect of that amendment or waiver.</w:t>
      </w:r>
    </w:p>
    <w:p>
      <w:pPr>
        <w:spacing w:after="0" w:line="10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exercising any discretion to exercise a right, power or authority under the Finance Documents where it has not received any instructions as to the exercise of that discretion the Facility Agent shall do so having regard to the interests of all the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remainder of this Clause 32.2 (</w:t>
      </w:r>
      <w:r>
        <w:rPr>
          <w:rFonts w:ascii="Times New Roman" w:cs="Times New Roman" w:eastAsia="Times New Roman" w:hAnsi="Times New Roman"/>
          <w:sz w:val="12"/>
          <w:szCs w:val="12"/>
          <w:i w:val="1"/>
          <w:iCs w:val="1"/>
          <w:color w:val="auto"/>
        </w:rPr>
        <w:t>Instructions</w:t>
      </w:r>
      <w:r>
        <w:rPr>
          <w:rFonts w:ascii="Times New Roman" w:cs="Times New Roman" w:eastAsia="Times New Roman" w:hAnsi="Times New Roman"/>
          <w:sz w:val="12"/>
          <w:szCs w:val="12"/>
          <w:color w:val="auto"/>
        </w:rPr>
        <w:t>), in the absence of instructions, the Facility Agent shall not be obliged to take any action (or refrain from taking action) even if it considers acting or not acting to be in the best interests of the Finance Parties. The Facility Agent may act (or refrain from acting) as it considers to be in the best interest of the Finance Parties.</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32.3</w:t>
      </w:r>
      <w:r>
        <w:rPr>
          <w:sz w:val="20"/>
          <w:szCs w:val="20"/>
          <w:color w:val="auto"/>
        </w:rPr>
        <w:tab/>
      </w:r>
      <w:r>
        <w:rPr>
          <w:rFonts w:ascii="Times New Roman" w:cs="Times New Roman" w:eastAsia="Times New Roman" w:hAnsi="Times New Roman"/>
          <w:sz w:val="11"/>
          <w:szCs w:val="11"/>
          <w:b w:val="1"/>
          <w:bCs w:val="1"/>
          <w:color w:val="auto"/>
        </w:rPr>
        <w:t>Duties of the Facility Agent</w:t>
      </w:r>
    </w:p>
    <w:p>
      <w:pPr>
        <w:spacing w:after="0" w:line="154" w:lineRule="exact"/>
        <w:rPr>
          <w:sz w:val="20"/>
          <w:szCs w:val="20"/>
          <w:color w:val="auto"/>
        </w:rPr>
      </w:pPr>
    </w:p>
    <w:p>
      <w:pPr>
        <w:ind w:left="428" w:hanging="428"/>
        <w:spacing w:after="0"/>
        <w:tabs>
          <w:tab w:leader="none" w:pos="428"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Agent's duties under the Finance Documents are solely mechanical and administrative in nature.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Facility Agent shall promptly forward to a Party the original or a copy of any document which is delivered to the Facility Agent for that Party by any other Party.</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Clause 30.7 (</w:t>
      </w:r>
      <w:r>
        <w:rPr>
          <w:rFonts w:ascii="Times New Roman" w:cs="Times New Roman" w:eastAsia="Times New Roman" w:hAnsi="Times New Roman"/>
          <w:sz w:val="12"/>
          <w:szCs w:val="12"/>
          <w:i w:val="1"/>
          <w:iCs w:val="1"/>
          <w:color w:val="auto"/>
        </w:rPr>
        <w:t>Copy of Transfer Certificate or Assignment Agreement to Borrowers</w:t>
      </w:r>
      <w:r>
        <w:rPr>
          <w:rFonts w:ascii="Times New Roman" w:cs="Times New Roman" w:eastAsia="Times New Roman" w:hAnsi="Times New Roman"/>
          <w:sz w:val="12"/>
          <w:szCs w:val="12"/>
          <w:color w:val="auto"/>
        </w:rPr>
        <w:t>), paragraph (b) above shall not apply to any Transfer Certificate or any Assignment Agreement.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where a Finance Document specifically provides otherwise, the Facility Agent is not obliged to review or check the adequacy, accuracy or completeness of any document it forwards to another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notice from a Party referring to any Finance Document, describing a Default and stating that the circumstance described is a Default, it shall promptly notify the other Finance Parties.</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118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05" w:name="page506"/>
    <w:bookmarkEnd w:id="505"/>
    <w:p>
      <w:pPr>
        <w:ind w:left="428" w:hanging="428"/>
        <w:spacing w:after="0" w:line="279" w:lineRule="auto"/>
        <w:tabs>
          <w:tab w:leader="none" w:pos="428" w:val="left"/>
        </w:tabs>
        <w:numPr>
          <w:ilvl w:val="0"/>
          <w:numId w:val="8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is aware of the non-payment of any principal, interest, commitment fee or other fee payable to a Finance Party (other than the Facility Agent or the Security Agent) under this Agreement, it shall promptly notify the other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have only those duties, obligations and responsibilities expressly specified in the Finance Documents to which it is expressed to be a party (and no others shall be implied).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32.4</w:t>
      </w:r>
      <w:r>
        <w:rPr>
          <w:sz w:val="20"/>
          <w:szCs w:val="20"/>
          <w:color w:val="auto"/>
        </w:rPr>
        <w:tab/>
      </w:r>
      <w:r>
        <w:rPr>
          <w:rFonts w:ascii="Times New Roman" w:cs="Times New Roman" w:eastAsia="Times New Roman" w:hAnsi="Times New Roman"/>
          <w:sz w:val="11"/>
          <w:szCs w:val="11"/>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8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constitutes the Facility Agent as a trustee or fiduciary of any other person.</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bound to account to other Finance Party for any sum or the profit element of any sum received by it for its own account.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32.5</w:t>
      </w:r>
      <w:r>
        <w:rPr>
          <w:sz w:val="20"/>
          <w:szCs w:val="20"/>
          <w:color w:val="auto"/>
        </w:rPr>
        <w:tab/>
      </w:r>
      <w:r>
        <w:rPr>
          <w:rFonts w:ascii="Times New Roman" w:cs="Times New Roman" w:eastAsia="Times New Roman" w:hAnsi="Times New Roman"/>
          <w:sz w:val="11"/>
          <w:szCs w:val="11"/>
          <w:b w:val="1"/>
          <w:bCs w:val="1"/>
          <w:color w:val="auto"/>
        </w:rPr>
        <w:t>Application of receipts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Except as expressly stated to the contrary in any Finance Document, any moneys which the Facility Agent receives or recovers in its capacity as Facility Agent shall be applied by the Facility Agent in accordance with Clause 36.5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32.6</w:t>
      </w:r>
      <w:r>
        <w:rPr>
          <w:sz w:val="20"/>
          <w:szCs w:val="20"/>
          <w:color w:val="auto"/>
        </w:rPr>
        <w:tab/>
      </w:r>
      <w:r>
        <w:rPr>
          <w:rFonts w:ascii="Times New Roman" w:cs="Times New Roman" w:eastAsia="Times New Roman" w:hAnsi="Times New Roman"/>
          <w:sz w:val="11"/>
          <w:szCs w:val="11"/>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32.7</w:t>
      </w:r>
      <w:r>
        <w:rPr>
          <w:sz w:val="20"/>
          <w:szCs w:val="20"/>
          <w:color w:val="auto"/>
        </w:rPr>
        <w:tab/>
      </w:r>
      <w:r>
        <w:rPr>
          <w:rFonts w:ascii="Times New Roman" w:cs="Times New Roman" w:eastAsia="Times New Roman" w:hAnsi="Times New Roman"/>
          <w:sz w:val="11"/>
          <w:szCs w:val="11"/>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any representation, communication, notice or document believed by it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 that: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instructions received by it from the Majority Lenders, any Finance Parties or any group of Finance Parties are duly given in accordance with the terms of the Finance Documents;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it has received notice of revocation, that those instructions have not been revoked;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 certificate from any person: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any matter of fact or circumstance which might reasonably be expected to be within the knowledge of that person;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8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effect that such person approves of any particular dealing, transaction, step, action or thing,</w:t>
      </w:r>
    </w:p>
    <w:p>
      <w:pPr>
        <w:sectPr>
          <w:pgSz w:w="11900" w:h="16838" w:orient="portrait"/>
          <w:cols w:equalWidth="0" w:num="1">
            <w:col w:w="11308"/>
          </w:cols>
          <w:pgMar w:left="292" w:top="435" w:right="299" w:bottom="1440" w:gutter="0" w:footer="0" w:header="0"/>
        </w:sectPr>
      </w:pP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1"/>
          <w:szCs w:val="11"/>
          <w:color w:val="auto"/>
        </w:rPr>
        <w:t>as sufficient evidence that that is the case and, in the case of paragraph (A) above, may assume the truth and accuracy of that certificate.</w:t>
      </w:r>
    </w:p>
    <w:p>
      <w:pPr>
        <w:spacing w:after="0" w:line="162" w:lineRule="exact"/>
        <w:rPr>
          <w:sz w:val="20"/>
          <w:szCs w:val="20"/>
          <w:color w:val="auto"/>
        </w:rPr>
      </w:pPr>
    </w:p>
    <w:p>
      <w:pPr>
        <w:ind w:left="5568"/>
        <w:spacing w:after="0"/>
        <w:rPr>
          <w:sz w:val="20"/>
          <w:szCs w:val="20"/>
          <w:color w:val="auto"/>
        </w:rPr>
      </w:pPr>
      <w:r>
        <w:rPr>
          <w:rFonts w:ascii="Times New Roman" w:cs="Times New Roman" w:eastAsia="Times New Roman" w:hAnsi="Times New Roman"/>
          <w:sz w:val="12"/>
          <w:szCs w:val="12"/>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EUROPE/78117511v9</w:t>
      </w:r>
    </w:p>
    <w:p>
      <w:pPr>
        <w:sectPr>
          <w:pgSz w:w="11900" w:h="16838" w:orient="portrait"/>
          <w:cols w:equalWidth="0" w:num="2">
            <w:col w:w="9488" w:space="720"/>
            <w:col w:w="1100"/>
          </w:cols>
          <w:pgMar w:left="292" w:top="435" w:right="299" w:bottom="1440" w:gutter="0" w:footer="0" w:header="0"/>
          <w:type w:val="continuous"/>
        </w:sectPr>
      </w:pPr>
    </w:p>
    <w:bookmarkStart w:id="506" w:name="page507"/>
    <w:bookmarkEnd w:id="506"/>
    <w:p>
      <w:pPr>
        <w:ind w:left="428" w:hanging="428"/>
        <w:spacing w:after="0"/>
        <w:tabs>
          <w:tab w:leader="none" w:pos="428"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assume (unless it has received notice to the contrary in its capacity as agent for the Finance Parties) that: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 (unless it has actual knowledge of a Default arising under Clause 29.2 (</w:t>
      </w:r>
      <w:r>
        <w:rPr>
          <w:rFonts w:ascii="Times New Roman" w:cs="Times New Roman" w:eastAsia="Times New Roman" w:hAnsi="Times New Roman"/>
          <w:sz w:val="12"/>
          <w:szCs w:val="12"/>
          <w:i w:val="1"/>
          <w:iCs w:val="1"/>
          <w:color w:val="auto"/>
        </w:rPr>
        <w:t>Non-payment</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right, power, authority or discretion vested in any Party or any group of Finance Parties has not been exercised;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request made by any Borrower (other than the Utilisation Request or a Selection Notice) is made on behalf of and with the consent and knowledge of all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engage and pay for the advice or services of any lawyers, accountants, tax advisers, surveyors or other professional advisers or experts.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 (c) above or paragraph (e) below, the Facility Agent may at any time engage and pay for the services of any lawyers to act as independent counsel to the Facility Agent (and so separate from any lawyers instructed by the Lenders) if the Facility Agent in its reasonable opinion deems this to be desirable.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rely on the advice or services of any lawyers, accountants, tax advisers, surveyors or other professional advisers or experts (whether obtained by the Facility Agent or by any other Party) and shall not be liable for any damages, costs or losses to any person, any diminution in value or any liability whatsoever arising as a result of its so relying.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act in relation to the Finance Documents and the Security Property through its officers, employees and agents and shall not: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liable for any error of judgment made by any such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8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such error or such loss was directly caused by the Facility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9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Finance Document expressly provides otherwise the Facility Agent may disclose to any other Party any information it reasonably believes it has received as agent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Facility Agent is not obliged to do or omit to do anything if it would or might, in its reasonable opinion, constitute a breach of any law or regulation or a breach of a fiduciary duty or duty of confidentiality.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any Finance Document to the contrary, the Facility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07" w:name="page508"/>
    <w:bookmarkEnd w:id="507"/>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32.8</w:t>
      </w:r>
      <w:r>
        <w:rPr>
          <w:sz w:val="20"/>
          <w:szCs w:val="20"/>
          <w:color w:val="auto"/>
        </w:rPr>
        <w:tab/>
      </w:r>
      <w:r>
        <w:rPr>
          <w:rFonts w:ascii="Times New Roman" w:cs="Times New Roman" w:eastAsia="Times New Roman" w:hAnsi="Times New Roman"/>
          <w:sz w:val="11"/>
          <w:szCs w:val="11"/>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is not responsible or liable for:</w:t>
      </w:r>
    </w:p>
    <w:p>
      <w:pPr>
        <w:spacing w:after="0" w:line="150" w:lineRule="exact"/>
        <w:rPr>
          <w:sz w:val="20"/>
          <w:szCs w:val="20"/>
          <w:color w:val="auto"/>
        </w:rPr>
      </w:pPr>
    </w:p>
    <w:p>
      <w:pPr>
        <w:jc w:val="both"/>
        <w:ind w:left="428" w:hanging="428"/>
        <w:spacing w:after="0" w:line="265" w:lineRule="auto"/>
        <w:tabs>
          <w:tab w:leader="none" w:pos="428"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(whether oral or written) supplied by the Facility Agent, the Security Agent,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 or</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determination as to whether any information provided or to be provided to any Finance Party or Secured Party is non-public information the use of which may be regulated or prohibited by applicable law or regulation relating to insider dealing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32.9</w:t>
      </w:r>
      <w:r>
        <w:rPr>
          <w:sz w:val="20"/>
          <w:szCs w:val="20"/>
          <w:color w:val="auto"/>
        </w:rPr>
        <w:tab/>
      </w:r>
      <w:r>
        <w:rPr>
          <w:rFonts w:ascii="Times New Roman" w:cs="Times New Roman" w:eastAsia="Times New Roman" w:hAnsi="Times New Roman"/>
          <w:sz w:val="11"/>
          <w:szCs w:val="11"/>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Facility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9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Default has occurred;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the performance, default or any breach by any Transaction Obligor of its obligations under any Transaction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32.10</w:t>
      </w:r>
      <w:r>
        <w:rPr>
          <w:sz w:val="20"/>
          <w:szCs w:val="20"/>
          <w:color w:val="auto"/>
        </w:rPr>
        <w:tab/>
      </w:r>
      <w:r>
        <w:rPr>
          <w:rFonts w:ascii="Times New Roman" w:cs="Times New Roman" w:eastAsia="Times New Roman" w:hAnsi="Times New Roman"/>
          <w:sz w:val="11"/>
          <w:szCs w:val="11"/>
          <w:b w:val="1"/>
          <w:bCs w:val="1"/>
          <w:color w:val="auto"/>
        </w:rPr>
        <w:t>Exclusion of liability</w:t>
      </w:r>
    </w:p>
    <w:p>
      <w:pPr>
        <w:spacing w:after="0" w:line="152" w:lineRule="exact"/>
        <w:rPr>
          <w:sz w:val="20"/>
          <w:szCs w:val="20"/>
          <w:color w:val="auto"/>
        </w:rPr>
      </w:pPr>
    </w:p>
    <w:p>
      <w:pPr>
        <w:ind w:left="428" w:hanging="428"/>
        <w:spacing w:after="0" w:line="283" w:lineRule="auto"/>
        <w:tabs>
          <w:tab w:leader="none" w:pos="428" w:val="left"/>
        </w:tabs>
        <w:numPr>
          <w:ilvl w:val="0"/>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(b) below (and without prejudice to paragraph (e) of Clause 36.11 (</w:t>
      </w:r>
      <w:r>
        <w:rPr>
          <w:rFonts w:ascii="Times New Roman" w:cs="Times New Roman" w:eastAsia="Times New Roman" w:hAnsi="Times New Roman"/>
          <w:sz w:val="12"/>
          <w:szCs w:val="12"/>
          <w:i w:val="1"/>
          <w:iCs w:val="1"/>
          <w:color w:val="auto"/>
        </w:rPr>
        <w:t>Disruption to Payment Systems etc.</w:t>
      </w:r>
      <w:r>
        <w:rPr>
          <w:rFonts w:ascii="Times New Roman" w:cs="Times New Roman" w:eastAsia="Times New Roman" w:hAnsi="Times New Roman"/>
          <w:sz w:val="12"/>
          <w:szCs w:val="12"/>
          <w:color w:val="auto"/>
        </w:rPr>
        <w:t>) or any other provision of any Finance Document excluding or limiting the liability of the Facility Agent), the Facility Agent will not be liable for:</w:t>
      </w:r>
    </w:p>
    <w:p>
      <w:pPr>
        <w:spacing w:after="0" w:line="108"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which arises on the enforcement or realisation of the Security Property;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paragraphs (i) to (iii) above, any damages, costs or losses to any person, any diminution in value or any liability whatsoever arising as a result of:</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508" w:name="page509"/>
    <w:bookmarkEnd w:id="508"/>
    <w:p>
      <w:pPr>
        <w:ind w:left="1268" w:hanging="422"/>
        <w:spacing w:after="0"/>
        <w:tabs>
          <w:tab w:leader="none" w:pos="1268" w:val="left"/>
        </w:tabs>
        <w:numPr>
          <w:ilvl w:val="0"/>
          <w:numId w:val="9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event or circumstance not reasonably within its control;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9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65" w:lineRule="auto"/>
        <w:rPr>
          <w:sz w:val="20"/>
          <w:szCs w:val="20"/>
          <w:color w:val="auto"/>
        </w:rPr>
      </w:pPr>
      <w:r>
        <w:rPr>
          <w:rFonts w:ascii="Times New Roman" w:cs="Times New Roman" w:eastAsia="Times New Roman" w:hAnsi="Times New Roman"/>
          <w:sz w:val="12"/>
          <w:szCs w:val="12"/>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428" w:right="20" w:hanging="428"/>
        <w:spacing w:after="0" w:line="265" w:lineRule="auto"/>
        <w:tabs>
          <w:tab w:leader="none" w:pos="428" w:val="left"/>
        </w:tabs>
        <w:numPr>
          <w:ilvl w:val="0"/>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other than the Facility Agent may take any proceedings against any officer, employee or agent of the Facility Agent in respect of any claim it might have against the Facility Agent or in respect of any act or omission of any kind by that officer, employee or agent in relation to any Transaction Document or any Security Property and any officer, employee or agent of the Facility Agent may rely on this Clause subject to Clause 1.5 (</w:t>
      </w:r>
      <w:r>
        <w:rPr>
          <w:rFonts w:ascii="Times New Roman" w:cs="Times New Roman" w:eastAsia="Times New Roman" w:hAnsi="Times New Roman"/>
          <w:sz w:val="12"/>
          <w:szCs w:val="12"/>
          <w:i w:val="1"/>
          <w:iCs w:val="1"/>
          <w:color w:val="auto"/>
        </w:rPr>
        <w:t>Third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party rights</w:t>
      </w:r>
      <w:r>
        <w:rPr>
          <w:rFonts w:ascii="Times New Roman" w:cs="Times New Roman" w:eastAsia="Times New Roman" w:hAnsi="Times New Roman"/>
          <w:sz w:val="12"/>
          <w:szCs w:val="12"/>
          <w:color w:val="auto"/>
        </w:rPr>
        <w:t>) and the provisions of the Third Parties Act.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will not be liable for any delay (or any related consequences) in crediting an account with an amount required under the Finance Documents to be paid by the Facility Agent if the Facility Agent has taken all necessary steps as soon as reasonably practicable to comply with the regulations or operating procedures of any recognised clearing or settlement system used by the Facility Agent for that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this Agreement shall oblige the Facility Agent to carry out: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"know your customer" or other checks in relation to any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0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on behalf of any Finance Party and each Finance Party confirms to the Facility Agent that it is solely responsible for any such checks it is required to carry out and that it may not rely on any statement in relation to such checks made by the Facility Agent.</w:t>
      </w:r>
    </w:p>
    <w:p>
      <w:pPr>
        <w:spacing w:after="0" w:line="111" w:lineRule="exact"/>
        <w:rPr>
          <w:sz w:val="20"/>
          <w:szCs w:val="20"/>
          <w:color w:val="auto"/>
        </w:rPr>
      </w:pPr>
    </w:p>
    <w:p>
      <w:pPr>
        <w:jc w:val="both"/>
        <w:ind w:left="428" w:hanging="428"/>
        <w:spacing w:after="0" w:line="257" w:lineRule="auto"/>
        <w:tabs>
          <w:tab w:leader="none" w:pos="428" w:val="left"/>
        </w:tabs>
        <w:numPr>
          <w:ilvl w:val="0"/>
          <w:numId w:val="9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provision of any Finance Document excluding or limiting the Facility Agent's liability, any liability of the Facility Agent arising under or in connection with any Transaction Document or the Security Property shall be limited to the amount of actual loss which has been finally judicially determined to have been suffered (as determined by reference to the date of default of the Facility Agent or, if later, the date on which the loss arises as a result of such default) but without reference to any special conditions or circumstances known to the Facility Agent at any time which increase the amount of that loss. In no event shall the Facility Agent be liable for any loss of profits, goodwill, reputation, business opportunity or anticipated saving, or for special, punitive, indirect or consequential damages, whether or not the Facility Agent has been advised of the possibility of such loss or damages.</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32.11</w:t>
        <w:tab/>
        <w:t>Lenders' indemnity to the Facility Agent</w:t>
      </w:r>
    </w:p>
    <w:p>
      <w:pPr>
        <w:spacing w:after="0" w:line="154" w:lineRule="exact"/>
        <w:rPr>
          <w:sz w:val="20"/>
          <w:szCs w:val="20"/>
          <w:color w:val="auto"/>
        </w:rPr>
      </w:pPr>
    </w:p>
    <w:p>
      <w:pPr>
        <w:jc w:val="both"/>
        <w:ind w:left="428" w:hanging="428"/>
        <w:spacing w:after="0" w:line="260" w:lineRule="auto"/>
        <w:tabs>
          <w:tab w:leader="none" w:pos="428" w:val="left"/>
        </w:tabs>
        <w:numPr>
          <w:ilvl w:val="0"/>
          <w:numId w:val="9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(in proportion to its share of the Total Commitments or, if the Total Commitments are then zero, to its share of the Total Commitments immediately prior to their reduction to zero) indemnify the Facility Agent, within three Business Days of demand, against any cost, loss or liability incurred by the Facility Agent (otherwise than by reason of the Facility Agent's gross negligence or wilful misconduct) (or, in the case of any cost, loss or liability pursuant to Clause 36.11 (</w:t>
      </w:r>
      <w:r>
        <w:rPr>
          <w:rFonts w:ascii="Times New Roman" w:cs="Times New Roman" w:eastAsia="Times New Roman" w:hAnsi="Times New Roman"/>
          <w:sz w:val="12"/>
          <w:szCs w:val="12"/>
          <w:i w:val="1"/>
          <w:iCs w:val="1"/>
          <w:color w:val="auto"/>
        </w:rPr>
        <w:t>Disruption to Payment Systems etc.</w:t>
      </w:r>
      <w:r>
        <w:rPr>
          <w:rFonts w:ascii="Times New Roman" w:cs="Times New Roman" w:eastAsia="Times New Roman" w:hAnsi="Times New Roman"/>
          <w:sz w:val="12"/>
          <w:szCs w:val="12"/>
          <w:color w:val="auto"/>
        </w:rPr>
        <w:t>) notwithstanding the Facility Agent's negligence, gross negligence or any other category of liability whatsoever but not including any claim based on the fraud of the Facility Agent) in acting as Facility Agent under the Finance Documents (unless the Facility Agent has been reimbursed by a Transaction Obligor pursuant to a Finance Document).</w:t>
      </w:r>
    </w:p>
    <w:p>
      <w:pPr>
        <w:spacing w:after="0" w:line="122"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09" w:name="page510"/>
    <w:bookmarkEnd w:id="509"/>
    <w:p>
      <w:pPr>
        <w:ind w:left="428" w:hanging="428"/>
        <w:spacing w:after="0"/>
        <w:tabs>
          <w:tab w:leader="none" w:pos="428"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shall immediately on demand reimburse any Lender for any payment that Lender makes to the Facility Agent pursuant to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apply to the extent that the indemnity payment in respect of which the Lender claims reimbursement relates to a liability of the Facility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32.12</w:t>
      </w:r>
      <w:r>
        <w:rPr>
          <w:sz w:val="20"/>
          <w:szCs w:val="20"/>
          <w:color w:val="auto"/>
        </w:rPr>
        <w:tab/>
      </w:r>
      <w:r>
        <w:rPr>
          <w:rFonts w:ascii="Times New Roman" w:cs="Times New Roman" w:eastAsia="Times New Roman" w:hAnsi="Times New Roman"/>
          <w:sz w:val="11"/>
          <w:szCs w:val="11"/>
          <w:b w:val="1"/>
          <w:bCs w:val="1"/>
          <w:color w:val="auto"/>
        </w:rPr>
        <w:t>Resignation of the Facility Agent</w:t>
      </w:r>
    </w:p>
    <w:p>
      <w:pPr>
        <w:spacing w:after="0" w:line="154" w:lineRule="exact"/>
        <w:rPr>
          <w:sz w:val="20"/>
          <w:szCs w:val="20"/>
          <w:color w:val="auto"/>
        </w:rPr>
      </w:pPr>
    </w:p>
    <w:p>
      <w:pPr>
        <w:ind w:left="428" w:hanging="428"/>
        <w:spacing w:after="0"/>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resign and appoint one of its Affiliates as successor by giving notice to the other Finance Parties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Alternatively, the Facility Agent may resign by giving 30 days' notice to the other Finance Parties and the Borrowers, in which case the Majority Lenders may appoint a successor Facility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Majority Lenders have not appointed a successor Facility Agent in accordance with paragraph (b) above within 20 days after notice of resignation was given, the retiring Facility Agent may appoint a successor Facility Agent.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wishes to resign because (acting reasonably) it has concluded that it is no longer appropriate for it to remain as agent and the Facility Agent is entitled to appoint a successor Facility Agent under paragraph</w:t>
      </w:r>
    </w:p>
    <w:p>
      <w:pPr>
        <w:spacing w:after="0" w:line="16" w:lineRule="exact"/>
        <w:rPr>
          <w:rFonts w:ascii="Times New Roman" w:cs="Times New Roman" w:eastAsia="Times New Roman" w:hAnsi="Times New Roman"/>
          <w:sz w:val="12"/>
          <w:szCs w:val="12"/>
          <w:color w:val="auto"/>
        </w:rPr>
      </w:pPr>
    </w:p>
    <w:p>
      <w:pPr>
        <w:jc w:val="both"/>
        <w:ind w:left="428"/>
        <w:spacing w:after="0" w:line="253"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 above, the Facility Agent may (if it concludes (acting reasonably) that it is necessary to do so in order to persuade the proposed successor Facility Agent to become a party to this Agreement as Facility Agent) agree with the proposed successor Facility Agent amendments to this Clause 32 (</w:t>
      </w:r>
      <w:r>
        <w:rPr>
          <w:rFonts w:ascii="Times New Roman" w:cs="Times New Roman" w:eastAsia="Times New Roman" w:hAnsi="Times New Roman"/>
          <w:sz w:val="12"/>
          <w:szCs w:val="12"/>
          <w:i w:val="1"/>
          <w:iCs w:val="1"/>
          <w:color w:val="auto"/>
        </w:rPr>
        <w:t>The Facility Agent</w:t>
      </w:r>
      <w:r>
        <w:rPr>
          <w:rFonts w:ascii="Times New Roman" w:cs="Times New Roman" w:eastAsia="Times New Roman" w:hAnsi="Times New Roman"/>
          <w:sz w:val="12"/>
          <w:szCs w:val="12"/>
          <w:color w:val="auto"/>
        </w:rPr>
        <w:t>) and any other term of this Agreement dealing with the rights or obligations of the Facility Agent consistent with then current market practice for the appointment and protection of corporate trustees together with any reasonable amendments to the agency fee payable under this Agreement which are consistent with the successor Facility Agent's normal fee rates and those amendments will bind the Parties.</w:t>
      </w:r>
    </w:p>
    <w:p>
      <w:pPr>
        <w:spacing w:after="0" w:line="127"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retiring Facility Agent shall make available to the successor Facility Agent such documents and records and provide such assistance as the successor Facility Agent may reasonably request for the purposes of performing its functions as Facility Agent under the Finance Documents. The Borrowers shall, within three Business Days of demand, reimburse the retiring Facility Agent for the amount of all costs and expenses (including legal fees) properly incurred by it in making available such documents and records and providing such assistance.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Agent's resignation notice shall only take effect upon the appointment of a successor.</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9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appointment of a successor, the retiring Facility Agent shall be discharged from any further obligation in respect of the Finance Documents (other than its obligations under paragraph (e) above) but shall remain entitled to the benefit of Clause 15.4 (</w:t>
      </w:r>
      <w:r>
        <w:rPr>
          <w:rFonts w:ascii="Times New Roman" w:cs="Times New Roman" w:eastAsia="Times New Roman" w:hAnsi="Times New Roman"/>
          <w:sz w:val="12"/>
          <w:szCs w:val="12"/>
          <w:i w:val="1"/>
          <w:iCs w:val="1"/>
          <w:color w:val="auto"/>
        </w:rPr>
        <w:t>Indemnity to the Facility Agent)</w:t>
      </w:r>
      <w:r>
        <w:rPr>
          <w:rFonts w:ascii="Times New Roman" w:cs="Times New Roman" w:eastAsia="Times New Roman" w:hAnsi="Times New Roman"/>
          <w:sz w:val="12"/>
          <w:szCs w:val="12"/>
          <w:color w:val="auto"/>
        </w:rPr>
        <w:t xml:space="preserve"> and this Clause 32 (</w:t>
      </w:r>
      <w:r>
        <w:rPr>
          <w:rFonts w:ascii="Times New Roman" w:cs="Times New Roman" w:eastAsia="Times New Roman" w:hAnsi="Times New Roman"/>
          <w:sz w:val="12"/>
          <w:szCs w:val="12"/>
          <w:i w:val="1"/>
          <w:iCs w:val="1"/>
          <w:color w:val="auto"/>
        </w:rPr>
        <w:t>The Facility Agent</w:t>
      </w:r>
      <w:r>
        <w:rPr>
          <w:rFonts w:ascii="Times New Roman" w:cs="Times New Roman" w:eastAsia="Times New Roman" w:hAnsi="Times New Roman"/>
          <w:sz w:val="12"/>
          <w:szCs w:val="12"/>
          <w:color w:val="auto"/>
        </w:rPr>
        <w:t>) and any other provisions of a Finance Document which are expressed to limit or exclude its liability (or to indemnify it) in acting as Facility Agent. Any fees for the account of the retiring Facility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10" w:name="page511"/>
    <w:bookmarkEnd w:id="510"/>
    <w:p>
      <w:pPr>
        <w:ind w:left="428" w:hanging="428"/>
        <w:spacing w:after="0" w:line="279" w:lineRule="auto"/>
        <w:tabs>
          <w:tab w:leader="none" w:pos="428" w:val="left"/>
        </w:tabs>
        <w:numPr>
          <w:ilvl w:val="0"/>
          <w:numId w:val="9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may, by notice to the Facility Agent, require it to resign in accordance with paragraph (b) above. In this event, the Facility Agent shall resign in accordance with paragraph (b) above but the cost referred to in paragraph (e) above shall be for the account of the Borrowers.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any Borrower (or any other Transaction Obligor) is not required for an assignment or transfer of rights and/or obligations by the Facility Agent.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32.13</w:t>
      </w:r>
      <w:r>
        <w:rPr>
          <w:sz w:val="20"/>
          <w:szCs w:val="20"/>
          <w:color w:val="auto"/>
        </w:rPr>
        <w:tab/>
      </w:r>
      <w:r>
        <w:rPr>
          <w:rFonts w:ascii="Times New Roman" w:cs="Times New Roman" w:eastAsia="Times New Roman" w:hAnsi="Times New Roman"/>
          <w:sz w:val="11"/>
          <w:szCs w:val="11"/>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9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acting as Facility Agent for the Finance Parties, the Facility Agent shall be regarded as acting through its agency division which shall be treated as a separate entity from any other of its divisions or departments.</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information is received by a division or department of the Facility Agent other than the division or department responsible for complying with the obligations assumed by it under the Finance Documents, that information may be treated as confidential to that division or department, and the Facility Agent shall not be deemed to have notice of it nor shall it be obliged to disclose such information to any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Facility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32.14</w:t>
      </w:r>
      <w:r>
        <w:rPr>
          <w:sz w:val="20"/>
          <w:szCs w:val="20"/>
          <w:color w:val="auto"/>
        </w:rPr>
        <w:tab/>
      </w:r>
      <w:r>
        <w:rPr>
          <w:rFonts w:ascii="Times New Roman" w:cs="Times New Roman" w:eastAsia="Times New Roman" w:hAnsi="Times New Roman"/>
          <w:sz w:val="11"/>
          <w:szCs w:val="11"/>
          <w:b w:val="1"/>
          <w:bCs w:val="1"/>
          <w:color w:val="auto"/>
        </w:rPr>
        <w:t>Relationship with the other Finance Parties</w:t>
      </w:r>
    </w:p>
    <w:p>
      <w:pPr>
        <w:spacing w:after="0" w:line="152" w:lineRule="exact"/>
        <w:rPr>
          <w:sz w:val="20"/>
          <w:szCs w:val="20"/>
          <w:color w:val="auto"/>
        </w:rPr>
      </w:pPr>
    </w:p>
    <w:p>
      <w:pPr>
        <w:ind w:left="428" w:hanging="428"/>
        <w:spacing w:after="0" w:line="283" w:lineRule="auto"/>
        <w:tabs>
          <w:tab w:leader="none" w:pos="428" w:val="left"/>
        </w:tabs>
        <w:numPr>
          <w:ilvl w:val="0"/>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the Facility Agent may treat the person shown in its records as Lender at the opening of business (in the place of the Facility Agent's principal office as notified to the Finance Parties from time to time) as the Lender acting through its Facility Office:</w:t>
      </w:r>
    </w:p>
    <w:p>
      <w:pPr>
        <w:spacing w:after="0" w:line="10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entitled to or liable for any payment due under any Finance Document on that day;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entitled to receive and act upon any notice, request, document or communication or make any decision or determination under any Finance Document made or delivered on that day,</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it has received not less than five Business Days' prior notice from that Lender to the contrary in accordance with the terms of this Agreement.</w:t>
      </w:r>
    </w:p>
    <w:p>
      <w:pPr>
        <w:spacing w:after="0" w:line="150" w:lineRule="exact"/>
        <w:rPr>
          <w:sz w:val="20"/>
          <w:szCs w:val="20"/>
          <w:color w:val="auto"/>
        </w:rPr>
      </w:pPr>
    </w:p>
    <w:p>
      <w:pPr>
        <w:ind w:left="428" w:hanging="428"/>
        <w:spacing w:after="0" w:line="279" w:lineRule="auto"/>
        <w:tabs>
          <w:tab w:leader="none" w:pos="428" w:val="left"/>
        </w:tabs>
        <w:numPr>
          <w:ilvl w:val="0"/>
          <w:numId w:val="9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Finance Party shall supply the Facility Agent with any information that the Security Agent may reasonably specify (through the Facility Agent) as being necessary or desirable to enable the Security Agent to perform its functions as Security Agent.</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11" w:name="page512"/>
    <w:bookmarkEnd w:id="511"/>
    <w:p>
      <w:pPr>
        <w:jc w:val="both"/>
        <w:ind w:left="428" w:hanging="428"/>
        <w:spacing w:after="0" w:line="257" w:lineRule="auto"/>
        <w:tabs>
          <w:tab w:leader="none" w:pos="428" w:val="left"/>
        </w:tabs>
        <w:numPr>
          <w:ilvl w:val="0"/>
          <w:numId w:val="9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Lender may by notice to the Facility Agent appoint a person to receive on its behalf all notices, communications, information and documents to be made or despatched to that Lender under the Finance Documents. Such notice shall contain the address and, where communication by electronic mail or other electronic means is permitted under Clause 39.5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electronic mail address (or such other information), department and officer by that Lender for the purposes of Clause 39.2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and sub-paragraph (ii) of paragraph (a) of Clause 39.5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 and the Facility Agent shall be entitled to treat such person as the person entitled to receive all such notices, communications, information and documents as though that person were that Lender.</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32.15</w:t>
      </w:r>
      <w:r>
        <w:rPr>
          <w:sz w:val="20"/>
          <w:szCs w:val="20"/>
          <w:color w:val="auto"/>
        </w:rPr>
        <w:tab/>
      </w:r>
      <w:r>
        <w:rPr>
          <w:rFonts w:ascii="Times New Roman" w:cs="Times New Roman" w:eastAsia="Times New Roman" w:hAnsi="Times New Roman"/>
          <w:sz w:val="11"/>
          <w:szCs w:val="11"/>
          <w:b w:val="1"/>
          <w:bCs w:val="1"/>
          <w:color w:val="auto"/>
        </w:rPr>
        <w:t>Credit appraisal by the Finance Parties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Without affecting the responsibility of any Transaction Obligor for information supplied by it or on its behalf in connection with any Transaction Document, each Finance Party confirms to the Facility Agent that it has been, and will continue to be, solely responsible for making its own independent appraisal and investigation of all risks arising under, or in connection with, any Transaction Document including but not limited to:</w:t>
      </w:r>
    </w:p>
    <w:p>
      <w:pPr>
        <w:spacing w:after="0" w:line="111" w:lineRule="exact"/>
        <w:rPr>
          <w:sz w:val="20"/>
          <w:szCs w:val="20"/>
          <w:color w:val="auto"/>
        </w:rPr>
      </w:pPr>
    </w:p>
    <w:p>
      <w:pPr>
        <w:ind w:left="428" w:hanging="428"/>
        <w:spacing w:after="0"/>
        <w:tabs>
          <w:tab w:leader="none" w:pos="428"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status and nature of each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provided by the Facility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1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32.16</w:t>
      </w:r>
      <w:r>
        <w:rPr>
          <w:sz w:val="20"/>
          <w:szCs w:val="20"/>
          <w:color w:val="auto"/>
        </w:rPr>
        <w:tab/>
      </w:r>
      <w:r>
        <w:rPr>
          <w:rFonts w:ascii="Times New Roman" w:cs="Times New Roman" w:eastAsia="Times New Roman" w:hAnsi="Times New Roman"/>
          <w:sz w:val="11"/>
          <w:szCs w:val="11"/>
          <w:b w:val="1"/>
          <w:bCs w:val="1"/>
          <w:color w:val="auto"/>
        </w:rPr>
        <w:t>Deduction from amounts payable by the Facility Agent</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If any Party owes an amount to the Facility Agent under the Finance Documents, the Facility Agent may, after giving notice to that Party, deduct an amount not exceeding that amount from any payment to that Party which the Facility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12" w:name="page513"/>
    <w:bookmarkEnd w:id="51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32.17</w:t>
      </w:r>
      <w:r>
        <w:rPr>
          <w:sz w:val="20"/>
          <w:szCs w:val="20"/>
          <w:color w:val="auto"/>
        </w:rPr>
        <w:tab/>
      </w:r>
      <w:r>
        <w:rPr>
          <w:rFonts w:ascii="Times New Roman" w:cs="Times New Roman" w:eastAsia="Times New Roman" w:hAnsi="Times New Roman"/>
          <w:sz w:val="11"/>
          <w:szCs w:val="11"/>
          <w:b w:val="1"/>
          <w:bCs w:val="1"/>
          <w:color w:val="auto"/>
        </w:rPr>
        <w:t>Full freedom to enter into transactions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32.6 (</w:t>
      </w:r>
      <w:r>
        <w:rPr>
          <w:rFonts w:ascii="Times New Roman" w:cs="Times New Roman" w:eastAsia="Times New Roman" w:hAnsi="Times New Roman"/>
          <w:sz w:val="12"/>
          <w:szCs w:val="12"/>
          <w:i w:val="1"/>
          <w:iCs w:val="1"/>
          <w:color w:val="auto"/>
        </w:rPr>
        <w:t>Business with the Group</w:t>
      </w:r>
      <w:r>
        <w:rPr>
          <w:rFonts w:ascii="Times New Roman" w:cs="Times New Roman" w:eastAsia="Times New Roman" w:hAnsi="Times New Roman"/>
          <w:sz w:val="12"/>
          <w:szCs w:val="12"/>
          <w:color w:val="auto"/>
        </w:rPr>
        <w:t>) or any other provision of a Finance Document and notwithstanding any rule of law or equity to the contrary, the Facility Agent shall be absolutely entitled:</w:t>
      </w:r>
    </w:p>
    <w:p>
      <w:pPr>
        <w:spacing w:after="0" w:line="152" w:lineRule="exact"/>
        <w:rPr>
          <w:sz w:val="20"/>
          <w:szCs w:val="20"/>
          <w:color w:val="auto"/>
        </w:rPr>
      </w:pPr>
    </w:p>
    <w:p>
      <w:pPr>
        <w:jc w:val="both"/>
        <w:ind w:left="428" w:hanging="428"/>
        <w:spacing w:after="0" w:line="265" w:lineRule="auto"/>
        <w:tabs>
          <w:tab w:leader="none" w:pos="428"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deal in and enter into and arrange transactions relating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securities issued or to be issued by any Transaction Obligor or any other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options or other derivatives in connection with such securities;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advice or other services to any Borrower or any person who is a party to, or referred to in, a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in particular, the Facility Agent shall be absolutely entitled, in proposing, evaluating, negotiating, entering into and arranging all such transactions and in connection with all other matters covered by paragraphs (a), (b) and</w:t>
      </w:r>
    </w:p>
    <w:p>
      <w:pPr>
        <w:spacing w:after="0" w:line="17" w:lineRule="exact"/>
        <w:rPr>
          <w:sz w:val="20"/>
          <w:szCs w:val="20"/>
          <w:color w:val="auto"/>
        </w:rPr>
      </w:pPr>
    </w:p>
    <w:p>
      <w:pPr>
        <w:ind w:left="428" w:hanging="3"/>
        <w:spacing w:after="0" w:line="260" w:lineRule="auto"/>
        <w:tabs>
          <w:tab w:leader="none" w:pos="602" w:val="left"/>
        </w:tabs>
        <w:numPr>
          <w:ilvl w:val="0"/>
          <w:numId w:val="9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8" w:lineRule="exact"/>
        <w:rPr>
          <w:sz w:val="20"/>
          <w:szCs w:val="20"/>
          <w:color w:val="auto"/>
        </w:rPr>
      </w:pPr>
    </w:p>
    <w:p>
      <w:pPr>
        <w:ind w:left="8" w:right="9520" w:hanging="8"/>
        <w:spacing w:after="0" w:line="502" w:lineRule="auto"/>
        <w:tabs>
          <w:tab w:leader="none" w:pos="431" w:val="left"/>
        </w:tabs>
        <w:numPr>
          <w:ilvl w:val="0"/>
          <w:numId w:val="91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THE SECURITY AGENT 33.1 Trust</w:t>
      </w:r>
    </w:p>
    <w:p>
      <w:pPr>
        <w:spacing w:after="0" w:line="1" w:lineRule="exact"/>
        <w:rPr>
          <w:sz w:val="20"/>
          <w:szCs w:val="20"/>
          <w:color w:val="auto"/>
        </w:rPr>
      </w:pPr>
    </w:p>
    <w:p>
      <w:pPr>
        <w:ind w:left="428" w:right="20" w:hanging="428"/>
        <w:spacing w:after="0" w:line="283" w:lineRule="auto"/>
        <w:tabs>
          <w:tab w:leader="none" w:pos="428" w:val="left"/>
        </w:tabs>
        <w:numPr>
          <w:ilvl w:val="0"/>
          <w:numId w:val="9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declares that it holds the Security Property on trust for the Secured Parties on the terms contained in this Agreement and shall deal with the Security Property in accordance with this Clause 33 (</w:t>
      </w:r>
      <w:r>
        <w:rPr>
          <w:rFonts w:ascii="Times New Roman" w:cs="Times New Roman" w:eastAsia="Times New Roman" w:hAnsi="Times New Roman"/>
          <w:sz w:val="12"/>
          <w:szCs w:val="12"/>
          <w:i w:val="1"/>
          <w:iCs w:val="1"/>
          <w:color w:val="auto"/>
        </w:rPr>
        <w:t>The Security</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Agent</w:t>
      </w:r>
      <w:r>
        <w:rPr>
          <w:rFonts w:ascii="Times New Roman" w:cs="Times New Roman" w:eastAsia="Times New Roman" w:hAnsi="Times New Roman"/>
          <w:sz w:val="12"/>
          <w:szCs w:val="12"/>
          <w:color w:val="auto"/>
        </w:rPr>
        <w:t>) and the other provisions of the Finance Documents.</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1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other Finance Party authorises the Security Agent to perform the duties, obligations and responsibilities and to exercise the rights, powers, authorities and discretions specifically given to the Security Agent under, or in connection with, the Finance Documents together with any other incidental rights, powers, authorities and discretions.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w:t>
      </w:r>
      <w:r>
        <w:rPr>
          <w:sz w:val="20"/>
          <w:szCs w:val="20"/>
          <w:color w:val="auto"/>
        </w:rPr>
        <w:tab/>
      </w:r>
      <w:r>
        <w:rPr>
          <w:rFonts w:ascii="Times New Roman" w:cs="Times New Roman" w:eastAsia="Times New Roman" w:hAnsi="Times New Roman"/>
          <w:sz w:val="11"/>
          <w:szCs w:val="11"/>
          <w:b w:val="1"/>
          <w:bCs w:val="1"/>
          <w:color w:val="auto"/>
        </w:rPr>
        <w:t>Parallel Debt (Covenant to pay the Security Agent)</w:t>
      </w:r>
    </w:p>
    <w:p>
      <w:pPr>
        <w:spacing w:after="0" w:line="154" w:lineRule="exact"/>
        <w:rPr>
          <w:sz w:val="20"/>
          <w:szCs w:val="20"/>
          <w:color w:val="auto"/>
        </w:rPr>
      </w:pPr>
    </w:p>
    <w:p>
      <w:pPr>
        <w:ind w:left="428" w:hanging="428"/>
        <w:spacing w:after="0"/>
        <w:tabs>
          <w:tab w:leader="none" w:pos="428" w:val="left"/>
        </w:tabs>
        <w:numPr>
          <w:ilvl w:val="0"/>
          <w:numId w:val="9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irrevocably and unconditionally undertakes to pay to the Security Agent its Parallel Debt which shall be amounts equal to, and in the currency or currencies of, its Corresponding Debt.</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13" w:name="page514"/>
    <w:bookmarkEnd w:id="513"/>
    <w:p>
      <w:pPr>
        <w:ind w:left="428" w:hanging="428"/>
        <w:spacing w:after="0"/>
        <w:tabs>
          <w:tab w:leader="none" w:pos="428" w:val="left"/>
        </w:tabs>
        <w:numPr>
          <w:ilvl w:val="0"/>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Parallel Debt of an Obligor: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become due and payable at the same time as its Corresponding Debt;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independent and separate from, and without prejudice to, its Corresponding Debt.</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purposes of this Clause 33.2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the Security Agent: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the independent and separate creditor of each Parallel Debt;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acts in its own name and not as agent, representative or trustee of the Finance Parties and its claims in respect of each Parallel Debt shall not be held on trust;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shall have the independent and separate right to demand payment of each Parallel Debt in its own name (including, without limitation, through any suit, execution, enforcement of security, recovery of guarantees and applications for and voting in any kind of insolvency proceeding).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Parallel Debt of an Obligor shall be: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decreased to the extent that its Corresponding Debt has been irrevocably and unconditionally paid or discharged;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increased to the extent that its Corresponding Debt has increased,</w:t>
      </w:r>
    </w:p>
    <w:p>
      <w:pPr>
        <w:spacing w:after="0" w:line="150" w:lineRule="exact"/>
        <w:rPr>
          <w:rFonts w:ascii="Times New Roman" w:cs="Times New Roman" w:eastAsia="Times New Roman" w:hAnsi="Times New Roman"/>
          <w:sz w:val="12"/>
          <w:szCs w:val="12"/>
          <w:color w:val="auto"/>
        </w:rPr>
      </w:pPr>
    </w:p>
    <w:p>
      <w:pPr>
        <w:ind w:left="84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and the Corresponding Debt of an Obligor shall be decreased to the extent that its Parallel Debt has been irrevocably and unconditionally paid or discharged,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in each case provided that the Parallel Debt of an Obligor shall never exceed its Corresponding Debt.</w:t>
      </w:r>
    </w:p>
    <w:p>
      <w:pPr>
        <w:spacing w:after="0" w:line="148" w:lineRule="exact"/>
        <w:rPr>
          <w:sz w:val="20"/>
          <w:szCs w:val="20"/>
          <w:color w:val="auto"/>
        </w:rPr>
      </w:pPr>
    </w:p>
    <w:p>
      <w:pPr>
        <w:ind w:left="428" w:hanging="428"/>
        <w:spacing w:after="0" w:line="283" w:lineRule="auto"/>
        <w:tabs>
          <w:tab w:leader="none" w:pos="428" w:val="left"/>
        </w:tabs>
        <w:numPr>
          <w:ilvl w:val="0"/>
          <w:numId w:val="9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amounts received or recovered by the Security Agent in connection with this Clause 33.2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to the extent permitted by applicable law, shall be applied in accordance with Clause 36.5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2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33.2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shall apply, with any necessary modifications, to each Finance Document.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w:t>
      </w:r>
      <w:r>
        <w:rPr>
          <w:sz w:val="20"/>
          <w:szCs w:val="20"/>
          <w:color w:val="auto"/>
        </w:rPr>
        <w:tab/>
      </w:r>
      <w:r>
        <w:rPr>
          <w:rFonts w:ascii="Times New Roman" w:cs="Times New Roman" w:eastAsia="Times New Roman" w:hAnsi="Times New Roman"/>
          <w:sz w:val="11"/>
          <w:szCs w:val="11"/>
          <w:b w:val="1"/>
          <w:bCs w:val="1"/>
          <w:color w:val="auto"/>
        </w:rPr>
        <w:t>Enforcement through Security Agent only</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Secured Parties shall not have any independent power to enforce, or have recourse to, any of the Transaction Security or to exercise any right, power, authority or discretion arising under the Security Documents except through the Security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33.4</w:t>
      </w:r>
      <w:r>
        <w:rPr>
          <w:sz w:val="20"/>
          <w:szCs w:val="20"/>
          <w:color w:val="auto"/>
        </w:rPr>
        <w:tab/>
      </w:r>
      <w:r>
        <w:rPr>
          <w:rFonts w:ascii="Times New Roman" w:cs="Times New Roman" w:eastAsia="Times New Roman" w:hAnsi="Times New Roman"/>
          <w:sz w:val="11"/>
          <w:szCs w:val="11"/>
          <w:b w:val="1"/>
          <w:bCs w:val="1"/>
          <w:color w:val="auto"/>
        </w:rPr>
        <w:t>Instructions</w:t>
      </w:r>
    </w:p>
    <w:p>
      <w:pPr>
        <w:spacing w:after="0" w:line="154" w:lineRule="exact"/>
        <w:rPr>
          <w:sz w:val="20"/>
          <w:szCs w:val="20"/>
          <w:color w:val="auto"/>
        </w:rPr>
      </w:pPr>
    </w:p>
    <w:p>
      <w:pPr>
        <w:ind w:left="428" w:hanging="428"/>
        <w:spacing w:after="0"/>
        <w:tabs>
          <w:tab w:leader="none" w:pos="428" w:val="left"/>
        </w:tabs>
        <w:numPr>
          <w:ilvl w:val="0"/>
          <w:numId w:val="9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contrary indication appears in a Finance Document, exercise or refrain from exercising any right, power, authority or discretion vested in it as Security Agent in accordance with any instructions given to it by:</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14" w:name="page515"/>
    <w:bookmarkEnd w:id="514"/>
    <w:p>
      <w:pPr>
        <w:ind w:left="1268" w:hanging="422"/>
        <w:spacing w:after="0"/>
        <w:tabs>
          <w:tab w:leader="none" w:pos="1268" w:val="left"/>
        </w:tabs>
        <w:numPr>
          <w:ilvl w:val="2"/>
          <w:numId w:val="9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Lenders (or the Facility Agent on their behalf) if the relevant Finance Document stipulates the matter is an all Lender decision;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all other cases, the Majority Lenders (or the Facility Agent on their behalf); and</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9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 be liable for any act (or omission) if it acts (or refrains from acting) in accordance with sub-paragraph (i) above (or if this Agreement stipulates the matter is a decision for any other Finance Party or group of Finance Parties, in accordance with instructions given to it by that Finance Party or group of Finance Parties).</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to request instructions, or clarification of any instruction, from the Majority Lenders (or the Facility Agent on their behalf) (or, if the relevant Finance Document stipulates the matter is a decision for any other Finance Party or group of Finance Parties, from that Finance Party or group of Finance Parties) as to whether, and in what manner, it should exercise or refrain from exercising any right, power, authority or discretion and the Security Agent may refrain from acting unless and until it receives any such instructions or clarification that it has requested.</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Save in the case of decisions stipulated to be a matter for any other Finance Party or group of Finance Parties under the relevant Finance Document and unless a contrary indication appears in a Finance Document, any instructions given to the Security Agent by the Majority Lenders shall override any conflicting instructions given by any other Parties and will be binding on all Finance Parties.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(a) above shall not apply: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contrary indication appears in a Finance Document;</w:t>
      </w:r>
    </w:p>
    <w:p>
      <w:pPr>
        <w:spacing w:after="0" w:line="150" w:lineRule="exact"/>
        <w:rPr>
          <w:sz w:val="20"/>
          <w:szCs w:val="20"/>
          <w:color w:val="auto"/>
        </w:rPr>
      </w:pPr>
    </w:p>
    <w:p>
      <w:pPr>
        <w:ind w:left="848" w:hanging="425"/>
        <w:spacing w:after="0"/>
        <w:tabs>
          <w:tab w:leader="none" w:pos="848" w:val="left"/>
        </w:tabs>
        <w:numPr>
          <w:ilvl w:val="1"/>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Finance Document requires the Security Agent to act in a specified manner or to take a specified action;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any provision which protects the Security Agent's own position in its personal capacity as opposed to its role of Security Agent for the relevant Secured Parties;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respect of the exercise of the Security Agent's discretion to exercise a right, power or authority under any of:</w:t>
      </w:r>
    </w:p>
    <w:p>
      <w:pPr>
        <w:spacing w:after="0" w:line="148"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33.27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33.28 (</w:t>
      </w:r>
      <w:r>
        <w:rPr>
          <w:rFonts w:ascii="Times New Roman" w:cs="Times New Roman" w:eastAsia="Times New Roman" w:hAnsi="Times New Roman"/>
          <w:sz w:val="12"/>
          <w:szCs w:val="12"/>
          <w:i w:val="1"/>
          <w:iCs w:val="1"/>
          <w:color w:val="auto"/>
        </w:rPr>
        <w:t>Permitted Deductions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2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33.29 (</w:t>
      </w:r>
      <w:r>
        <w:rPr>
          <w:rFonts w:ascii="Times New Roman" w:cs="Times New Roman" w:eastAsia="Times New Roman" w:hAnsi="Times New Roman"/>
          <w:sz w:val="12"/>
          <w:szCs w:val="12"/>
          <w:i w:val="1"/>
          <w:iCs w:val="1"/>
          <w:color w:val="auto"/>
        </w:rPr>
        <w:t>Prospective liabilities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9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giving effect to instructions given by the Majority Lenders would in the Security Agent's opinion have an effect equivalent to an amendment or waiver referred to in Clause 45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 the Security Agent shall not act in accordance with those instructions unless consent to it so acting is obtained from each Party (other than the Security Agent) whose consent would have been required in respect of that amendment or waiver.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exercising any discretion to exercise a right, power or authority under the Finance Documents where either:</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15" w:name="page516"/>
    <w:bookmarkEnd w:id="515"/>
    <w:p>
      <w:pPr>
        <w:ind w:left="848" w:hanging="425"/>
        <w:spacing w:after="0"/>
        <w:tabs>
          <w:tab w:leader="none" w:pos="848" w:val="left"/>
        </w:tabs>
        <w:numPr>
          <w:ilvl w:val="1"/>
          <w:numId w:val="9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has not received any instructions as to the exercise of that discretion; or</w:t>
      </w:r>
    </w:p>
    <w:p>
      <w:pPr>
        <w:spacing w:after="0" w:line="150" w:lineRule="exact"/>
        <w:rPr>
          <w:rFonts w:ascii="Times New Roman" w:cs="Times New Roman" w:eastAsia="Times New Roman" w:hAnsi="Times New Roman"/>
          <w:sz w:val="12"/>
          <w:szCs w:val="12"/>
          <w:color w:val="auto"/>
        </w:rPr>
      </w:pPr>
    </w:p>
    <w:p>
      <w:pPr>
        <w:ind w:left="428" w:right="6380" w:hanging="5"/>
        <w:spacing w:after="0" w:line="500" w:lineRule="auto"/>
        <w:tabs>
          <w:tab w:leader="none" w:pos="849" w:val="left"/>
        </w:tabs>
        <w:numPr>
          <w:ilvl w:val="1"/>
          <w:numId w:val="9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exercise of that discretion is subject to sub-paragraph (iv) of paragraph (d) above, the Security Agent shall do so having regard to the interests of all the Secured Parties.</w:t>
      </w:r>
    </w:p>
    <w:p>
      <w:pPr>
        <w:spacing w:after="0" w:line="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refrain from acting in accordance with any instructions of any Finance Party or group of Finance Parties until it has received any indemnification and/or security that it may in its discretion require (which may be greater in extent than that contained in the Finance Documents and which may include payment in advance) for any cost, loss or liability (together with any applicable VAT) which it may incur in complying with those instructions.</w:t>
      </w:r>
    </w:p>
    <w:p>
      <w:pPr>
        <w:spacing w:after="0" w:line="116"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remainder of this Clause 33.4 (</w:t>
      </w:r>
      <w:r>
        <w:rPr>
          <w:rFonts w:ascii="Times New Roman" w:cs="Times New Roman" w:eastAsia="Times New Roman" w:hAnsi="Times New Roman"/>
          <w:sz w:val="12"/>
          <w:szCs w:val="12"/>
          <w:i w:val="1"/>
          <w:iCs w:val="1"/>
          <w:color w:val="auto"/>
        </w:rPr>
        <w:t>Instructions</w:t>
      </w:r>
      <w:r>
        <w:rPr>
          <w:rFonts w:ascii="Times New Roman" w:cs="Times New Roman" w:eastAsia="Times New Roman" w:hAnsi="Times New Roman"/>
          <w:sz w:val="12"/>
          <w:szCs w:val="12"/>
          <w:color w:val="auto"/>
        </w:rPr>
        <w:t>), in the absence of instructions, the Security Agent may (but shall not be obliged to) take such action in the exercise of its powers and duties under the Finance Documents as it considers in its discretion to be appropriate.</w:t>
      </w:r>
    </w:p>
    <w:p>
      <w:pPr>
        <w:spacing w:after="0" w:line="10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is not authorised to act on behalf of a Finance Party (without first obtaining that Finance Party's consent) in any legal or arbitration proceedings relating to any Finance Document. This paragraph (i) shall not apply to any legal or arbitration proceeding relating to the perfection, preservation or protection of rights under the Security Documents or enforcement of the Transaction Security or Security Documents.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33.5</w:t>
      </w:r>
      <w:r>
        <w:rPr>
          <w:sz w:val="20"/>
          <w:szCs w:val="20"/>
          <w:color w:val="auto"/>
        </w:rPr>
        <w:tab/>
      </w:r>
      <w:r>
        <w:rPr>
          <w:rFonts w:ascii="Times New Roman" w:cs="Times New Roman" w:eastAsia="Times New Roman" w:hAnsi="Times New Roman"/>
          <w:sz w:val="11"/>
          <w:szCs w:val="11"/>
          <w:b w:val="1"/>
          <w:bCs w:val="1"/>
          <w:color w:val="auto"/>
        </w:rPr>
        <w:t>Duties of the Security Agent</w:t>
      </w:r>
    </w:p>
    <w:p>
      <w:pPr>
        <w:spacing w:after="0" w:line="154" w:lineRule="exact"/>
        <w:rPr>
          <w:sz w:val="20"/>
          <w:szCs w:val="20"/>
          <w:color w:val="auto"/>
        </w:rPr>
      </w:pPr>
    </w:p>
    <w:p>
      <w:pPr>
        <w:ind w:left="428" w:hanging="428"/>
        <w:spacing w:after="0"/>
        <w:tabs>
          <w:tab w:leader="none" w:pos="428" w:val="left"/>
        </w:tabs>
        <w:numPr>
          <w:ilvl w:val="0"/>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duties under the Finance Documents are solely mechanical and administrative in nature.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promptly forward to a Party the original or a copy of any document which is delivered to the Security Agent for that Party by any 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where a Finance Document specifically provides otherwise, the Security Agent is not obliged to review or check the adequacy, accuracy or completeness of any document it forwards to another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Security Agent receives notice from a Party referring to any Finance Document, describing a Default and stating that the circumstance described is a Default, it shall promptly notify the other Finance Parties.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have only those duties, obligations and responsibilities expressly specified in the Finance Documents to which it is expressed to be a party (and no others shall be implied).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33.6</w:t>
      </w:r>
      <w:r>
        <w:rPr>
          <w:sz w:val="20"/>
          <w:szCs w:val="20"/>
          <w:color w:val="auto"/>
        </w:rPr>
        <w:tab/>
      </w:r>
      <w:r>
        <w:rPr>
          <w:rFonts w:ascii="Times New Roman" w:cs="Times New Roman" w:eastAsia="Times New Roman" w:hAnsi="Times New Roman"/>
          <w:sz w:val="11"/>
          <w:szCs w:val="11"/>
          <w:b w:val="1"/>
          <w:bCs w:val="1"/>
          <w:color w:val="auto"/>
        </w:rPr>
        <w:t>No fiduciary duties</w:t>
      </w:r>
    </w:p>
    <w:p>
      <w:pPr>
        <w:spacing w:after="0" w:line="154" w:lineRule="exact"/>
        <w:rPr>
          <w:sz w:val="20"/>
          <w:szCs w:val="20"/>
          <w:color w:val="auto"/>
        </w:rPr>
      </w:pPr>
    </w:p>
    <w:p>
      <w:pPr>
        <w:ind w:left="428" w:hanging="428"/>
        <w:spacing w:after="0"/>
        <w:tabs>
          <w:tab w:leader="none" w:pos="428" w:val="left"/>
        </w:tabs>
        <w:numPr>
          <w:ilvl w:val="0"/>
          <w:numId w:val="9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any Finance Document constitutes the Security Agent as an agent, trustee or fiduciary of any Transaction Obligor.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not be bound to account to any other Secured Party for any sum or the profit element of any sum received by it for its own account.</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129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16" w:name="page517"/>
    <w:bookmarkEnd w:id="51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33.7</w:t>
      </w:r>
      <w:r>
        <w:rPr>
          <w:sz w:val="20"/>
          <w:szCs w:val="20"/>
          <w:color w:val="auto"/>
        </w:rPr>
        <w:tab/>
      </w:r>
      <w:r>
        <w:rPr>
          <w:rFonts w:ascii="Times New Roman" w:cs="Times New Roman" w:eastAsia="Times New Roman" w:hAnsi="Times New Roman"/>
          <w:sz w:val="11"/>
          <w:szCs w:val="11"/>
          <w:b w:val="1"/>
          <w:bCs w:val="1"/>
          <w:color w:val="auto"/>
        </w:rPr>
        <w:t>Business with the Group</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may accept deposits from, lend money to, and generally engage in any kind of banking or other business with, any member of the Group.</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33.8</w:t>
      </w:r>
      <w:r>
        <w:rPr>
          <w:sz w:val="20"/>
          <w:szCs w:val="20"/>
          <w:color w:val="auto"/>
        </w:rPr>
        <w:tab/>
      </w:r>
      <w:r>
        <w:rPr>
          <w:rFonts w:ascii="Times New Roman" w:cs="Times New Roman" w:eastAsia="Times New Roman" w:hAnsi="Times New Roman"/>
          <w:sz w:val="11"/>
          <w:szCs w:val="11"/>
          <w:b w:val="1"/>
          <w:bCs w:val="1"/>
          <w:color w:val="auto"/>
        </w:rPr>
        <w:t>Rights and discretions</w:t>
      </w:r>
    </w:p>
    <w:p>
      <w:pPr>
        <w:spacing w:after="0" w:line="154" w:lineRule="exact"/>
        <w:rPr>
          <w:sz w:val="20"/>
          <w:szCs w:val="20"/>
          <w:color w:val="auto"/>
        </w:rPr>
      </w:pPr>
    </w:p>
    <w:p>
      <w:pPr>
        <w:ind w:left="428" w:hanging="428"/>
        <w:spacing w:after="0"/>
        <w:tabs>
          <w:tab w:leader="none" w:pos="428" w:val="left"/>
        </w:tabs>
        <w:numPr>
          <w:ilvl w:val="0"/>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any representation, communication, notice or document believed by it to be genuine, correct and appropriately authorised;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assume that:</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instructions received by it from the Majority Lenders, any Finance Parties or any group of Finance Parties are duly given in accordance with the terms of the Finance Documents;</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it has received notice of revocation, that those instructions have not been revoked;</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receives any instructions to act in relation to the Transaction Security, that all applicable conditions under the Finance Documents for so acting have been satisfied;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rely on a certificate from any person:</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any matter of fact or circumstance which might reasonably be expected to be within the knowledge of that person;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effect that such person approves of any particular dealing, transaction, step, action or thing,</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as sufficient evidence that that is the case and, in the case of paragraph (A) above, may assume the truth and accuracy of that certificate.</w:t>
      </w:r>
    </w:p>
    <w:p>
      <w:pPr>
        <w:spacing w:after="0" w:line="150" w:lineRule="exact"/>
        <w:rPr>
          <w:sz w:val="20"/>
          <w:szCs w:val="20"/>
          <w:color w:val="auto"/>
        </w:rPr>
      </w:pPr>
    </w:p>
    <w:p>
      <w:pPr>
        <w:ind w:left="428" w:hanging="428"/>
        <w:spacing w:after="0" w:line="279" w:lineRule="auto"/>
        <w:tabs>
          <w:tab w:leader="none" w:pos="428"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be entitled to carry out all dealings with the other Finance Parties through the Facility Agent and may give to the Facility Agent any notice or other communication required to be given by the Security Agent to any Finance Party.</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assume (unless it has received notice to the contrary in its capacity as security agent for the Secured Parties) that: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Default has occurred;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right, power, authority or discretion vested in any Party or any group of Finance Parties has not been exercised;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or request made by any Borrower (other than the Utilisation Request or a Selection Notice) is made on behalf of and with the consent and knowledge of all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engage and pay for the advice or services of any lawyers, accountants, tax advisers, surveyors or other professional advisers or experts.</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17" w:name="page518"/>
    <w:bookmarkEnd w:id="517"/>
    <w:p>
      <w:pPr>
        <w:ind w:left="428" w:hanging="428"/>
        <w:spacing w:after="0" w:line="279" w:lineRule="auto"/>
        <w:tabs>
          <w:tab w:leader="none" w:pos="428" w:val="left"/>
        </w:tabs>
        <w:numPr>
          <w:ilvl w:val="0"/>
          <w:numId w:val="9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 (c) above or paragraph (f) below, the Security Agent may at any time engage and pay for the services of any lawyers to act as independent counsel to the Security Agent (and so separate from any lawyers instructed by the Facility Agent or the Lenders) if the Security Agent in its reasonable opinion deems this to be desirable.</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rely on the advice or services of any lawyers, accountants, tax advisers, surveyors or other professional advisers or experts (whether obtained by the Security Agent or by any other Party) and shall not be liable for any damages, costs or losses to any person, any diminution in value or any liability whatsoever arising as a result of its so relying.</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act in relation to the Finance Documents and the Security Property through its officers, employees and agents and shall not: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liable for any error of judgment made by any such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 bound to supervise, or be in any way responsible for any loss incurred by reason of misconduct, omission or default on the part of any such person,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unless such error or such loss was directly caused by the Security Agent's gross negligence or wilful misconduct.</w:t>
      </w:r>
    </w:p>
    <w:p>
      <w:pPr>
        <w:spacing w:after="0" w:line="150" w:lineRule="exact"/>
        <w:rPr>
          <w:sz w:val="20"/>
          <w:szCs w:val="20"/>
          <w:color w:val="auto"/>
        </w:rPr>
      </w:pPr>
    </w:p>
    <w:p>
      <w:pPr>
        <w:ind w:left="428" w:hanging="428"/>
        <w:spacing w:after="0"/>
        <w:tabs>
          <w:tab w:leader="none" w:pos="428" w:val="left"/>
        </w:tabs>
        <w:numPr>
          <w:ilvl w:val="0"/>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a Finance Document expressly provides otherwise the Security Agent may disclose to any other Party any information it reasonably believes it has received as security agent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Security Agent is not obliged to do or omit to do anything if it would or might, in its reasonable opinion, constitute a breach of any law or regulation or a breach of a fiduciary duty or duty of confidentiality.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provision of any Finance Document to the contrary, the Security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33.9</w:t>
      </w:r>
      <w:r>
        <w:rPr>
          <w:sz w:val="20"/>
          <w:szCs w:val="20"/>
          <w:color w:val="auto"/>
        </w:rPr>
        <w:tab/>
      </w:r>
      <w:r>
        <w:rPr>
          <w:rFonts w:ascii="Times New Roman" w:cs="Times New Roman" w:eastAsia="Times New Roman" w:hAnsi="Times New Roman"/>
          <w:sz w:val="11"/>
          <w:szCs w:val="11"/>
          <w:b w:val="1"/>
          <w:bCs w:val="1"/>
          <w:color w:val="auto"/>
        </w:rPr>
        <w:t>Responsibility for documentation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None of the Security Agent, any Receiver or Delegate is responsible or liable for:</w:t>
      </w:r>
    </w:p>
    <w:p>
      <w:pPr>
        <w:spacing w:after="0" w:line="150" w:lineRule="exact"/>
        <w:rPr>
          <w:sz w:val="20"/>
          <w:szCs w:val="20"/>
          <w:color w:val="auto"/>
        </w:rPr>
      </w:pPr>
    </w:p>
    <w:p>
      <w:pPr>
        <w:jc w:val="both"/>
        <w:ind w:left="428" w:hanging="428"/>
        <w:spacing w:after="0" w:line="265" w:lineRule="auto"/>
        <w:tabs>
          <w:tab w:leader="none" w:pos="428" w:val="left"/>
        </w:tabs>
        <w:numPr>
          <w:ilvl w:val="0"/>
          <w:numId w:val="9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(whether oral or written) supplied by the Facility Agent, the Security Agent, a Transaction Obligor or any other person in, or in connection with, any Transaction Document or the transactions contemplated in the Transaction Documents or any other agreement, arrangement or document entered into, made or executed in anticipation of, under or in connection with any Transaction Document;</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or the Security Property or any other agreement, arrangement or document entered into, made or executed in anticipation of, under or in connection with, any Transaction Document or the Security Property;</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18" w:name="page519"/>
    <w:bookmarkEnd w:id="518"/>
    <w:p>
      <w:pPr>
        <w:ind w:left="428" w:hanging="428"/>
        <w:spacing w:after="0" w:line="279" w:lineRule="auto"/>
        <w:tabs>
          <w:tab w:leader="none" w:pos="428" w:val="left"/>
        </w:tabs>
        <w:numPr>
          <w:ilvl w:val="0"/>
          <w:numId w:val="9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determination as to whether any information provided or to be provided to any Secured Party is non-public information the use of which may be regulated or prohibited by applicable law or regulation relating to insider dealing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33.10</w:t>
      </w:r>
      <w:r>
        <w:rPr>
          <w:sz w:val="20"/>
          <w:szCs w:val="20"/>
          <w:color w:val="auto"/>
        </w:rPr>
        <w:tab/>
      </w:r>
      <w:r>
        <w:rPr>
          <w:rFonts w:ascii="Times New Roman" w:cs="Times New Roman" w:eastAsia="Times New Roman" w:hAnsi="Times New Roman"/>
          <w:sz w:val="11"/>
          <w:szCs w:val="11"/>
          <w:b w:val="1"/>
          <w:bCs w:val="1"/>
          <w:color w:val="auto"/>
        </w:rPr>
        <w:t>No duty to monitor</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not be bound to enquire:</w:t>
      </w:r>
    </w:p>
    <w:p>
      <w:pPr>
        <w:spacing w:after="0" w:line="150" w:lineRule="exact"/>
        <w:rPr>
          <w:sz w:val="20"/>
          <w:szCs w:val="20"/>
          <w:color w:val="auto"/>
        </w:rPr>
      </w:pPr>
    </w:p>
    <w:p>
      <w:pPr>
        <w:ind w:left="428" w:hanging="428"/>
        <w:spacing w:after="0"/>
        <w:tabs>
          <w:tab w:leader="none" w:pos="428" w:val="left"/>
        </w:tabs>
        <w:numPr>
          <w:ilvl w:val="0"/>
          <w:numId w:val="9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or not any Default has occurred;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to the performance, default or any breach by any Transaction Obligor of its obligations under any Transaction Document;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any other event specified in any Transaction Document has occurred.</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33.11</w:t>
      </w:r>
      <w:r>
        <w:rPr>
          <w:sz w:val="20"/>
          <w:szCs w:val="20"/>
          <w:color w:val="auto"/>
        </w:rPr>
        <w:tab/>
      </w:r>
      <w:r>
        <w:rPr>
          <w:rFonts w:ascii="Times New Roman" w:cs="Times New Roman" w:eastAsia="Times New Roman" w:hAnsi="Times New Roman"/>
          <w:sz w:val="11"/>
          <w:szCs w:val="11"/>
          <w:b w:val="1"/>
          <w:bCs w:val="1"/>
          <w:color w:val="auto"/>
        </w:rPr>
        <w:t>Exclusion of liability</w:t>
      </w:r>
    </w:p>
    <w:p>
      <w:pPr>
        <w:spacing w:after="0" w:line="154" w:lineRule="exact"/>
        <w:rPr>
          <w:sz w:val="20"/>
          <w:szCs w:val="20"/>
          <w:color w:val="auto"/>
        </w:rPr>
      </w:pPr>
    </w:p>
    <w:p>
      <w:pPr>
        <w:ind w:left="428" w:hanging="428"/>
        <w:spacing w:after="0" w:line="279" w:lineRule="auto"/>
        <w:tabs>
          <w:tab w:leader="none" w:pos="428" w:val="left"/>
        </w:tabs>
        <w:numPr>
          <w:ilvl w:val="0"/>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limiting paragraph (b) below (and without prejudice to any other provision of any Finance Document excluding or limiting the liability of the Security Agent or any Receiver or Delegate), none of the Security Agent nor any Receiver or Delegate will be liable for:</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damages, costs or losses to any person, any diminution in value, or any liability whatsoever arising as a result of taking or not taking any action under or in connection with any Transaction Document or the Security Property, unless directly caused by its gross negligence or wilful misconduct;</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exercising, or not exercising, any right, power, authority or discretion given to it by, or in connection with, any Transaction Document, the Security Property or any other agreement, arrangement or document entered into, made or executed in anticipation of, under or in connection with, any Transaction Document or the Security Property; or</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shortfall which arises on the enforcement or realisation of the Security Property;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paragraphs (i) to (iii) above, any damages, costs or losses to any person, any diminution in value or any liability whatsoever arising as a result of:</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act, event or circumstance not reasonably within its control; or</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2"/>
          <w:numId w:val="9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general risks of investment in, or the holding of assets in, any jurisdiction,</w:t>
      </w:r>
    </w:p>
    <w:p>
      <w:pPr>
        <w:spacing w:after="0" w:line="150" w:lineRule="exact"/>
        <w:rPr>
          <w:sz w:val="20"/>
          <w:szCs w:val="20"/>
          <w:color w:val="auto"/>
        </w:rPr>
      </w:pPr>
    </w:p>
    <w:p>
      <w:pPr>
        <w:jc w:val="both"/>
        <w:ind w:left="848"/>
        <w:spacing w:after="0" w:line="265" w:lineRule="auto"/>
        <w:rPr>
          <w:sz w:val="20"/>
          <w:szCs w:val="20"/>
          <w:color w:val="auto"/>
        </w:rPr>
      </w:pPr>
      <w:r>
        <w:rPr>
          <w:rFonts w:ascii="Times New Roman" w:cs="Times New Roman" w:eastAsia="Times New Roman" w:hAnsi="Times New Roman"/>
          <w:sz w:val="12"/>
          <w:szCs w:val="12"/>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19" w:name="page520"/>
    <w:bookmarkEnd w:id="519"/>
    <w:p>
      <w:pPr>
        <w:jc w:val="both"/>
        <w:ind w:left="428" w:hanging="428"/>
        <w:spacing w:after="0" w:line="265" w:lineRule="auto"/>
        <w:tabs>
          <w:tab w:leader="none" w:pos="428" w:val="left"/>
        </w:tabs>
        <w:numPr>
          <w:ilvl w:val="0"/>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Party other than the Security Agent, that Receiver or that Delegate (as applicable) may take any proceedings against any officer, employee or agent of the Security Agent, a Receiver or a Delegate in respect of any claim it might have against the Security Agent, a Receiver or a Delegate or in respect of any act or omission of any kind by that officer, employee or agent in relation to any Transaction Document or any Security Property and any officer, employee or agent of the Security Agent, a Receiver or a Delegate may rely on this Clause subject to Clause 1.5 (</w:t>
      </w:r>
      <w:r>
        <w:rPr>
          <w:rFonts w:ascii="Times New Roman" w:cs="Times New Roman" w:eastAsia="Times New Roman" w:hAnsi="Times New Roman"/>
          <w:sz w:val="12"/>
          <w:szCs w:val="12"/>
          <w:i w:val="1"/>
          <w:iCs w:val="1"/>
          <w:color w:val="auto"/>
        </w:rPr>
        <w:t>Third party rights</w:t>
      </w:r>
      <w:r>
        <w:rPr>
          <w:rFonts w:ascii="Times New Roman" w:cs="Times New Roman" w:eastAsia="Times New Roman" w:hAnsi="Times New Roman"/>
          <w:sz w:val="12"/>
          <w:szCs w:val="12"/>
          <w:color w:val="auto"/>
        </w:rPr>
        <w:t>) and the provisions of the Third Parties Act.</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will not be liable for any delay (or any related consequences) in crediting an account with an amount required under the Finance Documents to be paid by the Security Agent if the Security Agent has taken all necessary steps as soon as reasonably practicable to comply with the regulations or operating procedures of any recognised clearing or settlement system used by the Security Agent for that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Nothing in this Agreement shall oblige the Security Agent to carry out: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"know your customer" or other checks in relation to any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check on the extent to which any transaction contemplated by this Agreement might be unlawful for any Finance Party,</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on behalf of any Finance Party and each Finance Party confirms to the Security Agent that it is solely responsible for any such checks it is required to carry out and that it may not rely on any statement in relation to such checks made by the Security Agent.</w:t>
      </w:r>
    </w:p>
    <w:p>
      <w:pPr>
        <w:spacing w:after="0" w:line="111" w:lineRule="exact"/>
        <w:rPr>
          <w:sz w:val="20"/>
          <w:szCs w:val="20"/>
          <w:color w:val="auto"/>
        </w:rPr>
      </w:pPr>
    </w:p>
    <w:p>
      <w:pPr>
        <w:jc w:val="both"/>
        <w:ind w:left="428" w:hanging="428"/>
        <w:spacing w:after="0" w:line="257" w:lineRule="auto"/>
        <w:tabs>
          <w:tab w:leader="none" w:pos="428" w:val="left"/>
        </w:tabs>
        <w:numPr>
          <w:ilvl w:val="0"/>
          <w:numId w:val="9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provision of any Finance Document excluding or limiting the liability of the Security Agent or any Receiver or Delegate, any liability of the Security Agent or any Receiver or Delegate arising under or in connection with any Transaction Document or the Security Property shall be limited to the amount of actual loss which has been finally judicially determined to have been suffered (as determined by reference to the date of default of the Security Agent, Receiver or Delegate or, if later, the date on which the loss arises as a result of such default) but without reference to any special conditions or circumstances known to the Security Agent, any Receiver or Delegate at any time which increase the amount of that loss. In no event shall the Security Agent, any Receiver or Delegate be liable for any loss of profits, goodwill, reputation, business opportunity or anticipated saving, or for special, punitive, indirect or consequential damages, whether or not the Security Agent, the Receiver or Delegate has been advised of the possibility of such loss or damages.</w:t>
      </w:r>
    </w:p>
    <w:p>
      <w:pPr>
        <w:spacing w:after="0" w:line="12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33.12</w:t>
        <w:tab/>
        <w:t>Lenders' indemnity to the Security Agent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Lender shall (in proportion to its share of the Total Commitments or, if the Total Commitments are then zero, to its share of the Total Commitments immediately prior to their reduction to zero) indemnify the Security Agent and every Receiver, within three Business Days of demand, against any cost, loss or liability incurred by any of them (otherwise than by reason of the Security Agent's or Receiver's gross negligence or wilful misconduct) in acting as Security Agent or Receiver under the Finance Documents (unless the Security Agent or Receiver has been reimbursed by a Transaction Obligor pursuant to a Finance Document).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(c) below, the Borrowers shall within three days of any demand reimburse any Lender for any payment that Lender makes to the Security Agent pursuant to paragraph (a) above.</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20" w:name="page521"/>
    <w:bookmarkEnd w:id="520"/>
    <w:p>
      <w:pPr>
        <w:ind w:left="428" w:hanging="428"/>
        <w:spacing w:after="0"/>
        <w:tabs>
          <w:tab w:leader="none" w:pos="428" w:val="left"/>
        </w:tabs>
        <w:numPr>
          <w:ilvl w:val="0"/>
          <w:numId w:val="9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(b) above shall not apply to the extent that the indemnity payment in respect of which the Lender claims reimbursement relates to a liability of the Security Agent to an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33.13</w:t>
      </w:r>
      <w:r>
        <w:rPr>
          <w:sz w:val="20"/>
          <w:szCs w:val="20"/>
          <w:color w:val="auto"/>
        </w:rPr>
        <w:tab/>
      </w:r>
      <w:r>
        <w:rPr>
          <w:rFonts w:ascii="Times New Roman" w:cs="Times New Roman" w:eastAsia="Times New Roman" w:hAnsi="Times New Roman"/>
          <w:sz w:val="11"/>
          <w:szCs w:val="11"/>
          <w:b w:val="1"/>
          <w:bCs w:val="1"/>
          <w:color w:val="auto"/>
        </w:rPr>
        <w:t>Resignation of the Security Agent</w:t>
      </w:r>
    </w:p>
    <w:p>
      <w:pPr>
        <w:spacing w:after="0" w:line="154" w:lineRule="exact"/>
        <w:rPr>
          <w:sz w:val="20"/>
          <w:szCs w:val="20"/>
          <w:color w:val="auto"/>
        </w:rPr>
      </w:pPr>
    </w:p>
    <w:p>
      <w:pPr>
        <w:ind w:left="428" w:hanging="428"/>
        <w:spacing w:after="0"/>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resign and appoint one of its Affiliates as successor by giving notice to the other Finance Parties and the Borrowers.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Alternatively, the Security Agent may resign by giving 30 days' notice to the other Finance Parties and the Borrowers, in which case the Majority Lenders may appoint a successor Security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Majority Lenders have not appointed a successor Security Agent in accordance with paragraph (b) above within 20 days after notice of resignation was given, the retiring Security Agent may appoint a successor Security Agent.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retiring Security Agent shall make available to the successor Security Agent such documents and records and provide such assistance as the successor Security Agent may reasonably request for the purposes of performing its functions as Security Agent under the Finance Documents. The Borrowers shall, within three Business Days of demand, reimburse the retiring Security Agent for the amount of all costs and expenses (including legal fees) properly incurred by it in making available such documents and records and providing such assistance.</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Agent's resignation notice shall only take effect upon: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appointment of a successor;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transfer, by way of a document expressed as a deed, of all the Security Property to that successor.</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0" w:lineRule="auto"/>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the appointment of a successor, the retiring Security Agent shall be discharged, by way of a document executed as a deed, from any further obligation in respect of the Finance Documents (other than its obligations under paragraph (b) of Clause 33.24 (</w:t>
      </w:r>
      <w:r>
        <w:rPr>
          <w:rFonts w:ascii="Times New Roman" w:cs="Times New Roman" w:eastAsia="Times New Roman" w:hAnsi="Times New Roman"/>
          <w:sz w:val="12"/>
          <w:szCs w:val="12"/>
          <w:i w:val="1"/>
          <w:iCs w:val="1"/>
          <w:color w:val="auto"/>
        </w:rPr>
        <w:t>Winding up of trust</w:t>
      </w:r>
      <w:r>
        <w:rPr>
          <w:rFonts w:ascii="Times New Roman" w:cs="Times New Roman" w:eastAsia="Times New Roman" w:hAnsi="Times New Roman"/>
          <w:sz w:val="12"/>
          <w:szCs w:val="12"/>
          <w:color w:val="auto"/>
        </w:rPr>
        <w:t>) and paragraph (d) above) but shall remain entitled to the benefit of Clause 15.5 (</w:t>
      </w:r>
      <w:r>
        <w:rPr>
          <w:rFonts w:ascii="Times New Roman" w:cs="Times New Roman" w:eastAsia="Times New Roman" w:hAnsi="Times New Roman"/>
          <w:sz w:val="12"/>
          <w:szCs w:val="12"/>
          <w:i w:val="1"/>
          <w:iCs w:val="1"/>
          <w:color w:val="auto"/>
        </w:rPr>
        <w:t>Indemnity to the Security Agent</w:t>
      </w:r>
      <w:r>
        <w:rPr>
          <w:rFonts w:ascii="Times New Roman" w:cs="Times New Roman" w:eastAsia="Times New Roman" w:hAnsi="Times New Roman"/>
          <w:sz w:val="12"/>
          <w:szCs w:val="12"/>
          <w:color w:val="auto"/>
        </w:rPr>
        <w:t>) and this Clause 33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and any other provisions of a Finance Document which are expressed to limit or exclude its liability (or to indemnify it) in acting as Security Agent. Any fees for the account of the retiring Security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22"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Majority Lenders may, by notice to the Security Agent, require it to resign in accordance with paragraph (b) above. In this event, the Security Agent shall resign in accordance with paragraph (b) above but the cost referred to in paragraph (d) above shall be for the account of the Borrowers.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consent of any Borrower (or any other Transaction Obligor) is not required for an assignment or transfer of rights and/or obligations by the Security Agent.</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21" w:name="page522"/>
    <w:bookmarkEnd w:id="521"/>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33.14</w:t>
      </w:r>
      <w:r>
        <w:rPr>
          <w:sz w:val="20"/>
          <w:szCs w:val="20"/>
          <w:color w:val="auto"/>
        </w:rPr>
        <w:tab/>
      </w:r>
      <w:r>
        <w:rPr>
          <w:rFonts w:ascii="Times New Roman" w:cs="Times New Roman" w:eastAsia="Times New Roman" w:hAnsi="Times New Roman"/>
          <w:sz w:val="11"/>
          <w:szCs w:val="11"/>
          <w:b w:val="1"/>
          <w:bCs w:val="1"/>
          <w:color w:val="auto"/>
        </w:rPr>
        <w:t>Confidentiality</w:t>
      </w:r>
    </w:p>
    <w:p>
      <w:pPr>
        <w:spacing w:after="0" w:line="154" w:lineRule="exact"/>
        <w:rPr>
          <w:sz w:val="20"/>
          <w:szCs w:val="20"/>
          <w:color w:val="auto"/>
        </w:rPr>
      </w:pPr>
    </w:p>
    <w:p>
      <w:pPr>
        <w:ind w:left="428" w:hanging="428"/>
        <w:spacing w:after="0"/>
        <w:tabs>
          <w:tab w:leader="none" w:pos="428" w:val="left"/>
        </w:tabs>
        <w:numPr>
          <w:ilvl w:val="0"/>
          <w:numId w:val="9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acting as Security Agent for the Finance Parties, the Security Agent shall be regarded as acting through its trustee division which shall be treated as a separate entity from any other of its divisions or departments.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information is received by a division or department of the Security Agent other than the division or department responsible for complying with the obligations assumed by it under the Finance Documents, that information may be treated as confidential to that division or department, and the Security Agent shall not be deemed to have notice of it nor shall it be obliged to disclose such information to any Party.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Notwithstanding any other provision of any Finance Document to the contrary, the Security Agent is not obliged to disclose to any other person (i) any confidential information or (ii) any other information if the disclosure would, or might in its reasonable opinion, constitute a breach of any law or regulation or a breach of a fiduciary duty.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33.15</w:t>
      </w:r>
      <w:r>
        <w:rPr>
          <w:sz w:val="20"/>
          <w:szCs w:val="20"/>
          <w:color w:val="auto"/>
        </w:rPr>
        <w:tab/>
      </w:r>
      <w:r>
        <w:rPr>
          <w:rFonts w:ascii="Times New Roman" w:cs="Times New Roman" w:eastAsia="Times New Roman" w:hAnsi="Times New Roman"/>
          <w:sz w:val="11"/>
          <w:szCs w:val="11"/>
          <w:b w:val="1"/>
          <w:bCs w:val="1"/>
          <w:color w:val="auto"/>
        </w:rPr>
        <w:t>Credit appraisal by the Finance Parties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Without affecting the responsibility of any Transaction Obligor for information supplied by it or on its behalf in connection with any Transaction Document, each Finance Party confirms to the Security Agent that it has been, and will continue to be, solely responsible for making its own independent appraisal and investigation of all risks arising under, or in connection with, any Transaction Document including but not limited to:</w:t>
      </w:r>
    </w:p>
    <w:p>
      <w:pPr>
        <w:spacing w:after="0" w:line="111" w:lineRule="exact"/>
        <w:rPr>
          <w:sz w:val="20"/>
          <w:szCs w:val="20"/>
          <w:color w:val="auto"/>
        </w:rPr>
      </w:pPr>
    </w:p>
    <w:p>
      <w:pPr>
        <w:ind w:left="428" w:hanging="428"/>
        <w:spacing w:after="0"/>
        <w:tabs>
          <w:tab w:leader="none" w:pos="428"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financial condition, status and nature of each member of the Group;</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legality, validity, effectiveness, adequacy or enforceability of any Transaction Document, the Security Property and any other agreement, arrangement or document entered into, made or executed in anticipation of, under or in connection with any Transaction Document or the Security Property;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whether that Finance Party has recourse, and the nature and extent of that recourse, against any Party or any of its respective assets under, or in connection with, any Transaction Document, the Security Property, the transactions contemplated by the Transaction Documents or any other agreement, arrangement or document entered into, made or executed in anticipation of, under or in connection with any Transaction Document or the Security Property;</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adequacy, accuracy or completeness of any information provided by the Security Agent, any Party or by any other person under, or in connection with, any Transaction Document, the transactions contemplated by any Transaction Document or any other agreement, arrangement or document entered into, made or executed in anticipation of, under or in connection with any Transaction Document;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right or title of any person in or to or the value or sufficiency of any part of the Security Assets, the priority of any of the Transaction Security or the existence of any Security affecting the Security Assets.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33.16</w:t>
        <w:tab/>
        <w:t>Reliance and engagement letters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Each Secured Party confirms that the Security Agent has authority to accept on its behalf (and ratifies the acceptance on its behalf of any letters or reports already accepted by the Security Agent) the terms of any reliance letter or engagement letters or any reports or letters provided by accountants, auditors or providers of due diligence reports in connection with the Finance Documents or the transactions contemplated in the Finance Documents and to bind it in respect of those, reports or letters and to sign such letters on its behalf and further confirms that it accepts the terms and qualifications set out in such letters.</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522" w:name="page523"/>
    <w:bookmarkEnd w:id="522"/>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33.17</w:t>
      </w:r>
      <w:r>
        <w:rPr>
          <w:sz w:val="20"/>
          <w:szCs w:val="20"/>
          <w:color w:val="auto"/>
        </w:rPr>
        <w:tab/>
      </w:r>
      <w:r>
        <w:rPr>
          <w:rFonts w:ascii="Times New Roman" w:cs="Times New Roman" w:eastAsia="Times New Roman" w:hAnsi="Times New Roman"/>
          <w:sz w:val="11"/>
          <w:szCs w:val="11"/>
          <w:b w:val="1"/>
          <w:bCs w:val="1"/>
          <w:color w:val="auto"/>
        </w:rPr>
        <w:t>No responsibility to perfect Transaction Security</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shall not be liable for any failure to:</w:t>
      </w:r>
    </w:p>
    <w:p>
      <w:pPr>
        <w:spacing w:after="0" w:line="150" w:lineRule="exact"/>
        <w:rPr>
          <w:sz w:val="20"/>
          <w:szCs w:val="20"/>
          <w:color w:val="auto"/>
        </w:rPr>
      </w:pPr>
    </w:p>
    <w:p>
      <w:pPr>
        <w:ind w:left="428" w:hanging="428"/>
        <w:spacing w:after="0"/>
        <w:tabs>
          <w:tab w:leader="none" w:pos="428" w:val="left"/>
        </w:tabs>
        <w:numPr>
          <w:ilvl w:val="0"/>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the deposit with it of any deed or document certifying, representing or constituting the title of any Transaction Obligor to any of the Security Assets;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 any licence, consent or other authority for the execution, delivery, legality, validity, enforceability or admissibility in evidence of any Finance Document or the Transaction Security;</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register, file or record or otherwise protect any of the Transaction Security (or the priority of any of the Transaction Security) under any law or regulation or to give notice to any person of the execution of any Finance Document or of the Transaction Security;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take, or to require any Transaction Obligor to take, any step to perfect its title to any of the Security Assets or to render the Transaction Security effective or to secure the creation of any ancillary Security under any law or regulation; or</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require any further assurance in relation to any Finance Document.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33.18</w:t>
      </w:r>
      <w:r>
        <w:rPr>
          <w:sz w:val="20"/>
          <w:szCs w:val="20"/>
          <w:color w:val="auto"/>
        </w:rPr>
        <w:tab/>
      </w:r>
      <w:r>
        <w:rPr>
          <w:rFonts w:ascii="Times New Roman" w:cs="Times New Roman" w:eastAsia="Times New Roman" w:hAnsi="Times New Roman"/>
          <w:sz w:val="11"/>
          <w:szCs w:val="11"/>
          <w:b w:val="1"/>
          <w:bCs w:val="1"/>
          <w:color w:val="auto"/>
        </w:rPr>
        <w:t>Insurance by Security Agent</w:t>
      </w:r>
    </w:p>
    <w:p>
      <w:pPr>
        <w:spacing w:after="0" w:line="154" w:lineRule="exact"/>
        <w:rPr>
          <w:sz w:val="20"/>
          <w:szCs w:val="20"/>
          <w:color w:val="auto"/>
        </w:rPr>
      </w:pPr>
    </w:p>
    <w:p>
      <w:pPr>
        <w:ind w:left="428" w:hanging="428"/>
        <w:spacing w:after="0"/>
        <w:tabs>
          <w:tab w:leader="none" w:pos="428" w:val="left"/>
        </w:tabs>
        <w:numPr>
          <w:ilvl w:val="0"/>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shall not be obliged: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insure any of the Security Assets;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require any other person to maintain any insurance;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verify any obligation to arrange or maintain insurance contained in any Finance Document,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the Security Agent shall not be liable for any damages, costs or losses to any person as a result of the lack of, or inadequacy of, any such insurance.</w:t>
      </w:r>
    </w:p>
    <w:p>
      <w:pPr>
        <w:spacing w:after="0" w:line="150" w:lineRule="exact"/>
        <w:rPr>
          <w:sz w:val="20"/>
          <w:szCs w:val="20"/>
          <w:color w:val="auto"/>
        </w:rPr>
      </w:pPr>
    </w:p>
    <w:p>
      <w:pPr>
        <w:ind w:left="428" w:hanging="428"/>
        <w:spacing w:after="0" w:line="279" w:lineRule="auto"/>
        <w:tabs>
          <w:tab w:leader="none" w:pos="428" w:val="left"/>
        </w:tabs>
        <w:numPr>
          <w:ilvl w:val="0"/>
          <w:numId w:val="9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the Security Agent is named on any insurance policy as an insured party, it shall not be liable for any damages, costs or losses to any person as a result of its failure to notify the insurers of any material fact relating to the risk assumed by such insurers or any other information of any kind, unless the Majority Lenders request it to do so in writing and the Security Agent fails to do so within 14 days after receipt of that request.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33.19</w:t>
      </w:r>
      <w:r>
        <w:rPr>
          <w:sz w:val="20"/>
          <w:szCs w:val="20"/>
          <w:color w:val="auto"/>
        </w:rPr>
        <w:tab/>
      </w:r>
      <w:r>
        <w:rPr>
          <w:rFonts w:ascii="Times New Roman" w:cs="Times New Roman" w:eastAsia="Times New Roman" w:hAnsi="Times New Roman"/>
          <w:sz w:val="11"/>
          <w:szCs w:val="11"/>
          <w:b w:val="1"/>
          <w:bCs w:val="1"/>
          <w:color w:val="auto"/>
        </w:rPr>
        <w:t>Custodians and nominees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The Security Agent may appoint and pay any person to act as a custodian or nominee on any terms in relation to any asset of the trust as the Security Agent may determine, including for the purpose of depositing with a custodian this Agreement or any document relating to the trust created under this Agreement and the Security Agent shall not be responsible for any loss, liability, expense, demand, cost, claim or proceedings incurred by reason of the misconduct, omission or default on the part of any person appointed by it under this Agreement or be bound to supervise the proceedings or acts of any person.</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2" w:right="299" w:bottom="1440" w:gutter="0" w:footer="0" w:header="0"/>
        </w:sectPr>
      </w:pPr>
    </w:p>
    <w:bookmarkStart w:id="523" w:name="page524"/>
    <w:bookmarkEnd w:id="523"/>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33.20</w:t>
      </w:r>
      <w:r>
        <w:rPr>
          <w:sz w:val="20"/>
          <w:szCs w:val="20"/>
          <w:color w:val="auto"/>
        </w:rPr>
        <w:tab/>
      </w:r>
      <w:r>
        <w:rPr>
          <w:rFonts w:ascii="Times New Roman" w:cs="Times New Roman" w:eastAsia="Times New Roman" w:hAnsi="Times New Roman"/>
          <w:sz w:val="11"/>
          <w:szCs w:val="11"/>
          <w:b w:val="1"/>
          <w:bCs w:val="1"/>
          <w:color w:val="auto"/>
        </w:rPr>
        <w:t>Delegation by the Security Agent</w:t>
      </w:r>
    </w:p>
    <w:p>
      <w:pPr>
        <w:spacing w:after="0" w:line="154" w:lineRule="exact"/>
        <w:rPr>
          <w:sz w:val="20"/>
          <w:szCs w:val="20"/>
          <w:color w:val="auto"/>
        </w:rPr>
      </w:pPr>
    </w:p>
    <w:p>
      <w:pPr>
        <w:ind w:left="428" w:right="20" w:hanging="428"/>
        <w:spacing w:after="0" w:line="279" w:lineRule="auto"/>
        <w:tabs>
          <w:tab w:leader="none" w:pos="428" w:val="left"/>
        </w:tabs>
        <w:numPr>
          <w:ilvl w:val="0"/>
          <w:numId w:val="9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of the Security Agent, any Receiver and any Delegate may, at any time, delegate by power of attorney or otherwise to any person for any period, all or any right, power, authority or discretion vested in it in its capacity as such.</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delegation may be made upon any terms and conditions (including the power to sub delegate) and subject to any restrictions that the Security Agent, that Receiver or that Delegate (as the case may be) may, in its discretion, think fit in the interests of the Secured Parties.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Security Agent, Receiver or Delegate shall be bound to supervise, or be in any way responsible for any damages, costs or losses incurred by reason of any misconduct, omission or default on the part of any such delegate or sub delegate.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33.21</w:t>
      </w:r>
      <w:r>
        <w:rPr>
          <w:sz w:val="20"/>
          <w:szCs w:val="20"/>
          <w:color w:val="auto"/>
        </w:rPr>
        <w:tab/>
      </w:r>
      <w:r>
        <w:rPr>
          <w:rFonts w:ascii="Times New Roman" w:cs="Times New Roman" w:eastAsia="Times New Roman" w:hAnsi="Times New Roman"/>
          <w:sz w:val="11"/>
          <w:szCs w:val="11"/>
          <w:b w:val="1"/>
          <w:bCs w:val="1"/>
          <w:color w:val="auto"/>
        </w:rPr>
        <w:t>Additional Security Agents</w:t>
      </w:r>
    </w:p>
    <w:p>
      <w:pPr>
        <w:spacing w:after="0" w:line="154" w:lineRule="exact"/>
        <w:rPr>
          <w:sz w:val="20"/>
          <w:szCs w:val="20"/>
          <w:color w:val="auto"/>
        </w:rPr>
      </w:pPr>
    </w:p>
    <w:p>
      <w:pPr>
        <w:ind w:left="428" w:hanging="428"/>
        <w:spacing w:after="0"/>
        <w:tabs>
          <w:tab w:leader="none" w:pos="428" w:val="left"/>
        </w:tabs>
        <w:numPr>
          <w:ilvl w:val="0"/>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may at any time appoint (and subsequently remove) any person to act as a separate trustee or as a co-trustee jointly with it: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it considers that appointment to be in the interests of the Secured Parties;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purposes of conforming to any legal requirement, restriction or condition which the Security Agent deems to be relevant;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obtaining or enforcing any judgment in any jurisdiction,</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the Security Agent shall give prior notice to the Borrowers and the Finance Parties of that appointment.</w:t>
      </w:r>
    </w:p>
    <w:p>
      <w:pPr>
        <w:spacing w:after="0" w:line="150" w:lineRule="exact"/>
        <w:rPr>
          <w:sz w:val="20"/>
          <w:szCs w:val="20"/>
          <w:color w:val="auto"/>
        </w:rPr>
      </w:pPr>
    </w:p>
    <w:p>
      <w:pPr>
        <w:ind w:left="428" w:hanging="428"/>
        <w:spacing w:after="0" w:line="279" w:lineRule="auto"/>
        <w:tabs>
          <w:tab w:leader="none" w:pos="428" w:val="left"/>
        </w:tabs>
        <w:numPr>
          <w:ilvl w:val="0"/>
          <w:numId w:val="9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person so appointed shall have the rights, powers, authorities and discretions (not exceeding those given to the Security Agent under or in connection with the Finance Documents) and the duties, obligations and responsibilities that are given or imposed by the instrument of appointment.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remuneration that the Security Agent may pay to that person, and any costs and expenses (together with any applicable VAT) incurred by that person in performing its functions pursuant to that appointment shall, for the purposes of this Agreement, be treated as costs and expenses incurred by the Security Agent.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33.22</w:t>
      </w:r>
      <w:r>
        <w:rPr>
          <w:sz w:val="20"/>
          <w:szCs w:val="20"/>
          <w:color w:val="auto"/>
        </w:rPr>
        <w:tab/>
      </w:r>
      <w:r>
        <w:rPr>
          <w:rFonts w:ascii="Times New Roman" w:cs="Times New Roman" w:eastAsia="Times New Roman" w:hAnsi="Times New Roman"/>
          <w:sz w:val="11"/>
          <w:szCs w:val="11"/>
          <w:b w:val="1"/>
          <w:bCs w:val="1"/>
          <w:color w:val="auto"/>
        </w:rPr>
        <w:t>Acceptance of title</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The Security Agent shall be entitled to accept without enquiry, and shall not be obliged to investigate, any right and title that any Transaction Obligor may have to any of the Security Assets and shall not be liable for or bound to require any Transaction Obligor to remedy any defect in its right or title.</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524" w:name="page525"/>
    <w:bookmarkEnd w:id="52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33.23</w:t>
      </w:r>
      <w:r>
        <w:rPr>
          <w:sz w:val="20"/>
          <w:szCs w:val="20"/>
          <w:color w:val="auto"/>
        </w:rPr>
        <w:tab/>
      </w:r>
      <w:r>
        <w:rPr>
          <w:rFonts w:ascii="Times New Roman" w:cs="Times New Roman" w:eastAsia="Times New Roman" w:hAnsi="Times New Roman"/>
          <w:sz w:val="11"/>
          <w:szCs w:val="11"/>
          <w:b w:val="1"/>
          <w:bCs w:val="1"/>
          <w:color w:val="auto"/>
        </w:rPr>
        <w:t>Releases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Upon a disposal of any of the Security Assets pursuant to the enforcement of the Transaction Security by a Receiver, a Delegate or the Security Agent, the Security Agent is irrevocably authorised (at the cost of the Obligors and without any consent, sanction, authority or further confirmation from any other Secured Party) to release, without recourse or warranty, that property from the Transaction Security and to execute any release of the Transaction Security or other claim over that asset and to issue any certificates of non-crystallisation of floating charges that may be required or desirable.</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33.24</w:t>
      </w:r>
      <w:r>
        <w:rPr>
          <w:sz w:val="20"/>
          <w:szCs w:val="20"/>
          <w:color w:val="auto"/>
        </w:rPr>
        <w:tab/>
      </w:r>
      <w:r>
        <w:rPr>
          <w:rFonts w:ascii="Times New Roman" w:cs="Times New Roman" w:eastAsia="Times New Roman" w:hAnsi="Times New Roman"/>
          <w:sz w:val="11"/>
          <w:szCs w:val="11"/>
          <w:b w:val="1"/>
          <w:bCs w:val="1"/>
          <w:color w:val="auto"/>
        </w:rPr>
        <w:t>Winding up of trust</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the Security Agent, with the approval of the Facility Agent determines that:</w:t>
      </w:r>
    </w:p>
    <w:p>
      <w:pPr>
        <w:spacing w:after="0" w:line="150" w:lineRule="exact"/>
        <w:rPr>
          <w:sz w:val="20"/>
          <w:szCs w:val="20"/>
          <w:color w:val="auto"/>
        </w:rPr>
      </w:pPr>
    </w:p>
    <w:p>
      <w:pPr>
        <w:ind w:left="428" w:hanging="428"/>
        <w:spacing w:after="0"/>
        <w:tabs>
          <w:tab w:leader="none" w:pos="428" w:val="left"/>
        </w:tabs>
        <w:numPr>
          <w:ilvl w:val="0"/>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of the Secured Liabilities and all other obligations secured by the Security Documents have been fully and finally discharged; and</w:t>
      </w:r>
    </w:p>
    <w:p>
      <w:pPr>
        <w:spacing w:after="0" w:line="150" w:lineRule="exact"/>
        <w:rPr>
          <w:rFonts w:ascii="Times New Roman" w:cs="Times New Roman" w:eastAsia="Times New Roman" w:hAnsi="Times New Roman"/>
          <w:sz w:val="12"/>
          <w:szCs w:val="12"/>
          <w:color w:val="auto"/>
        </w:rPr>
      </w:pPr>
    </w:p>
    <w:p>
      <w:pPr>
        <w:ind w:left="428" w:right="660" w:hanging="428"/>
        <w:spacing w:after="0" w:line="500" w:lineRule="auto"/>
        <w:tabs>
          <w:tab w:leader="none" w:pos="426" w:val="left"/>
        </w:tabs>
        <w:numPr>
          <w:ilvl w:val="0"/>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 Secured Party is under any commitment, obligation or liability (actual or contingent) to make advances or provide other financial accommodation to any Transaction Obligor pursuant to the Finance Documents, then</w:t>
      </w:r>
    </w:p>
    <w:p>
      <w:pPr>
        <w:spacing w:after="0" w:line="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trusts set out in this Agreement shall be wound up and the Security Agent shall release, without recourse or warranty, all of the Transaction Security and the rights of the Security Agent under each of the Security Documents; and</w:t>
      </w:r>
    </w:p>
    <w:p>
      <w:pPr>
        <w:spacing w:after="0" w:line="109"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Security Agent which has resigned pursuant to Clause 33.13 (</w:t>
      </w:r>
      <w:r>
        <w:rPr>
          <w:rFonts w:ascii="Times New Roman" w:cs="Times New Roman" w:eastAsia="Times New Roman" w:hAnsi="Times New Roman"/>
          <w:sz w:val="12"/>
          <w:szCs w:val="12"/>
          <w:i w:val="1"/>
          <w:iCs w:val="1"/>
          <w:color w:val="auto"/>
        </w:rPr>
        <w:t>Resignation of the Security Agent</w:t>
      </w:r>
      <w:r>
        <w:rPr>
          <w:rFonts w:ascii="Times New Roman" w:cs="Times New Roman" w:eastAsia="Times New Roman" w:hAnsi="Times New Roman"/>
          <w:sz w:val="12"/>
          <w:szCs w:val="12"/>
          <w:color w:val="auto"/>
        </w:rPr>
        <w:t>) shall release, without recourse or warranty, all of its rights under each Security Document.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33.25</w:t>
      </w:r>
      <w:r>
        <w:rPr>
          <w:sz w:val="20"/>
          <w:szCs w:val="20"/>
          <w:color w:val="auto"/>
        </w:rPr>
        <w:tab/>
      </w:r>
      <w:r>
        <w:rPr>
          <w:rFonts w:ascii="Times New Roman" w:cs="Times New Roman" w:eastAsia="Times New Roman" w:hAnsi="Times New Roman"/>
          <w:sz w:val="11"/>
          <w:szCs w:val="11"/>
          <w:b w:val="1"/>
          <w:bCs w:val="1"/>
          <w:color w:val="auto"/>
        </w:rPr>
        <w:t>Powers supplemental to Trustee Acts</w:t>
      </w:r>
    </w:p>
    <w:p>
      <w:pPr>
        <w:spacing w:after="0" w:line="154" w:lineRule="exact"/>
        <w:rPr>
          <w:sz w:val="20"/>
          <w:szCs w:val="20"/>
          <w:color w:val="auto"/>
        </w:rPr>
      </w:pPr>
    </w:p>
    <w:p>
      <w:pPr>
        <w:jc w:val="both"/>
        <w:ind w:left="428"/>
        <w:spacing w:after="0" w:line="279" w:lineRule="auto"/>
        <w:rPr>
          <w:sz w:val="20"/>
          <w:szCs w:val="20"/>
          <w:color w:val="auto"/>
        </w:rPr>
      </w:pPr>
      <w:r>
        <w:rPr>
          <w:rFonts w:ascii="Times New Roman" w:cs="Times New Roman" w:eastAsia="Times New Roman" w:hAnsi="Times New Roman"/>
          <w:sz w:val="12"/>
          <w:szCs w:val="12"/>
          <w:color w:val="auto"/>
        </w:rPr>
        <w:t>The rights, powers, authorities and discretions given to the Security Agent under or in connection with the Finance Documents shall be supplemental to the Trustee Act 1925 and the Trustee Act 2000 and in addition to any which may be vested in the Security Agent by law or regulation or otherwise.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33.26</w:t>
      </w:r>
      <w:r>
        <w:rPr>
          <w:sz w:val="20"/>
          <w:szCs w:val="20"/>
          <w:color w:val="auto"/>
        </w:rPr>
        <w:tab/>
      </w:r>
      <w:r>
        <w:rPr>
          <w:rFonts w:ascii="Times New Roman" w:cs="Times New Roman" w:eastAsia="Times New Roman" w:hAnsi="Times New Roman"/>
          <w:sz w:val="11"/>
          <w:szCs w:val="11"/>
          <w:b w:val="1"/>
          <w:bCs w:val="1"/>
          <w:color w:val="auto"/>
        </w:rPr>
        <w:t>Disapplication of Trustee Acts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Section 1 of the Trustee Act 2000 shall not apply to the duties of the Security Agent in relation to the trusts constituted by this Agreement and the other Finance Documents. Where there are any inconsistencies between (i) the Trustee Acts 1925 and 2000 and (ii) the provisions of this Agreement and any other Finance Document, the provisions of this Agreement and any other Finance Document shall, to the extent permitted by law and regulation, prevail and, in the case of any inconsistency with the Trustee Act 2000, the provisions of this Agreement and any other Finance Document shall constitute a restriction or exclusion for the purposes of the Trustee Act 2000.</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25" w:name="page526"/>
    <w:bookmarkEnd w:id="52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33.27</w:t>
      </w:r>
      <w:r>
        <w:rPr>
          <w:sz w:val="20"/>
          <w:szCs w:val="20"/>
          <w:color w:val="auto"/>
        </w:rPr>
        <w:tab/>
      </w:r>
      <w:r>
        <w:rPr>
          <w:rFonts w:ascii="Times New Roman" w:cs="Times New Roman" w:eastAsia="Times New Roman" w:hAnsi="Times New Roman"/>
          <w:sz w:val="11"/>
          <w:szCs w:val="11"/>
          <w:b w:val="1"/>
          <w:bCs w:val="1"/>
          <w:color w:val="auto"/>
        </w:rPr>
        <w:t>Application of receipts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All amounts from time to time received or recovered by the Security Agent pursuant to the terms of any Finance Document, under Clause 33.2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in connection with the realisation or enforcement of all or any part of the Security Property (for the purposes of this Clause 33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the "</w:t>
      </w:r>
      <w:r>
        <w:rPr>
          <w:rFonts w:ascii="Times New Roman" w:cs="Times New Roman" w:eastAsia="Times New Roman" w:hAnsi="Times New Roman"/>
          <w:sz w:val="12"/>
          <w:szCs w:val="12"/>
          <w:b w:val="1"/>
          <w:bCs w:val="1"/>
          <w:color w:val="auto"/>
        </w:rPr>
        <w:t>Recoveries</w:t>
      </w:r>
      <w:r>
        <w:rPr>
          <w:rFonts w:ascii="Times New Roman" w:cs="Times New Roman" w:eastAsia="Times New Roman" w:hAnsi="Times New Roman"/>
          <w:sz w:val="12"/>
          <w:szCs w:val="12"/>
          <w:color w:val="auto"/>
        </w:rPr>
        <w:t>") shall be held by the Security Agent on trust to apply them at any time as the Security Agent (in its discretion) sees fit, to the extent permitted by applicable law and subject to the remaining provisions of this Clause 33 (</w:t>
      </w:r>
      <w:r>
        <w:rPr>
          <w:rFonts w:ascii="Times New Roman" w:cs="Times New Roman" w:eastAsia="Times New Roman" w:hAnsi="Times New Roman"/>
          <w:sz w:val="12"/>
          <w:szCs w:val="12"/>
          <w:i w:val="1"/>
          <w:iCs w:val="1"/>
          <w:color w:val="auto"/>
        </w:rPr>
        <w:t>The Security Agent</w:t>
      </w:r>
      <w:r>
        <w:rPr>
          <w:rFonts w:ascii="Times New Roman" w:cs="Times New Roman" w:eastAsia="Times New Roman" w:hAnsi="Times New Roman"/>
          <w:sz w:val="12"/>
          <w:szCs w:val="12"/>
          <w:color w:val="auto"/>
        </w:rPr>
        <w:t>), in the following order of priority:</w:t>
      </w:r>
    </w:p>
    <w:p>
      <w:pPr>
        <w:spacing w:after="0" w:line="117" w:lineRule="exact"/>
        <w:rPr>
          <w:sz w:val="20"/>
          <w:szCs w:val="20"/>
          <w:color w:val="auto"/>
        </w:rPr>
      </w:pPr>
    </w:p>
    <w:p>
      <w:pPr>
        <w:ind w:left="428" w:hanging="428"/>
        <w:spacing w:after="0"/>
        <w:tabs>
          <w:tab w:leader="none" w:pos="428" w:val="left"/>
        </w:tabs>
        <w:numPr>
          <w:ilvl w:val="0"/>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discharging any sums owing to the Security Agent (in its capacity as such) (other than pursuant to Clause 33.2 (</w:t>
      </w:r>
      <w:r>
        <w:rPr>
          <w:rFonts w:ascii="Times New Roman" w:cs="Times New Roman" w:eastAsia="Times New Roman" w:hAnsi="Times New Roman"/>
          <w:sz w:val="12"/>
          <w:szCs w:val="12"/>
          <w:i w:val="1"/>
          <w:iCs w:val="1"/>
          <w:color w:val="auto"/>
        </w:rPr>
        <w:t>Parallel Debt (Covenant to pay the Security Agent)</w:t>
      </w:r>
      <w:r>
        <w:rPr>
          <w:rFonts w:ascii="Times New Roman" w:cs="Times New Roman" w:eastAsia="Times New Roman" w:hAnsi="Times New Roman"/>
          <w:sz w:val="12"/>
          <w:szCs w:val="12"/>
          <w:color w:val="auto"/>
        </w:rPr>
        <w:t>)) or any Receiver or Delegate;</w:t>
      </w:r>
    </w:p>
    <w:p>
      <w:pPr>
        <w:spacing w:after="0" w:line="152"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payment or distribution to the Facility Agent, on its behalf and on behalf of the other Secured Parties, for application towards the discharge of all sums due and payable by any Transaction Obligor under any of the Finance Documents in accordance with Clause 36.5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none of the Transaction Obligors is under any further actual or contingent liability under any Finance Document, in payment or distribution to any person to whom the Security Agent is obliged to pay or distribute in priority to any Transaction Obligor;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balance, if any, in payment or distribution to the relevant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33.28</w:t>
        <w:tab/>
        <w:t>Permitted Deductions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Security Agent may, in its discretion:</w:t>
      </w:r>
    </w:p>
    <w:p>
      <w:pPr>
        <w:spacing w:after="0" w:line="150" w:lineRule="exact"/>
        <w:rPr>
          <w:sz w:val="20"/>
          <w:szCs w:val="20"/>
          <w:color w:val="auto"/>
        </w:rPr>
      </w:pPr>
    </w:p>
    <w:p>
      <w:pPr>
        <w:ind w:left="428" w:right="20" w:hanging="428"/>
        <w:spacing w:after="0" w:line="279" w:lineRule="auto"/>
        <w:tabs>
          <w:tab w:leader="none" w:pos="428" w:val="left"/>
        </w:tabs>
        <w:numPr>
          <w:ilvl w:val="0"/>
          <w:numId w:val="9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aside by way of reserve amounts required to meet, and to make and pay, any deductions and withholdings (on account of Taxes or otherwise) which it is or may be required by any applicable law to make from any distribution or payment made by it under this Agreement; and</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 all Taxes which may be assessed against it in respect of any of the Security Property, or as a consequence of performing its duties, or by virtue of its capacity as Security Agent under any of the Finance Documents or otherwise (other than in connection with its remuneration for performing its duties under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33.29</w:t>
      </w:r>
      <w:r>
        <w:rPr>
          <w:sz w:val="20"/>
          <w:szCs w:val="20"/>
          <w:color w:val="auto"/>
        </w:rPr>
        <w:tab/>
      </w:r>
      <w:r>
        <w:rPr>
          <w:rFonts w:ascii="Times New Roman" w:cs="Times New Roman" w:eastAsia="Times New Roman" w:hAnsi="Times New Roman"/>
          <w:sz w:val="11"/>
          <w:szCs w:val="11"/>
          <w:b w:val="1"/>
          <w:bCs w:val="1"/>
          <w:color w:val="auto"/>
        </w:rPr>
        <w:t>Prospective liabilities</w:t>
      </w:r>
    </w:p>
    <w:p>
      <w:pPr>
        <w:spacing w:after="0" w:line="154"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Following enforcement of any of the Transaction Security, the Security Agent may, in its discretion, or at the request of the Facility Agent, hold any Recoveries in an interest bearing suspense or impersonal account(s) in the name of the Security Agent with such financial institution (including itself) and for so long as the Security Agent shall think fit (the interest being credited to the relevant account) for later payment to the Facility Agent for application in accordance with Clause 33.27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 in respect of:</w:t>
      </w:r>
    </w:p>
    <w:p>
      <w:pPr>
        <w:spacing w:after="0" w:line="119" w:lineRule="exact"/>
        <w:rPr>
          <w:sz w:val="20"/>
          <w:szCs w:val="20"/>
          <w:color w:val="auto"/>
        </w:rPr>
      </w:pPr>
    </w:p>
    <w:p>
      <w:pPr>
        <w:ind w:left="428" w:hanging="428"/>
        <w:spacing w:after="0"/>
        <w:tabs>
          <w:tab w:leader="none" w:pos="428" w:val="left"/>
        </w:tabs>
        <w:numPr>
          <w:ilvl w:val="0"/>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sum to the Security Agent, any Receiver or any Delegate;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part of the Secured Liabilities,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the Security Agent or, in the case of paragraph (b) only, the Facility Agent, reasonably considers, in each case, might become due or owing at any time in the future.</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139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26" w:name="page527"/>
    <w:bookmarkEnd w:id="526"/>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33.30</w:t>
      </w:r>
      <w:r>
        <w:rPr>
          <w:sz w:val="20"/>
          <w:szCs w:val="20"/>
          <w:color w:val="auto"/>
        </w:rPr>
        <w:tab/>
      </w:r>
      <w:r>
        <w:rPr>
          <w:rFonts w:ascii="Times New Roman" w:cs="Times New Roman" w:eastAsia="Times New Roman" w:hAnsi="Times New Roman"/>
          <w:sz w:val="11"/>
          <w:szCs w:val="11"/>
          <w:b w:val="1"/>
          <w:bCs w:val="1"/>
          <w:color w:val="auto"/>
        </w:rPr>
        <w:t>Investment of proceeds</w:t>
      </w:r>
    </w:p>
    <w:p>
      <w:pPr>
        <w:spacing w:after="0" w:line="152" w:lineRule="exact"/>
        <w:rPr>
          <w:sz w:val="20"/>
          <w:szCs w:val="20"/>
          <w:color w:val="auto"/>
        </w:rPr>
      </w:pPr>
    </w:p>
    <w:p>
      <w:pPr>
        <w:jc w:val="both"/>
        <w:ind w:left="428"/>
        <w:spacing w:after="0" w:line="266" w:lineRule="auto"/>
        <w:rPr>
          <w:sz w:val="20"/>
          <w:szCs w:val="20"/>
          <w:color w:val="auto"/>
        </w:rPr>
      </w:pPr>
      <w:r>
        <w:rPr>
          <w:rFonts w:ascii="Times New Roman" w:cs="Times New Roman" w:eastAsia="Times New Roman" w:hAnsi="Times New Roman"/>
          <w:sz w:val="12"/>
          <w:szCs w:val="12"/>
          <w:color w:val="auto"/>
        </w:rPr>
        <w:t>Prior to the payment of the proceeds of the Recoveries to the Facility Agent for application in accordance with Clause 33.27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 the Security Agent may, in its discretion, hold all or part of those proceeds in an interest bearing suspense or impersonal account(s) in the name of the Security Agent with such financial institution (including itself) and for so long as the Security Agent shall think fit (the interest being credited to the relevant account) pending the payment from time to time of those moneys in the Security Agent's discretion in accordance with the provisions of Clause 33.27 (</w:t>
      </w:r>
      <w:r>
        <w:rPr>
          <w:rFonts w:ascii="Times New Roman" w:cs="Times New Roman" w:eastAsia="Times New Roman" w:hAnsi="Times New Roman"/>
          <w:sz w:val="12"/>
          <w:szCs w:val="12"/>
          <w:i w:val="1"/>
          <w:iCs w:val="1"/>
          <w:color w:val="auto"/>
        </w:rPr>
        <w:t>Application of receipts</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33.31</w:t>
      </w:r>
      <w:r>
        <w:rPr>
          <w:sz w:val="20"/>
          <w:szCs w:val="20"/>
          <w:color w:val="auto"/>
        </w:rPr>
        <w:tab/>
      </w:r>
      <w:r>
        <w:rPr>
          <w:rFonts w:ascii="Times New Roman" w:cs="Times New Roman" w:eastAsia="Times New Roman" w:hAnsi="Times New Roman"/>
          <w:sz w:val="11"/>
          <w:szCs w:val="11"/>
          <w:b w:val="1"/>
          <w:bCs w:val="1"/>
          <w:color w:val="auto"/>
        </w:rPr>
        <w:t>Currency conversion</w:t>
      </w:r>
    </w:p>
    <w:p>
      <w:pPr>
        <w:spacing w:after="0" w:line="154" w:lineRule="exact"/>
        <w:rPr>
          <w:sz w:val="20"/>
          <w:szCs w:val="20"/>
          <w:color w:val="auto"/>
        </w:rPr>
      </w:pPr>
    </w:p>
    <w:p>
      <w:pPr>
        <w:ind w:left="428" w:hanging="428"/>
        <w:spacing w:after="0" w:line="279" w:lineRule="auto"/>
        <w:tabs>
          <w:tab w:leader="none" w:pos="428" w:val="left"/>
        </w:tabs>
        <w:numPr>
          <w:ilvl w:val="0"/>
          <w:numId w:val="9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or pending the discharge of, any of the Secured Liabilities the Security Agent may convert any moneys received or recovered by the Security Agent from one currency to another, at a market rate of exchange.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any Transaction Obligor to pay in the due currency shall only be satisfied to the extent of the amount of the due currency purchased after deducting the costs of conversion.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33.32</w:t>
      </w:r>
      <w:r>
        <w:rPr>
          <w:sz w:val="20"/>
          <w:szCs w:val="20"/>
          <w:color w:val="auto"/>
        </w:rPr>
        <w:tab/>
      </w:r>
      <w:r>
        <w:rPr>
          <w:rFonts w:ascii="Times New Roman" w:cs="Times New Roman" w:eastAsia="Times New Roman" w:hAnsi="Times New Roman"/>
          <w:sz w:val="11"/>
          <w:szCs w:val="11"/>
          <w:b w:val="1"/>
          <w:bCs w:val="1"/>
          <w:color w:val="auto"/>
        </w:rPr>
        <w:t>Good discharge</w:t>
      </w:r>
    </w:p>
    <w:p>
      <w:pPr>
        <w:spacing w:after="0" w:line="154" w:lineRule="exact"/>
        <w:rPr>
          <w:sz w:val="20"/>
          <w:szCs w:val="20"/>
          <w:color w:val="auto"/>
        </w:rPr>
      </w:pPr>
    </w:p>
    <w:p>
      <w:pPr>
        <w:ind w:left="428" w:hanging="428"/>
        <w:spacing w:after="0" w:line="279" w:lineRule="auto"/>
        <w:tabs>
          <w:tab w:leader="none" w:pos="428" w:val="left"/>
        </w:tabs>
        <w:numPr>
          <w:ilvl w:val="0"/>
          <w:numId w:val="9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 to be made in respect of the Secured Liabilities by the Security Agent may be made to the Facility Agent on behalf of the Secured Parties and any payment made in that way shall be a good discharge, to the extent of that payment, by the Security Agent.</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Agent is under no obligation to make the payments to the Facility Agent under paragraph (a) above in the same currency as that in which the obligations and liabilities owing to the relevant Finance Party are denominated.</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33.33</w:t>
      </w:r>
      <w:r>
        <w:rPr>
          <w:sz w:val="20"/>
          <w:szCs w:val="20"/>
          <w:color w:val="auto"/>
        </w:rPr>
        <w:tab/>
      </w:r>
      <w:r>
        <w:rPr>
          <w:rFonts w:ascii="Times New Roman" w:cs="Times New Roman" w:eastAsia="Times New Roman" w:hAnsi="Times New Roman"/>
          <w:sz w:val="11"/>
          <w:szCs w:val="11"/>
          <w:b w:val="1"/>
          <w:bCs w:val="1"/>
          <w:color w:val="auto"/>
        </w:rPr>
        <w:t>Amounts received by Obligors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If any of the Obligors receives or recovers any amount which, under the terms of any of the Finance Documents, should have been paid to the Security Agent, that Obligor will hold the amount received or recovered on trust for the Security Agent and promptly pay that amount to the Security Agent for application in accordance with the terms of this Agreement.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33.34</w:t>
      </w:r>
      <w:r>
        <w:rPr>
          <w:sz w:val="20"/>
          <w:szCs w:val="20"/>
          <w:color w:val="auto"/>
        </w:rPr>
        <w:tab/>
      </w:r>
      <w:r>
        <w:rPr>
          <w:rFonts w:ascii="Times New Roman" w:cs="Times New Roman" w:eastAsia="Times New Roman" w:hAnsi="Times New Roman"/>
          <w:sz w:val="11"/>
          <w:szCs w:val="11"/>
          <w:b w:val="1"/>
          <w:bCs w:val="1"/>
          <w:color w:val="auto"/>
        </w:rPr>
        <w:t>Full freedom to enter into transactions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Without prejudice to Clause 33.7 (</w:t>
      </w:r>
      <w:r>
        <w:rPr>
          <w:rFonts w:ascii="Times New Roman" w:cs="Times New Roman" w:eastAsia="Times New Roman" w:hAnsi="Times New Roman"/>
          <w:sz w:val="12"/>
          <w:szCs w:val="12"/>
          <w:i w:val="1"/>
          <w:iCs w:val="1"/>
          <w:color w:val="auto"/>
        </w:rPr>
        <w:t>Business with the Group</w:t>
      </w:r>
      <w:r>
        <w:rPr>
          <w:rFonts w:ascii="Times New Roman" w:cs="Times New Roman" w:eastAsia="Times New Roman" w:hAnsi="Times New Roman"/>
          <w:sz w:val="12"/>
          <w:szCs w:val="12"/>
          <w:color w:val="auto"/>
        </w:rPr>
        <w:t>) or any other provision of a Finance Document and notwithstanding any rule of law or equity to the contrary, the Security Agent shall be absolutely entitled:</w:t>
      </w:r>
    </w:p>
    <w:p>
      <w:pPr>
        <w:spacing w:after="0" w:line="152" w:lineRule="exact"/>
        <w:rPr>
          <w:sz w:val="20"/>
          <w:szCs w:val="20"/>
          <w:color w:val="auto"/>
        </w:rPr>
      </w:pPr>
    </w:p>
    <w:p>
      <w:pPr>
        <w:jc w:val="both"/>
        <w:ind w:left="428" w:hanging="428"/>
        <w:spacing w:after="0" w:line="265" w:lineRule="auto"/>
        <w:tabs>
          <w:tab w:leader="none" w:pos="428" w:val="left"/>
        </w:tabs>
        <w:numPr>
          <w:ilvl w:val="0"/>
          <w:numId w:val="9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enter into and arrange banking, derivative, investment and/or other transactions of every kind with or affecting any Transaction Obligor or any person who is party to, or referred to in, a Finance Document (including, but not limited to, any interest or currency swap or other transaction, whether related to this Agreement or not, and acting as syndicate agent and/or security agent for, and/or participating in, other facilities to such Transaction Obligor or any person who is party to, or referred to in, a Finance Document);</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deal in and enter into and arrange transactions relating to:</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27" w:name="page528"/>
    <w:bookmarkEnd w:id="527"/>
    <w:p>
      <w:pPr>
        <w:ind w:left="848" w:hanging="425"/>
        <w:spacing w:after="0"/>
        <w:tabs>
          <w:tab w:leader="none" w:pos="848" w:val="left"/>
        </w:tabs>
        <w:numPr>
          <w:ilvl w:val="1"/>
          <w:numId w:val="9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securities issued or to be issued by any Transaction Obligor or any other person;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options or other derivatives in connection with such securities;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6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provide advice or other services to the Borrowers or any person who is a party to, or referred to in, a Finance Document,</w:t>
      </w:r>
    </w:p>
    <w:p>
      <w:pPr>
        <w:spacing w:after="0" w:line="150" w:lineRule="exact"/>
        <w:rPr>
          <w:sz w:val="20"/>
          <w:szCs w:val="20"/>
          <w:color w:val="auto"/>
        </w:rPr>
      </w:pPr>
    </w:p>
    <w:p>
      <w:pPr>
        <w:jc w:val="both"/>
        <w:ind w:left="428"/>
        <w:spacing w:after="0" w:line="265" w:lineRule="auto"/>
        <w:rPr>
          <w:sz w:val="20"/>
          <w:szCs w:val="20"/>
          <w:color w:val="auto"/>
        </w:rPr>
      </w:pPr>
      <w:r>
        <w:rPr>
          <w:rFonts w:ascii="Times New Roman" w:cs="Times New Roman" w:eastAsia="Times New Roman" w:hAnsi="Times New Roman"/>
          <w:sz w:val="12"/>
          <w:szCs w:val="12"/>
          <w:color w:val="auto"/>
        </w:rPr>
        <w:t>and, in particular, the Security Agent shall be absolutely entitled, in proposing, evaluating, negotiating, entering into and arranging all such transactions and in connection with all other matters covered by paragraphs (a), (b) and (c) above, to use (subject only to insider dealing legislation) any information or opportunity, howsoever acquired by it, to pursue its own interests exclusively, to refrain from disclosing such dealings, transactions or other matters or any information acquired in connection with them and to retain for its sole benefit all profits and benefits derived from the dealings transactions or other matters.</w:t>
      </w:r>
    </w:p>
    <w:p>
      <w:pPr>
        <w:spacing w:after="0" w:line="115" w:lineRule="exact"/>
        <w:rPr>
          <w:sz w:val="20"/>
          <w:szCs w:val="20"/>
          <w:color w:val="auto"/>
        </w:rPr>
      </w:pPr>
    </w:p>
    <w:p>
      <w:pPr>
        <w:ind w:left="428" w:right="7880" w:hanging="428"/>
        <w:spacing w:after="0" w:line="504" w:lineRule="auto"/>
        <w:tabs>
          <w:tab w:leader="none" w:pos="426" w:val="left"/>
        </w:tabs>
        <w:numPr>
          <w:ilvl w:val="0"/>
          <w:numId w:val="96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 xml:space="preserve">CONDUCT OF BUSINESS BY THE FINANCE PARTIES </w:t>
      </w:r>
      <w:r>
        <w:rPr>
          <w:rFonts w:ascii="Times New Roman" w:cs="Times New Roman" w:eastAsia="Times New Roman" w:hAnsi="Times New Roman"/>
          <w:sz w:val="12"/>
          <w:szCs w:val="12"/>
          <w:color w:val="auto"/>
        </w:rPr>
        <w:t>No provision of this Agreement will:</w:t>
      </w:r>
    </w:p>
    <w:p>
      <w:pPr>
        <w:ind w:left="428" w:hanging="428"/>
        <w:spacing w:after="0"/>
        <w:tabs>
          <w:tab w:leader="none" w:pos="428" w:val="left"/>
        </w:tabs>
        <w:numPr>
          <w:ilvl w:val="0"/>
          <w:numId w:val="9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interfere with the right of any Finance Party to arrange its affairs (tax or otherwise) in whatever manner it thinks fit;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oblige any Finance Party to investigate or claim any credit, relief, remission or repayment available to it or the extent, order and manner of any claim; or</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6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oblige any Finance Party to disclose any information relating to its affairs (tax or otherwise) or any computations in respect of Tax.</w:t>
      </w:r>
    </w:p>
    <w:p>
      <w:pPr>
        <w:spacing w:after="0" w:line="146" w:lineRule="exact"/>
        <w:rPr>
          <w:sz w:val="20"/>
          <w:szCs w:val="20"/>
          <w:color w:val="auto"/>
        </w:rPr>
      </w:pPr>
    </w:p>
    <w:p>
      <w:pPr>
        <w:ind w:left="8" w:right="8420" w:hanging="8"/>
        <w:spacing w:after="0" w:line="500" w:lineRule="auto"/>
        <w:tabs>
          <w:tab w:leader="none" w:pos="431" w:val="left"/>
        </w:tabs>
        <w:numPr>
          <w:ilvl w:val="0"/>
          <w:numId w:val="96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SHARING AMONG THE FINANCE PARTIES 35.1 Payments to Finance Parties</w:t>
      </w:r>
    </w:p>
    <w:p>
      <w:pPr>
        <w:spacing w:after="0" w:line="1"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If a Finance Party (a "</w:t>
      </w:r>
      <w:r>
        <w:rPr>
          <w:rFonts w:ascii="Times New Roman" w:cs="Times New Roman" w:eastAsia="Times New Roman" w:hAnsi="Times New Roman"/>
          <w:sz w:val="12"/>
          <w:szCs w:val="12"/>
          <w:b w:val="1"/>
          <w:bCs w:val="1"/>
          <w:color w:val="auto"/>
        </w:rPr>
        <w:t>Recovering Finance Party</w:t>
      </w:r>
      <w:r>
        <w:rPr>
          <w:rFonts w:ascii="Times New Roman" w:cs="Times New Roman" w:eastAsia="Times New Roman" w:hAnsi="Times New Roman"/>
          <w:sz w:val="12"/>
          <w:szCs w:val="12"/>
          <w:color w:val="auto"/>
        </w:rPr>
        <w:t>") receives or recovers any amount from a Transaction Obligor other than in accordance with Clause 36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 (a "</w:t>
      </w:r>
      <w:r>
        <w:rPr>
          <w:rFonts w:ascii="Times New Roman" w:cs="Times New Roman" w:eastAsia="Times New Roman" w:hAnsi="Times New Roman"/>
          <w:sz w:val="12"/>
          <w:szCs w:val="12"/>
          <w:b w:val="1"/>
          <w:bCs w:val="1"/>
          <w:color w:val="auto"/>
        </w:rPr>
        <w:t>Recovered Amount</w:t>
      </w:r>
      <w:r>
        <w:rPr>
          <w:rFonts w:ascii="Times New Roman" w:cs="Times New Roman" w:eastAsia="Times New Roman" w:hAnsi="Times New Roman"/>
          <w:sz w:val="12"/>
          <w:szCs w:val="12"/>
          <w:color w:val="auto"/>
        </w:rPr>
        <w:t>") and applies that amount to a payment due to it under the Finance Documents then:</w:t>
      </w:r>
    </w:p>
    <w:p>
      <w:pPr>
        <w:spacing w:after="0" w:line="107" w:lineRule="exact"/>
        <w:rPr>
          <w:sz w:val="20"/>
          <w:szCs w:val="20"/>
          <w:color w:val="auto"/>
        </w:rPr>
      </w:pPr>
    </w:p>
    <w:p>
      <w:pPr>
        <w:ind w:left="428" w:hanging="428"/>
        <w:spacing w:after="0"/>
        <w:tabs>
          <w:tab w:leader="none" w:pos="428" w:val="left"/>
        </w:tabs>
        <w:numPr>
          <w:ilvl w:val="0"/>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Recovering Finance Party shall, within three Business Days, notify details of the receipt or recovery, to the Facility Agent;</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determine whether the receipt or recovery is in excess of the amount the Recovering Finance Party would have been paid had the receipt or recovery been received or made by the Facility Agent and distributed in accordance with Clause 36 (</w:t>
      </w:r>
      <w:r>
        <w:rPr>
          <w:rFonts w:ascii="Times New Roman" w:cs="Times New Roman" w:eastAsia="Times New Roman" w:hAnsi="Times New Roman"/>
          <w:sz w:val="12"/>
          <w:szCs w:val="12"/>
          <w:i w:val="1"/>
          <w:iCs w:val="1"/>
          <w:color w:val="auto"/>
        </w:rPr>
        <w:t>Payment Mechanics</w:t>
      </w:r>
      <w:r>
        <w:rPr>
          <w:rFonts w:ascii="Times New Roman" w:cs="Times New Roman" w:eastAsia="Times New Roman" w:hAnsi="Times New Roman"/>
          <w:sz w:val="12"/>
          <w:szCs w:val="12"/>
          <w:color w:val="auto"/>
        </w:rPr>
        <w:t>), without taking account of any Tax which would be imposed on the Facility Agent in relation to the receipt, recovery or distribution; and</w:t>
      </w:r>
    </w:p>
    <w:p>
      <w:pPr>
        <w:spacing w:after="0" w:line="107" w:lineRule="exact"/>
        <w:rPr>
          <w:rFonts w:ascii="Times New Roman" w:cs="Times New Roman" w:eastAsia="Times New Roman" w:hAnsi="Times New Roman"/>
          <w:sz w:val="12"/>
          <w:szCs w:val="12"/>
          <w:color w:val="auto"/>
        </w:rPr>
      </w:pPr>
    </w:p>
    <w:p>
      <w:pPr>
        <w:ind w:left="428" w:right="20" w:hanging="428"/>
        <w:spacing w:after="0" w:line="286" w:lineRule="auto"/>
        <w:tabs>
          <w:tab w:leader="none" w:pos="428" w:val="left"/>
        </w:tabs>
        <w:numPr>
          <w:ilvl w:val="0"/>
          <w:numId w:val="96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Recovering Finance Party shall, within three Business Days of demand by the Facility Agent, pay to the Facility Agent an amount (the "</w:t>
      </w:r>
      <w:r>
        <w:rPr>
          <w:rFonts w:ascii="Times New Roman" w:cs="Times New Roman" w:eastAsia="Times New Roman" w:hAnsi="Times New Roman"/>
          <w:sz w:val="12"/>
          <w:szCs w:val="12"/>
          <w:b w:val="1"/>
          <w:bCs w:val="1"/>
          <w:color w:val="auto"/>
        </w:rPr>
        <w:t>Sharing Payment</w:t>
      </w:r>
      <w:r>
        <w:rPr>
          <w:rFonts w:ascii="Times New Roman" w:cs="Times New Roman" w:eastAsia="Times New Roman" w:hAnsi="Times New Roman"/>
          <w:sz w:val="12"/>
          <w:szCs w:val="12"/>
          <w:color w:val="auto"/>
        </w:rPr>
        <w:t>") equal to such receipt or recovery less any amount which the Facility Agent determines may be retained by the Recovering Finance Party as its share of any payment to be made, in accordance with Clause 36.5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28" w:name="page529"/>
    <w:bookmarkEnd w:id="528"/>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35.2</w:t>
      </w:r>
      <w:r>
        <w:rPr>
          <w:sz w:val="20"/>
          <w:szCs w:val="20"/>
          <w:color w:val="auto"/>
        </w:rPr>
        <w:tab/>
      </w:r>
      <w:r>
        <w:rPr>
          <w:rFonts w:ascii="Times New Roman" w:cs="Times New Roman" w:eastAsia="Times New Roman" w:hAnsi="Times New Roman"/>
          <w:sz w:val="11"/>
          <w:szCs w:val="11"/>
          <w:b w:val="1"/>
          <w:bCs w:val="1"/>
          <w:color w:val="auto"/>
        </w:rPr>
        <w:t>Redistribution of payments</w:t>
      </w:r>
    </w:p>
    <w:p>
      <w:pPr>
        <w:spacing w:after="0" w:line="150" w:lineRule="exact"/>
        <w:rPr>
          <w:sz w:val="20"/>
          <w:szCs w:val="20"/>
          <w:color w:val="auto"/>
        </w:rPr>
      </w:pPr>
    </w:p>
    <w:p>
      <w:pPr>
        <w:ind w:left="428"/>
        <w:spacing w:after="0" w:line="286" w:lineRule="auto"/>
        <w:rPr>
          <w:sz w:val="20"/>
          <w:szCs w:val="20"/>
          <w:color w:val="auto"/>
        </w:rPr>
      </w:pPr>
      <w:r>
        <w:rPr>
          <w:rFonts w:ascii="Times New Roman" w:cs="Times New Roman" w:eastAsia="Times New Roman" w:hAnsi="Times New Roman"/>
          <w:sz w:val="12"/>
          <w:szCs w:val="12"/>
          <w:color w:val="auto"/>
        </w:rPr>
        <w:t>The Facility Agent shall treat the Sharing Payment as if it had been paid by the relevant Transaction Obligor and distribute it among the Finance Parties (other than the Recovering Finance Party) (the "</w:t>
      </w:r>
      <w:r>
        <w:rPr>
          <w:rFonts w:ascii="Times New Roman" w:cs="Times New Roman" w:eastAsia="Times New Roman" w:hAnsi="Times New Roman"/>
          <w:sz w:val="12"/>
          <w:szCs w:val="12"/>
          <w:b w:val="1"/>
          <w:bCs w:val="1"/>
          <w:color w:val="auto"/>
        </w:rPr>
        <w:t>Sharing Finance</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Parties</w:t>
      </w:r>
      <w:r>
        <w:rPr>
          <w:rFonts w:ascii="Times New Roman" w:cs="Times New Roman" w:eastAsia="Times New Roman" w:hAnsi="Times New Roman"/>
          <w:sz w:val="12"/>
          <w:szCs w:val="12"/>
          <w:color w:val="auto"/>
        </w:rPr>
        <w:t>") in accordance with Clause 36.5 (</w:t>
      </w:r>
      <w:r>
        <w:rPr>
          <w:rFonts w:ascii="Times New Roman" w:cs="Times New Roman" w:eastAsia="Times New Roman" w:hAnsi="Times New Roman"/>
          <w:sz w:val="12"/>
          <w:szCs w:val="12"/>
          <w:i w:val="1"/>
          <w:iCs w:val="1"/>
          <w:color w:val="auto"/>
        </w:rPr>
        <w:t>Application of receipts; partial payments</w:t>
      </w:r>
      <w:r>
        <w:rPr>
          <w:rFonts w:ascii="Times New Roman" w:cs="Times New Roman" w:eastAsia="Times New Roman" w:hAnsi="Times New Roman"/>
          <w:sz w:val="12"/>
          <w:szCs w:val="12"/>
          <w:color w:val="auto"/>
        </w:rPr>
        <w:t>) towards the obligations of that Transaction Obligor to the Sharing Finance Parties.</w:t>
      </w:r>
    </w:p>
    <w:p>
      <w:pPr>
        <w:spacing w:after="0" w:line="103"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35.3</w:t>
      </w:r>
      <w:r>
        <w:rPr>
          <w:sz w:val="20"/>
          <w:szCs w:val="20"/>
          <w:color w:val="auto"/>
        </w:rPr>
        <w:tab/>
      </w:r>
      <w:r>
        <w:rPr>
          <w:rFonts w:ascii="Times New Roman" w:cs="Times New Roman" w:eastAsia="Times New Roman" w:hAnsi="Times New Roman"/>
          <w:sz w:val="11"/>
          <w:szCs w:val="11"/>
          <w:b w:val="1"/>
          <w:bCs w:val="1"/>
          <w:color w:val="auto"/>
        </w:rPr>
        <w:t>Recovering Finance Party's rights</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On a distribution by the Facility Agent under Clause 35.2 (</w:t>
      </w:r>
      <w:r>
        <w:rPr>
          <w:rFonts w:ascii="Times New Roman" w:cs="Times New Roman" w:eastAsia="Times New Roman" w:hAnsi="Times New Roman"/>
          <w:sz w:val="12"/>
          <w:szCs w:val="12"/>
          <w:i w:val="1"/>
          <w:iCs w:val="1"/>
          <w:color w:val="auto"/>
        </w:rPr>
        <w:t>Redistribution of payments</w:t>
      </w:r>
      <w:r>
        <w:rPr>
          <w:rFonts w:ascii="Times New Roman" w:cs="Times New Roman" w:eastAsia="Times New Roman" w:hAnsi="Times New Roman"/>
          <w:sz w:val="12"/>
          <w:szCs w:val="12"/>
          <w:color w:val="auto"/>
        </w:rPr>
        <w:t>) of a payment received by a Recovering Finance Party from a Transaction Obligor, as between the relevant Transaction Obligor and the Recovering Finance Party, an amount of the Recovered Amount equal to the Sharing Payment will be treated as not having been paid by that Transaction Obligor.</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35.4</w:t>
      </w:r>
      <w:r>
        <w:rPr>
          <w:sz w:val="20"/>
          <w:szCs w:val="20"/>
          <w:color w:val="auto"/>
        </w:rPr>
        <w:tab/>
      </w:r>
      <w:r>
        <w:rPr>
          <w:rFonts w:ascii="Times New Roman" w:cs="Times New Roman" w:eastAsia="Times New Roman" w:hAnsi="Times New Roman"/>
          <w:sz w:val="11"/>
          <w:szCs w:val="11"/>
          <w:b w:val="1"/>
          <w:bCs w:val="1"/>
          <w:color w:val="auto"/>
        </w:rPr>
        <w:t>Reversal of redistribution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any part of the Sharing Payment received or recovered by a Recovering Finance Party becomes repayable and is repaid by that Recovering Finance Party, then:</w:t>
      </w:r>
    </w:p>
    <w:p>
      <w:pPr>
        <w:spacing w:after="0" w:line="150" w:lineRule="exact"/>
        <w:rPr>
          <w:sz w:val="20"/>
          <w:szCs w:val="20"/>
          <w:color w:val="auto"/>
        </w:rPr>
      </w:pPr>
    </w:p>
    <w:p>
      <w:pPr>
        <w:jc w:val="both"/>
        <w:ind w:left="428" w:hanging="428"/>
        <w:spacing w:after="0" w:line="265" w:lineRule="auto"/>
        <w:tabs>
          <w:tab w:leader="none" w:pos="428" w:val="left"/>
        </w:tabs>
        <w:numPr>
          <w:ilvl w:val="0"/>
          <w:numId w:val="9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Sharing Finance Party shall, upon request of the Facility Agent, pay to the Facility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Times New Roman" w:cs="Times New Roman" w:eastAsia="Times New Roman" w:hAnsi="Times New Roman"/>
          <w:sz w:val="12"/>
          <w:szCs w:val="12"/>
          <w:b w:val="1"/>
          <w:bCs w:val="1"/>
          <w:color w:val="auto"/>
        </w:rPr>
        <w:t>Redistributed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2"/>
          <w:szCs w:val="12"/>
          <w:color w:val="auto"/>
        </w:rPr>
        <w:t>"); and</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6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between the relevant Transaction Obligor and each relevant Sharing Finance Party, an amount equal to the relevant Redistributed Amount will be treated as not having been paid by that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35.5</w:t>
      </w:r>
      <w:r>
        <w:rPr>
          <w:sz w:val="20"/>
          <w:szCs w:val="20"/>
          <w:color w:val="auto"/>
        </w:rPr>
        <w:tab/>
      </w:r>
      <w:r>
        <w:rPr>
          <w:rFonts w:ascii="Times New Roman" w:cs="Times New Roman" w:eastAsia="Times New Roman" w:hAnsi="Times New Roman"/>
          <w:sz w:val="11"/>
          <w:szCs w:val="11"/>
          <w:b w:val="1"/>
          <w:bCs w:val="1"/>
          <w:color w:val="auto"/>
        </w:rPr>
        <w:t>Exceptions</w:t>
      </w:r>
    </w:p>
    <w:p>
      <w:pPr>
        <w:spacing w:after="0" w:line="152" w:lineRule="exact"/>
        <w:rPr>
          <w:sz w:val="20"/>
          <w:szCs w:val="20"/>
          <w:color w:val="auto"/>
        </w:rPr>
      </w:pPr>
    </w:p>
    <w:p>
      <w:pPr>
        <w:ind w:left="428" w:right="20" w:hanging="428"/>
        <w:spacing w:after="0" w:line="283" w:lineRule="auto"/>
        <w:tabs>
          <w:tab w:leader="none" w:pos="428" w:val="left"/>
        </w:tabs>
        <w:numPr>
          <w:ilvl w:val="0"/>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35 (</w:t>
      </w:r>
      <w:r>
        <w:rPr>
          <w:rFonts w:ascii="Times New Roman" w:cs="Times New Roman" w:eastAsia="Times New Roman" w:hAnsi="Times New Roman"/>
          <w:sz w:val="12"/>
          <w:szCs w:val="12"/>
          <w:i w:val="1"/>
          <w:iCs w:val="1"/>
          <w:color w:val="auto"/>
        </w:rPr>
        <w:t>Sharing among the Finance Parties</w:t>
      </w:r>
      <w:r>
        <w:rPr>
          <w:rFonts w:ascii="Times New Roman" w:cs="Times New Roman" w:eastAsia="Times New Roman" w:hAnsi="Times New Roman"/>
          <w:sz w:val="12"/>
          <w:szCs w:val="12"/>
          <w:color w:val="auto"/>
        </w:rPr>
        <w:t>) shall not apply to the extent that the Recovering Finance Party would not, after making any payment pursuant to this Clause, have a valid and enforceable claim against the relevant Transaction Obligor.</w:t>
      </w:r>
    </w:p>
    <w:p>
      <w:pPr>
        <w:spacing w:after="0" w:line="10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Recovering Finance Party is not obliged to share with any other Finance Party any amount which the Recovering Finance Party has received or recovered as a result of taking legal or arbitration proceedings, if:</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 notified that other Finance Party of the legal or arbitration proceedings;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6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111" w:lineRule="exact"/>
        <w:rPr>
          <w:sz w:val="20"/>
          <w:szCs w:val="20"/>
          <w:color w:val="auto"/>
        </w:rPr>
      </w:pPr>
    </w:p>
    <w:p>
      <w:pPr>
        <w:ind w:left="5568"/>
        <w:spacing w:after="0"/>
        <w:tabs>
          <w:tab w:leader="none" w:pos="10188" w:val="left"/>
        </w:tabs>
        <w:rPr>
          <w:sz w:val="20"/>
          <w:szCs w:val="20"/>
          <w:color w:val="auto"/>
        </w:rPr>
      </w:pPr>
      <w:r>
        <w:rPr>
          <w:rFonts w:ascii="Times New Roman" w:cs="Times New Roman" w:eastAsia="Times New Roman" w:hAnsi="Times New Roman"/>
          <w:sz w:val="11"/>
          <w:szCs w:val="11"/>
          <w:color w:val="auto"/>
        </w:rPr>
        <w:t>142</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29" w:name="page530"/>
    <w:bookmarkEnd w:id="52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11</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ADMINISTRATION</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w:t>
      </w:r>
      <w:r>
        <w:rPr>
          <w:sz w:val="20"/>
          <w:szCs w:val="20"/>
          <w:color w:val="auto"/>
        </w:rPr>
        <w:tab/>
      </w:r>
      <w:r>
        <w:rPr>
          <w:rFonts w:ascii="Times New Roman" w:cs="Times New Roman" w:eastAsia="Times New Roman" w:hAnsi="Times New Roman"/>
          <w:sz w:val="12"/>
          <w:szCs w:val="12"/>
          <w:b w:val="1"/>
          <w:bCs w:val="1"/>
          <w:color w:val="auto"/>
        </w:rPr>
        <w:t>PAYMENT MECHANICS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36.1</w:t>
      </w:r>
      <w:r>
        <w:rPr>
          <w:sz w:val="20"/>
          <w:szCs w:val="20"/>
          <w:color w:val="auto"/>
        </w:rPr>
        <w:tab/>
      </w:r>
      <w:r>
        <w:rPr>
          <w:rFonts w:ascii="Times New Roman" w:cs="Times New Roman" w:eastAsia="Times New Roman" w:hAnsi="Times New Roman"/>
          <w:sz w:val="11"/>
          <w:szCs w:val="11"/>
          <w:b w:val="1"/>
          <w:bCs w:val="1"/>
          <w:color w:val="auto"/>
        </w:rPr>
        <w:t>Payments to the Facility Agent</w:t>
      </w:r>
    </w:p>
    <w:p>
      <w:pPr>
        <w:spacing w:after="0" w:line="154" w:lineRule="exact"/>
        <w:rPr>
          <w:sz w:val="20"/>
          <w:szCs w:val="20"/>
          <w:color w:val="auto"/>
        </w:rPr>
      </w:pPr>
    </w:p>
    <w:p>
      <w:pPr>
        <w:jc w:val="both"/>
        <w:ind w:left="428" w:hanging="428"/>
        <w:spacing w:after="0" w:line="265" w:lineRule="auto"/>
        <w:tabs>
          <w:tab w:leader="none" w:pos="428" w:val="left"/>
        </w:tabs>
        <w:numPr>
          <w:ilvl w:val="0"/>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each date on which a Transaction Obligor or a Lender is required to make a payment under a Finance Document, that Transaction Obligor or Lender shall make an amount equal to such payment available to the Facility Agent (unless a contrary indication appears in a Finance Document) for value on the due date at the time and in such funds specified by the Facility Agent as being customary at the time for settlement of transactions in the relevant currency in the place of payment.</w:t>
      </w:r>
    </w:p>
    <w:p>
      <w:pPr>
        <w:spacing w:after="0" w:line="118"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6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Payment shall be made to such account in the principal financial centre of the country of that currency (or, in relation to euro, in a principal financial centre in such Participating Member State or London, as specified by the Facility Agent) and with such bank as the Facility Agent, in each case, specifies.</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36.2</w:t>
      </w:r>
      <w:r>
        <w:rPr>
          <w:sz w:val="20"/>
          <w:szCs w:val="20"/>
          <w:color w:val="auto"/>
        </w:rPr>
        <w:tab/>
      </w:r>
      <w:r>
        <w:rPr>
          <w:rFonts w:ascii="Times New Roman" w:cs="Times New Roman" w:eastAsia="Times New Roman" w:hAnsi="Times New Roman"/>
          <w:sz w:val="11"/>
          <w:szCs w:val="11"/>
          <w:b w:val="1"/>
          <w:bCs w:val="1"/>
          <w:color w:val="auto"/>
        </w:rPr>
        <w:t>Distributions by the Facility Agent</w:t>
      </w:r>
    </w:p>
    <w:p>
      <w:pPr>
        <w:spacing w:after="0" w:line="152" w:lineRule="exact"/>
        <w:rPr>
          <w:sz w:val="20"/>
          <w:szCs w:val="20"/>
          <w:color w:val="auto"/>
        </w:rPr>
      </w:pPr>
    </w:p>
    <w:p>
      <w:pPr>
        <w:jc w:val="both"/>
        <w:ind w:left="428"/>
        <w:spacing w:after="0" w:line="261" w:lineRule="auto"/>
        <w:rPr>
          <w:sz w:val="20"/>
          <w:szCs w:val="20"/>
          <w:color w:val="auto"/>
        </w:rPr>
      </w:pPr>
      <w:r>
        <w:rPr>
          <w:rFonts w:ascii="Times New Roman" w:cs="Times New Roman" w:eastAsia="Times New Roman" w:hAnsi="Times New Roman"/>
          <w:sz w:val="12"/>
          <w:szCs w:val="12"/>
          <w:color w:val="auto"/>
        </w:rPr>
        <w:t>Each payment received by the Facility Agent under the Finance Documents for another Party shall, subject to Clause 36.3 (</w:t>
      </w:r>
      <w:r>
        <w:rPr>
          <w:rFonts w:ascii="Times New Roman" w:cs="Times New Roman" w:eastAsia="Times New Roman" w:hAnsi="Times New Roman"/>
          <w:sz w:val="12"/>
          <w:szCs w:val="12"/>
          <w:i w:val="1"/>
          <w:iCs w:val="1"/>
          <w:color w:val="auto"/>
        </w:rPr>
        <w:t>Distributions to a Transaction Obligor</w:t>
      </w:r>
      <w:r>
        <w:rPr>
          <w:rFonts w:ascii="Times New Roman" w:cs="Times New Roman" w:eastAsia="Times New Roman" w:hAnsi="Times New Roman"/>
          <w:sz w:val="12"/>
          <w:szCs w:val="12"/>
          <w:color w:val="auto"/>
        </w:rPr>
        <w:t>) and Clause 36.4 (</w:t>
      </w:r>
      <w:r>
        <w:rPr>
          <w:rFonts w:ascii="Times New Roman" w:cs="Times New Roman" w:eastAsia="Times New Roman" w:hAnsi="Times New Roman"/>
          <w:sz w:val="12"/>
          <w:szCs w:val="12"/>
          <w:i w:val="1"/>
          <w:iCs w:val="1"/>
          <w:color w:val="auto"/>
        </w:rPr>
        <w:t>Clawback and pre-funding</w:t>
      </w:r>
      <w:r>
        <w:rPr>
          <w:rFonts w:ascii="Times New Roman" w:cs="Times New Roman" w:eastAsia="Times New Roman" w:hAnsi="Times New Roman"/>
          <w:sz w:val="12"/>
          <w:szCs w:val="12"/>
          <w:color w:val="auto"/>
        </w:rPr>
        <w:t>) be made available by the Facility Agent as soon as practicable after receipt to the Party entitled to receive payment in accordance with this Agreement (in the case of a Lender, for the account of its Facility Office), to such account as that Party may notify to the Facility Agent by not less than five Business Days' notice with a bank specified by that Party in the principal financial centre of the country of that currency (or, in relation to euro, in the principal financial centre of a Participating Member State or London), as specified by that Party or, in the case of the Loan, to such account of such person as may be specified by the Borrowers in the Utilisation Request.</w:t>
      </w:r>
    </w:p>
    <w:p>
      <w:pPr>
        <w:spacing w:after="0" w:line="11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36.3</w:t>
      </w:r>
      <w:r>
        <w:rPr>
          <w:sz w:val="20"/>
          <w:szCs w:val="20"/>
          <w:color w:val="auto"/>
        </w:rPr>
        <w:tab/>
      </w:r>
      <w:r>
        <w:rPr>
          <w:rFonts w:ascii="Times New Roman" w:cs="Times New Roman" w:eastAsia="Times New Roman" w:hAnsi="Times New Roman"/>
          <w:sz w:val="11"/>
          <w:szCs w:val="11"/>
          <w:b w:val="1"/>
          <w:bCs w:val="1"/>
          <w:color w:val="auto"/>
        </w:rPr>
        <w:t>Distributions to a Transaction Obligor</w:t>
      </w:r>
    </w:p>
    <w:p>
      <w:pPr>
        <w:spacing w:after="0" w:line="152" w:lineRule="exact"/>
        <w:rPr>
          <w:sz w:val="20"/>
          <w:szCs w:val="20"/>
          <w:color w:val="auto"/>
        </w:rPr>
      </w:pPr>
    </w:p>
    <w:p>
      <w:pPr>
        <w:jc w:val="both"/>
        <w:ind w:left="428"/>
        <w:spacing w:after="0" w:line="283" w:lineRule="auto"/>
        <w:rPr>
          <w:sz w:val="20"/>
          <w:szCs w:val="20"/>
          <w:color w:val="auto"/>
        </w:rPr>
      </w:pPr>
      <w:r>
        <w:rPr>
          <w:rFonts w:ascii="Times New Roman" w:cs="Times New Roman" w:eastAsia="Times New Roman" w:hAnsi="Times New Roman"/>
          <w:sz w:val="12"/>
          <w:szCs w:val="12"/>
          <w:color w:val="auto"/>
        </w:rPr>
        <w:t>The Facility Agent may (with the consent of the Transaction Obligor or in accordance with Clause 37 (</w:t>
      </w:r>
      <w:r>
        <w:rPr>
          <w:rFonts w:ascii="Times New Roman" w:cs="Times New Roman" w:eastAsia="Times New Roman" w:hAnsi="Times New Roman"/>
          <w:sz w:val="12"/>
          <w:szCs w:val="12"/>
          <w:i w:val="1"/>
          <w:iCs w:val="1"/>
          <w:color w:val="auto"/>
        </w:rPr>
        <w:t>Set-Off</w:t>
      </w:r>
      <w:r>
        <w:rPr>
          <w:rFonts w:ascii="Times New Roman" w:cs="Times New Roman" w:eastAsia="Times New Roman" w:hAnsi="Times New Roman"/>
          <w:sz w:val="12"/>
          <w:szCs w:val="12"/>
          <w:color w:val="auto"/>
        </w:rPr>
        <w:t>)) apply any amount received by it for that Transaction Obligor in or towards payment (on the date and in the currency and funds of receipt) of any amount due from that Transaction Obligor under the Finance Documents or in or towards purchase of any amount of any currency to be so applied.</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36.4</w:t>
      </w:r>
      <w:r>
        <w:rPr>
          <w:sz w:val="20"/>
          <w:szCs w:val="20"/>
          <w:color w:val="auto"/>
        </w:rPr>
        <w:tab/>
      </w:r>
      <w:r>
        <w:rPr>
          <w:rFonts w:ascii="Times New Roman" w:cs="Times New Roman" w:eastAsia="Times New Roman" w:hAnsi="Times New Roman"/>
          <w:sz w:val="11"/>
          <w:szCs w:val="11"/>
          <w:b w:val="1"/>
          <w:bCs w:val="1"/>
          <w:color w:val="auto"/>
        </w:rPr>
        <w:t>Clawback and pre-funding</w:t>
      </w:r>
    </w:p>
    <w:p>
      <w:pPr>
        <w:spacing w:after="0" w:line="154" w:lineRule="exact"/>
        <w:rPr>
          <w:sz w:val="20"/>
          <w:szCs w:val="20"/>
          <w:color w:val="auto"/>
        </w:rPr>
      </w:pPr>
    </w:p>
    <w:p>
      <w:pPr>
        <w:ind w:left="428" w:right="20" w:hanging="428"/>
        <w:spacing w:after="0" w:line="279" w:lineRule="auto"/>
        <w:tabs>
          <w:tab w:leader="none" w:pos="428" w:val="left"/>
        </w:tabs>
        <w:numPr>
          <w:ilvl w:val="0"/>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Where a sum is to be paid to the Facility Agent under the Finance Documents for another Party, the Facility Agent is not obliged to pay that sum to that other Party (or to enter into or perform any related exchange contract) until it has been able to establish to its satisfaction that it has actually received that sum.</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paragraph (c) below applies, if the Facility Agent pays an amount to another Party and it proves to be the case that the Facility Agent had not actually received that amount, then the Party to whom that amount (or the proceeds of any related exchange contract) was paid by the Facility Agent shall on demand refund the same to the Facility Agent together with interest on that amount from the date of payment to the date of receipt by the Facility Agent, calculated by the Facility Agent to reflect its cost of funds.</w:t>
      </w:r>
    </w:p>
    <w:p>
      <w:pPr>
        <w:spacing w:after="0" w:line="11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30" w:name="page531"/>
    <w:bookmarkEnd w:id="530"/>
    <w:p>
      <w:pPr>
        <w:ind w:left="428" w:right="20" w:hanging="428"/>
        <w:spacing w:after="0" w:line="279" w:lineRule="auto"/>
        <w:tabs>
          <w:tab w:leader="none" w:pos="428" w:val="left"/>
        </w:tabs>
        <w:numPr>
          <w:ilvl w:val="0"/>
          <w:numId w:val="9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has notified the Lenders that it is willing to make available amounts for the account of the Borrowers before receiving funds from the Lenders then if and to the extent that the Facility Agent does so but it proves to be the case that it does not then receive funds from a Lender in respect of a sum which it paid to the Borrowers: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Borrowers of that Lender's identity and the Borrowers shall on demand refund it to the Facility Agent; and</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Lender by whom those funds should have been made available or, if the Lender fails to do so, the Borrowers shall on demand pay to the Facility Agent the amount (as certified by the Facility Agent) which will indemnify the Facility Agent against any funding cost incurred by it as a result of paying out that sum before receiving those funds from that Lender.</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36.5</w:t>
      </w:r>
      <w:r>
        <w:rPr>
          <w:sz w:val="20"/>
          <w:szCs w:val="20"/>
          <w:color w:val="auto"/>
        </w:rPr>
        <w:tab/>
      </w:r>
      <w:r>
        <w:rPr>
          <w:rFonts w:ascii="Times New Roman" w:cs="Times New Roman" w:eastAsia="Times New Roman" w:hAnsi="Times New Roman"/>
          <w:sz w:val="11"/>
          <w:szCs w:val="11"/>
          <w:b w:val="1"/>
          <w:bCs w:val="1"/>
          <w:color w:val="auto"/>
        </w:rPr>
        <w:t>Application of receipts; partial payments</w:t>
      </w:r>
    </w:p>
    <w:p>
      <w:pPr>
        <w:spacing w:after="0" w:line="154" w:lineRule="exact"/>
        <w:rPr>
          <w:sz w:val="20"/>
          <w:szCs w:val="20"/>
          <w:color w:val="auto"/>
        </w:rPr>
      </w:pPr>
    </w:p>
    <w:p>
      <w:pPr>
        <w:ind w:left="428" w:hanging="428"/>
        <w:spacing w:after="0" w:line="279" w:lineRule="auto"/>
        <w:tabs>
          <w:tab w:leader="none" w:pos="428"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 Facility Agent receives a payment that is insufficient to discharge all the amounts then due and payable by a Transaction Obligor under the Finance Documents, the Facility Agent shall apply that payment towards the obligations of that Transaction Obligor under the Finance Documents in the following order:</w:t>
      </w:r>
    </w:p>
    <w:p>
      <w:pPr>
        <w:spacing w:after="0" w:line="107"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first</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unpaid fees, costs and expenses of, and any other amounts owing to, the Facility Agent, the Security Agent, any Receiver or any Delegate under the Finance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secondly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accrued interest and fees due but unpaid to the Lenders under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thirdly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principal due but unpaid to the Lenders under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fourthly</w:t>
      </w:r>
      <w:r>
        <w:rPr>
          <w:rFonts w:ascii="Times New Roman" w:cs="Times New Roman" w:eastAsia="Times New Roman" w:hAnsi="Times New Roman"/>
          <w:sz w:val="12"/>
          <w:szCs w:val="12"/>
          <w:color w:val="auto"/>
        </w:rPr>
        <w:t>, in or towards payment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i w:val="1"/>
          <w:iCs w:val="1"/>
          <w:color w:val="auto"/>
        </w:rPr>
        <w:t>pro rata</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of any other sum due but unpaid under the Finance Documents.</w:t>
      </w:r>
    </w:p>
    <w:p>
      <w:pPr>
        <w:spacing w:after="0" w:line="154"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if so directed by the Lenders, vary, or instruct the Security Agent to vary (as applicable), the order set out in sub-paragraphs (ii) to (iv) of paragraph (a) above.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Paragraphs (a) and (b) above will override any appropriation made by a Transaction Obligor.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36.6</w:t>
      </w:r>
      <w:r>
        <w:rPr>
          <w:sz w:val="20"/>
          <w:szCs w:val="20"/>
          <w:color w:val="auto"/>
        </w:rPr>
        <w:tab/>
      </w:r>
      <w:r>
        <w:rPr>
          <w:rFonts w:ascii="Times New Roman" w:cs="Times New Roman" w:eastAsia="Times New Roman" w:hAnsi="Times New Roman"/>
          <w:sz w:val="11"/>
          <w:szCs w:val="11"/>
          <w:b w:val="1"/>
          <w:bCs w:val="1"/>
          <w:color w:val="auto"/>
        </w:rPr>
        <w:t>No set-off by Transaction Obligors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All payments to be made by a Transaction Obligor under the Finance Documents shall be calculated and be made without (and free and clear of any deduction for) set-off or counterclaim.</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36.7</w:t>
      </w:r>
      <w:r>
        <w:rPr>
          <w:sz w:val="20"/>
          <w:szCs w:val="20"/>
          <w:color w:val="auto"/>
        </w:rPr>
        <w:tab/>
      </w:r>
      <w:r>
        <w:rPr>
          <w:rFonts w:ascii="Times New Roman" w:cs="Times New Roman" w:eastAsia="Times New Roman" w:hAnsi="Times New Roman"/>
          <w:sz w:val="11"/>
          <w:szCs w:val="11"/>
          <w:b w:val="1"/>
          <w:bCs w:val="1"/>
          <w:color w:val="auto"/>
        </w:rPr>
        <w:t>Business Days</w:t>
      </w:r>
    </w:p>
    <w:p>
      <w:pPr>
        <w:spacing w:after="0" w:line="154" w:lineRule="exact"/>
        <w:rPr>
          <w:sz w:val="20"/>
          <w:szCs w:val="20"/>
          <w:color w:val="auto"/>
        </w:rPr>
      </w:pPr>
    </w:p>
    <w:p>
      <w:pPr>
        <w:ind w:left="428" w:hanging="428"/>
        <w:spacing w:after="0" w:line="279" w:lineRule="auto"/>
        <w:tabs>
          <w:tab w:leader="none" w:pos="428" w:val="left"/>
        </w:tabs>
        <w:numPr>
          <w:ilvl w:val="0"/>
          <w:numId w:val="9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payment under the Finance Documents which is due to be made on a day that is not a Business Day shall be made on the next Business Day in the same calendar month (if there is one) or the preceding Business Day (if there is not).</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6" w:right="299" w:bottom="1440" w:gutter="0" w:footer="0" w:header="0"/>
        </w:sectPr>
      </w:pPr>
    </w:p>
    <w:bookmarkStart w:id="531" w:name="page532"/>
    <w:bookmarkEnd w:id="531"/>
    <w:p>
      <w:pPr>
        <w:ind w:left="428" w:hanging="428"/>
        <w:spacing w:after="0"/>
        <w:tabs>
          <w:tab w:leader="none" w:pos="428" w:val="left"/>
        </w:tabs>
        <w:numPr>
          <w:ilvl w:val="0"/>
          <w:numId w:val="9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During any extension of the due date for payment of any principal or an Unpaid Sum under this Agreement interest is payable on the principal or Unpaid Sum at the rate payable on the original due date.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36.8</w:t>
      </w:r>
      <w:r>
        <w:rPr>
          <w:sz w:val="20"/>
          <w:szCs w:val="20"/>
          <w:color w:val="auto"/>
        </w:rPr>
        <w:tab/>
      </w:r>
      <w:r>
        <w:rPr>
          <w:rFonts w:ascii="Times New Roman" w:cs="Times New Roman" w:eastAsia="Times New Roman" w:hAnsi="Times New Roman"/>
          <w:sz w:val="11"/>
          <w:szCs w:val="11"/>
          <w:b w:val="1"/>
          <w:bCs w:val="1"/>
          <w:color w:val="auto"/>
        </w:rPr>
        <w:t>Currency of account</w:t>
      </w:r>
    </w:p>
    <w:p>
      <w:pPr>
        <w:spacing w:after="0" w:line="154" w:lineRule="exact"/>
        <w:rPr>
          <w:sz w:val="20"/>
          <w:szCs w:val="20"/>
          <w:color w:val="auto"/>
        </w:rPr>
      </w:pPr>
    </w:p>
    <w:p>
      <w:pPr>
        <w:ind w:left="428" w:hanging="428"/>
        <w:spacing w:after="0"/>
        <w:tabs>
          <w:tab w:leader="none" w:pos="428"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paragraphs (b) and (c) below, dollars is the currency of account and payment for any sum due from a Transaction Obligor under any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payment in respect of costs, expenses or Taxes shall be made in the currency in which the costs, expenses or Taxes are incurred.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amount expressed to be payable in a currency other than dollars shall be paid in that other currency.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36.9</w:t>
      </w:r>
      <w:r>
        <w:rPr>
          <w:sz w:val="20"/>
          <w:szCs w:val="20"/>
          <w:color w:val="auto"/>
        </w:rPr>
        <w:tab/>
      </w:r>
      <w:r>
        <w:rPr>
          <w:rFonts w:ascii="Times New Roman" w:cs="Times New Roman" w:eastAsia="Times New Roman" w:hAnsi="Times New Roman"/>
          <w:sz w:val="11"/>
          <w:szCs w:val="11"/>
          <w:b w:val="1"/>
          <w:bCs w:val="1"/>
          <w:color w:val="auto"/>
        </w:rPr>
        <w:t>Change of currency</w:t>
      </w:r>
    </w:p>
    <w:p>
      <w:pPr>
        <w:spacing w:after="0" w:line="154" w:lineRule="exact"/>
        <w:rPr>
          <w:sz w:val="20"/>
          <w:szCs w:val="20"/>
          <w:color w:val="auto"/>
        </w:rPr>
      </w:pPr>
    </w:p>
    <w:p>
      <w:pPr>
        <w:ind w:left="428" w:hanging="428"/>
        <w:spacing w:after="0"/>
        <w:tabs>
          <w:tab w:leader="none" w:pos="428" w:val="left"/>
        </w:tabs>
        <w:numPr>
          <w:ilvl w:val="0"/>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otherwise prohibited by law, if more than one currency or currency unit are at the same time recognised by the central bank of any country as the lawful currency of that country, then:</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the Finance Documents to, and any obligations arising under the Finance Documents in, the currency of that country shall be translated into, or paid in, the currency or currency unit of that country designated by the Facility Agent (after consultation with the Borrowers); and</w:t>
      </w:r>
    </w:p>
    <w:p>
      <w:pPr>
        <w:spacing w:after="0" w:line="111"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translation from one currency or currency unit to another shall be at the official rate of exchange recognised by the central bank for the conversion of that currency or currency unit into the other, rounded up or down by the Facility Agent (acting reasonably).</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change in any currency of a country occurs, this Agreement will, to the extent the Facility Agent (acting reasonably and after consultation with the Borrowers) specifies to be necessary, be amended to comply with any generally accepted conventions and market practice in the Relevant Market and otherwise to reflect the change in currency.</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36.10</w:t>
      </w:r>
      <w:r>
        <w:rPr>
          <w:sz w:val="20"/>
          <w:szCs w:val="20"/>
          <w:color w:val="auto"/>
        </w:rPr>
        <w:tab/>
      </w:r>
      <w:r>
        <w:rPr>
          <w:rFonts w:ascii="Times New Roman" w:cs="Times New Roman" w:eastAsia="Times New Roman" w:hAnsi="Times New Roman"/>
          <w:sz w:val="11"/>
          <w:szCs w:val="11"/>
          <w:b w:val="1"/>
          <w:bCs w:val="1"/>
          <w:color w:val="auto"/>
        </w:rPr>
        <w:t>Currency Conversion</w:t>
      </w:r>
    </w:p>
    <w:p>
      <w:pPr>
        <w:spacing w:after="0" w:line="154" w:lineRule="exact"/>
        <w:rPr>
          <w:sz w:val="20"/>
          <w:szCs w:val="20"/>
          <w:color w:val="auto"/>
        </w:rPr>
      </w:pPr>
    </w:p>
    <w:p>
      <w:pPr>
        <w:ind w:left="428" w:hanging="428"/>
        <w:spacing w:after="0" w:line="279" w:lineRule="auto"/>
        <w:tabs>
          <w:tab w:leader="none" w:pos="428" w:val="left"/>
        </w:tabs>
        <w:numPr>
          <w:ilvl w:val="0"/>
          <w:numId w:val="9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the purpose of, or pending any payment to be made by any Servicing Party under any Finance Document, such Servicing Party may convert any moneys received or recovered by it from one currency to another, at a market rate of exchange.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obligations of any Transaction Obligor to pay in the due currency shall only be satisfied to the extent of the amount of the due currency purchased after deducting the costs of conversion.</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36.11</w:t>
        <w:tab/>
        <w:t>Disruption to Payment Systems etc.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either the Facility Agent determines (in its discretion) that a Disruption Event has occurred or the Facility Agent is notified by a Borrower that a Disruption Event has occurred:</w:t>
      </w:r>
    </w:p>
    <w:p>
      <w:pPr>
        <w:spacing w:after="0" w:line="150" w:lineRule="exact"/>
        <w:rPr>
          <w:sz w:val="20"/>
          <w:szCs w:val="20"/>
          <w:color w:val="auto"/>
        </w:rPr>
      </w:pPr>
    </w:p>
    <w:p>
      <w:pPr>
        <w:ind w:left="428" w:right="20" w:hanging="428"/>
        <w:spacing w:after="0" w:line="279" w:lineRule="auto"/>
        <w:tabs>
          <w:tab w:leader="none" w:pos="428" w:val="left"/>
        </w:tabs>
        <w:numPr>
          <w:ilvl w:val="0"/>
          <w:numId w:val="9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and shall if requested to do so by a Borrower, consult with the Borrowers with a view to agreeing with the Borrowers such changes to the operation or administration of the Facility as the Facility Agent may deem necessary in the circumstances;</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32" w:name="page533"/>
    <w:bookmarkEnd w:id="532"/>
    <w:p>
      <w:pPr>
        <w:ind w:left="428" w:hanging="428"/>
        <w:spacing w:after="0" w:line="279" w:lineRule="auto"/>
        <w:tabs>
          <w:tab w:leader="none" w:pos="428"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obliged to consult with the Borrowers in relation to any changes mentioned in paragraph (a) above if, in its opinion, it is not practicable to do so in the circumstances and, in any event, shall have no obligation to agree to such changes;</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consult with the Finance Parties in relation to any changes mentioned in paragraph (a) above but shall not be obliged to do so if, in its opinion, it is not practicable to do so in the circumstances;</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changes agreed upon by the Facility Agent and the Borrowers shall (whether or not it is finally determined that a Disruption Event has occurred) be binding upon the Parties as an amendment to (or, as the case may be, waiver of) the terms of the Finance Documents notwithstanding the provisions of Clause 45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Facility Agent) arising as a result of its taking, or failing to take, any actions pursuant to or in connection with this Clause 36.11 (</w:t>
      </w:r>
      <w:r>
        <w:rPr>
          <w:rFonts w:ascii="Times New Roman" w:cs="Times New Roman" w:eastAsia="Times New Roman" w:hAnsi="Times New Roman"/>
          <w:sz w:val="12"/>
          <w:szCs w:val="12"/>
          <w:i w:val="1"/>
          <w:iCs w:val="1"/>
          <w:color w:val="auto"/>
        </w:rPr>
        <w:t>Disruption to Payment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Systems etc.</w:t>
      </w:r>
      <w:r>
        <w:rPr>
          <w:rFonts w:ascii="Times New Roman" w:cs="Times New Roman" w:eastAsia="Times New Roman" w:hAnsi="Times New Roman"/>
          <w:sz w:val="12"/>
          <w:szCs w:val="12"/>
          <w:color w:val="auto"/>
        </w:rPr>
        <w:t>); and</w:t>
      </w:r>
    </w:p>
    <w:p>
      <w:pPr>
        <w:spacing w:after="0" w:line="11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shall notify the Finance Parties of all changes agreed pursuant to paragraph (d) above.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w:t>
      </w:r>
      <w:r>
        <w:rPr>
          <w:sz w:val="20"/>
          <w:szCs w:val="20"/>
          <w:color w:val="auto"/>
        </w:rPr>
        <w:tab/>
      </w:r>
      <w:r>
        <w:rPr>
          <w:rFonts w:ascii="Times New Roman" w:cs="Times New Roman" w:eastAsia="Times New Roman" w:hAnsi="Times New Roman"/>
          <w:sz w:val="12"/>
          <w:szCs w:val="12"/>
          <w:b w:val="1"/>
          <w:bCs w:val="1"/>
          <w:color w:val="auto"/>
        </w:rPr>
        <w:t>SET-OFF</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37.1</w:t>
      </w:r>
      <w:r>
        <w:rPr>
          <w:sz w:val="20"/>
          <w:szCs w:val="20"/>
          <w:color w:val="auto"/>
        </w:rPr>
        <w:tab/>
      </w:r>
      <w:r>
        <w:rPr>
          <w:rFonts w:ascii="Times New Roman" w:cs="Times New Roman" w:eastAsia="Times New Roman" w:hAnsi="Times New Roman"/>
          <w:sz w:val="11"/>
          <w:szCs w:val="11"/>
          <w:b w:val="1"/>
          <w:bCs w:val="1"/>
          <w:color w:val="auto"/>
        </w:rPr>
        <w:t>Application of credit balances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Finance Party may:</w:t>
      </w:r>
    </w:p>
    <w:p>
      <w:pPr>
        <w:spacing w:after="0" w:line="150" w:lineRule="exact"/>
        <w:rPr>
          <w:sz w:val="20"/>
          <w:szCs w:val="20"/>
          <w:color w:val="auto"/>
        </w:rPr>
      </w:pPr>
    </w:p>
    <w:p>
      <w:pPr>
        <w:jc w:val="both"/>
        <w:ind w:left="428" w:hanging="428"/>
        <w:spacing w:after="0" w:line="265" w:lineRule="auto"/>
        <w:tabs>
          <w:tab w:leader="none" w:pos="428" w:val="left"/>
        </w:tabs>
        <w:numPr>
          <w:ilvl w:val="0"/>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set off any matured obligation due from an Obligor under the Finance Documents (to the extent beneficially owned by that person) against any matured obligation owed by that Finance Party, and/or as applicable, the Account Bank, to that Obligor, regardless of the place of payment, booking branch or currency of either obligation. If the obligations are in different currencies, that Finance Party may convert either obligation at a market rate of exchange in its usual course of business for the purpose of the set-off; and</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following the occurrence of an Event of Default which is continuing and without prior notice, apply any balance (whether or not then due) which at any time stands to the credit of any account in the name of that Obligor at any office or branch in any country of that Finance Party and/or as applicable, the Account Bank, in or towards satisfaction of any sum then due from that Obligor to that Finance Party and any other liability of that Obligor (whether actual or contingent) under any of the Finance Documents, and for that purpose:</w:t>
      </w:r>
    </w:p>
    <w:p>
      <w:pPr>
        <w:spacing w:after="0" w:line="11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break, or alter the maturity of, all or any part of a deposit of an Obligor; and/or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convert or translate all or any part of a deposit or other credit balance into dollars; and/or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enter into any other transaction, execute such documents or make any entry in the name of that Obligor and/or the Finance Party with regard to the credit balance which the Finance Party considers appropriate; and/or</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98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combine and/or consolidate and/or liquidate all or any accounts (whether current, deposit, loan or of any other nature whatsoever, whether subject to notice or not and in whatever currency) of any one or more of that Obligor with any office or branch of the Finance Party and/or as applicable, the Account Bank.</w:t>
      </w:r>
    </w:p>
    <w:p>
      <w:pPr>
        <w:spacing w:after="0" w:line="111" w:lineRule="exact"/>
        <w:rPr>
          <w:sz w:val="20"/>
          <w:szCs w:val="20"/>
          <w:color w:val="auto"/>
        </w:rPr>
      </w:pPr>
    </w:p>
    <w:p>
      <w:pPr>
        <w:ind w:left="5568"/>
        <w:spacing w:after="0"/>
        <w:tabs>
          <w:tab w:leader="none" w:pos="10188" w:val="left"/>
        </w:tabs>
        <w:rPr>
          <w:sz w:val="20"/>
          <w:szCs w:val="20"/>
          <w:color w:val="auto"/>
        </w:rPr>
      </w:pPr>
      <w:r>
        <w:rPr>
          <w:rFonts w:ascii="Times New Roman" w:cs="Times New Roman" w:eastAsia="Times New Roman" w:hAnsi="Times New Roman"/>
          <w:sz w:val="11"/>
          <w:szCs w:val="11"/>
          <w:color w:val="auto"/>
        </w:rPr>
        <w:t>146</w:t>
      </w:r>
      <w:r>
        <w:rPr>
          <w:sz w:val="20"/>
          <w:szCs w:val="20"/>
          <w:color w:val="auto"/>
        </w:rPr>
        <w:tab/>
      </w:r>
      <w:r>
        <w:rPr>
          <w:rFonts w:ascii="Times New Roman" w:cs="Times New Roman" w:eastAsia="Times New Roman" w:hAnsi="Times New Roman"/>
          <w:sz w:val="11"/>
          <w:szCs w:val="11"/>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7178040" cy="571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33" w:name="page534"/>
    <w:bookmarkEnd w:id="533"/>
    <w:p>
      <w:pPr>
        <w:ind w:left="428" w:hanging="428"/>
        <w:spacing w:after="0"/>
        <w:tabs>
          <w:tab w:leader="none" w:pos="428" w:val="left"/>
        </w:tabs>
        <w:numPr>
          <w:ilvl w:val="0"/>
          <w:numId w:val="98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BAIL-IN</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Notwithstanding any other term of any Finance Document or any other agreement, arrangement or understanding between the parties to a Finance Document, each Party acknowledges and accepts that any liability of any party to a Finance Document under or in connection with the Finance Documents may be subject to Bail-In Action by the relevant Resolution Authority and acknowledges and accepts to be bound by the effect of:</w:t>
      </w:r>
    </w:p>
    <w:p>
      <w:pPr>
        <w:spacing w:after="0" w:line="111" w:lineRule="exact"/>
        <w:rPr>
          <w:sz w:val="20"/>
          <w:szCs w:val="20"/>
          <w:color w:val="auto"/>
        </w:rPr>
      </w:pPr>
    </w:p>
    <w:p>
      <w:pPr>
        <w:ind w:left="428" w:hanging="428"/>
        <w:spacing w:after="0"/>
        <w:tabs>
          <w:tab w:leader="none" w:pos="428" w:val="left"/>
        </w:tabs>
        <w:numPr>
          <w:ilvl w:val="0"/>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Bail-In Action in relation to any such liability, including (without limitation):</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full or in part, in the principal amount, or outstanding amount due (including any accrued but unpaid interest) in respect of any such liability;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conversion of all, or part of, any such liability into shares or other instruments of ownership that may be issued to, or conferred on, it;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cancellation of any such liability;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variation of any term of any Finance Document to the extent necessary to give effect to any Bail-In Action in relation to any such liability.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w:t>
      </w:r>
      <w:r>
        <w:rPr>
          <w:sz w:val="20"/>
          <w:szCs w:val="20"/>
          <w:color w:val="auto"/>
        </w:rPr>
        <w:tab/>
      </w:r>
      <w:r>
        <w:rPr>
          <w:rFonts w:ascii="Times New Roman" w:cs="Times New Roman" w:eastAsia="Times New Roman" w:hAnsi="Times New Roman"/>
          <w:sz w:val="12"/>
          <w:szCs w:val="12"/>
          <w:b w:val="1"/>
          <w:bCs w:val="1"/>
          <w:color w:val="auto"/>
        </w:rPr>
        <w:t>NOTICES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39.1</w:t>
      </w:r>
      <w:r>
        <w:rPr>
          <w:sz w:val="20"/>
          <w:szCs w:val="20"/>
          <w:color w:val="auto"/>
        </w:rPr>
        <w:tab/>
      </w:r>
      <w:r>
        <w:rPr>
          <w:rFonts w:ascii="Times New Roman" w:cs="Times New Roman" w:eastAsia="Times New Roman" w:hAnsi="Times New Roman"/>
          <w:sz w:val="11"/>
          <w:szCs w:val="11"/>
          <w:b w:val="1"/>
          <w:bCs w:val="1"/>
          <w:color w:val="auto"/>
        </w:rPr>
        <w:t>Communications in writing</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communication to be made under or in connection with the Finance Documents shall be made in writing and, unless otherwise stated, may be made by letter.</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39.2</w:t>
      </w:r>
      <w:r>
        <w:rPr>
          <w:sz w:val="20"/>
          <w:szCs w:val="20"/>
          <w:color w:val="auto"/>
        </w:rPr>
        <w:tab/>
      </w:r>
      <w:r>
        <w:rPr>
          <w:rFonts w:ascii="Times New Roman" w:cs="Times New Roman" w:eastAsia="Times New Roman" w:hAnsi="Times New Roman"/>
          <w:sz w:val="12"/>
          <w:szCs w:val="12"/>
          <w:b w:val="1"/>
          <w:bCs w:val="1"/>
          <w:color w:val="auto"/>
        </w:rPr>
        <w:t>Addresses</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The address (and the department or officer, if any, for whose attention the communication is to be made) of each Party for any communication or document to be made or delivered under or in connection with the Finance Documents are:</w:t>
      </w:r>
    </w:p>
    <w:p>
      <w:pPr>
        <w:spacing w:after="0" w:line="109" w:lineRule="exact"/>
        <w:rPr>
          <w:sz w:val="20"/>
          <w:szCs w:val="20"/>
          <w:color w:val="auto"/>
        </w:rPr>
      </w:pPr>
    </w:p>
    <w:p>
      <w:pPr>
        <w:ind w:left="428" w:hanging="428"/>
        <w:spacing w:after="0"/>
        <w:tabs>
          <w:tab w:leader="none" w:pos="428" w:val="left"/>
        </w:tabs>
        <w:numPr>
          <w:ilvl w:val="0"/>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Borrowers,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right="20" w:hanging="428"/>
        <w:spacing w:after="0" w:line="283" w:lineRule="auto"/>
        <w:tabs>
          <w:tab w:leader="none" w:pos="428" w:val="left"/>
        </w:tabs>
        <w:numPr>
          <w:ilvl w:val="0"/>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each Lender or any other Obligor,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or, if it becomes a Party after the date of this Agreement, that notified in writing to the Facility Agent on or before the date on which it becomes a Party;</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Facility Agent,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Security Agent,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case of the Account Bank, that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or any substitute address or department or officer as the Party may notify to the Facility Agent (or the Facility Agent may notify to the other Parties, if a change is made by the Facility Agent) by not less than five Business Days' notice.</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534" w:name="page535"/>
    <w:bookmarkEnd w:id="534"/>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39.3</w:t>
      </w:r>
      <w:r>
        <w:rPr>
          <w:sz w:val="20"/>
          <w:szCs w:val="20"/>
          <w:color w:val="auto"/>
        </w:rPr>
        <w:tab/>
      </w:r>
      <w:r>
        <w:rPr>
          <w:rFonts w:ascii="Times New Roman" w:cs="Times New Roman" w:eastAsia="Times New Roman" w:hAnsi="Times New Roman"/>
          <w:sz w:val="11"/>
          <w:szCs w:val="11"/>
          <w:b w:val="1"/>
          <w:bCs w:val="1"/>
          <w:color w:val="auto"/>
        </w:rPr>
        <w:t>Delivery</w:t>
      </w:r>
    </w:p>
    <w:p>
      <w:pPr>
        <w:spacing w:after="0" w:line="154" w:lineRule="exact"/>
        <w:rPr>
          <w:sz w:val="20"/>
          <w:szCs w:val="20"/>
          <w:color w:val="auto"/>
        </w:rPr>
      </w:pPr>
    </w:p>
    <w:p>
      <w:pPr>
        <w:jc w:val="both"/>
        <w:ind w:left="428" w:hanging="428"/>
        <w:spacing w:after="0" w:line="265" w:lineRule="auto"/>
        <w:tabs>
          <w:tab w:leader="none" w:pos="428"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made or delivered by one person to another under or in connection with the Finance Documents will only be effective when it has been left at the relevant address or five Business Days after being deposited in the post postage prepaid in an envelope addressed to it at that address, and, if a particular department or officer is specified as part of its address details provided under Clause 39.2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if addressed to that department or officer.</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to be made or delivered to a Servicing Party will be effective only when actually received by that Servicing Party and then only if it is expressly marked for the attention of the department or officer of that Servicing Party specified in Schedule 1 (</w:t>
      </w:r>
      <w:r>
        <w:rPr>
          <w:rFonts w:ascii="Times New Roman" w:cs="Times New Roman" w:eastAsia="Times New Roman" w:hAnsi="Times New Roman"/>
          <w:sz w:val="12"/>
          <w:szCs w:val="12"/>
          <w:i w:val="1"/>
          <w:iCs w:val="1"/>
          <w:color w:val="auto"/>
        </w:rPr>
        <w:t>The Parties</w:t>
      </w:r>
      <w:r>
        <w:rPr>
          <w:rFonts w:ascii="Times New Roman" w:cs="Times New Roman" w:eastAsia="Times New Roman" w:hAnsi="Times New Roman"/>
          <w:sz w:val="12"/>
          <w:szCs w:val="12"/>
          <w:color w:val="auto"/>
        </w:rPr>
        <w:t>) (or any substitute department or officer as that Servicing Party shall specify for this purpose).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notices from or to a Transaction Obligor shall be sent through the Facility Agent unless otherwise specified in any Finance Document.</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made or delivered to the Borrowers in accordance with this Clause will be deemed to have been made or delivered to each of the Transaction Obligors.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or document which becomes effective, in accordance with paragraphs (a) to (d) above, after 5.00 p.m. in the place of receipt shall be deemed only to become effective on the following day.</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39.4</w:t>
      </w:r>
      <w:r>
        <w:rPr>
          <w:sz w:val="20"/>
          <w:szCs w:val="20"/>
          <w:color w:val="auto"/>
        </w:rPr>
        <w:tab/>
      </w:r>
      <w:r>
        <w:rPr>
          <w:rFonts w:ascii="Times New Roman" w:cs="Times New Roman" w:eastAsia="Times New Roman" w:hAnsi="Times New Roman"/>
          <w:sz w:val="11"/>
          <w:szCs w:val="11"/>
          <w:b w:val="1"/>
          <w:bCs w:val="1"/>
          <w:color w:val="auto"/>
        </w:rPr>
        <w:t>Notification of address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Promptly upon receipt of notification of an address or change of address pursuant to Clause 39.2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or changing its own address, the Facility Agent shall notify the other Parties.</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39.5</w:t>
      </w:r>
      <w:r>
        <w:rPr>
          <w:sz w:val="20"/>
          <w:szCs w:val="20"/>
          <w:color w:val="auto"/>
        </w:rPr>
        <w:tab/>
      </w:r>
      <w:r>
        <w:rPr>
          <w:rFonts w:ascii="Times New Roman" w:cs="Times New Roman" w:eastAsia="Times New Roman" w:hAnsi="Times New Roman"/>
          <w:sz w:val="11"/>
          <w:szCs w:val="11"/>
          <w:b w:val="1"/>
          <w:bCs w:val="1"/>
          <w:color w:val="auto"/>
        </w:rPr>
        <w:t>Electronic communication</w:t>
      </w:r>
    </w:p>
    <w:p>
      <w:pPr>
        <w:spacing w:after="0" w:line="154" w:lineRule="exact"/>
        <w:rPr>
          <w:sz w:val="20"/>
          <w:szCs w:val="20"/>
          <w:color w:val="auto"/>
        </w:rPr>
      </w:pPr>
    </w:p>
    <w:p>
      <w:pPr>
        <w:ind w:left="428" w:hanging="428"/>
        <w:spacing w:after="0" w:line="279" w:lineRule="auto"/>
        <w:tabs>
          <w:tab w:leader="none" w:pos="428" w:val="left"/>
        </w:tabs>
        <w:numPr>
          <w:ilvl w:val="0"/>
          <w:numId w:val="9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communication to be made or document to be delivered by one Party (and/or possibly third parties involved in the provision of services) to another between any two Parties under or in connection with the Finance Documents may be made or delivered by electronic mail or other electronic means (including, without limitation, by way of posting to a secure website) if those Parties:</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in writing of their electronic mail address and/or any other information required to enable the transmission of information by that means;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notify each other of any change to their address or any other such information supplied by them by not less than five Business Days' notice,</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and are aware that:</w:t>
      </w:r>
    </w:p>
    <w:p>
      <w:pPr>
        <w:spacing w:after="0" w:line="150" w:lineRule="exact"/>
        <w:rPr>
          <w:sz w:val="20"/>
          <w:szCs w:val="20"/>
          <w:color w:val="auto"/>
        </w:rPr>
      </w:pPr>
    </w:p>
    <w:p>
      <w:pPr>
        <w:ind w:left="1268" w:hanging="422"/>
        <w:spacing w:after="0"/>
        <w:tabs>
          <w:tab w:leader="none" w:pos="1268" w:val="left"/>
        </w:tabs>
        <w:numPr>
          <w:ilvl w:val="0"/>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unencrypted information is transported over an open, publicly accessible network and can, in principle, be viewed by others, thereby allowing conclusions to be drawn about a banking relationship;</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98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can be changed and manipulated by a third party;</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35" w:name="page536"/>
    <w:bookmarkEnd w:id="535"/>
    <w:p>
      <w:pPr>
        <w:ind w:left="1268" w:hanging="422"/>
        <w:spacing w:after="0"/>
        <w:tabs>
          <w:tab w:leader="none" w:pos="1268" w:val="left"/>
        </w:tabs>
        <w:numPr>
          <w:ilvl w:val="1"/>
          <w:numId w:val="9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sender's identity (sender of the e-mail) can be assumed or otherwise manipulated; and</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1"/>
          <w:numId w:val="98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assumes no liability for any loss incurred as a result of manipulation of the e-mail address or content nor is it liable for any loss incurred by any Party and any other relevant persons due to interruptions and delays in transmission caused by technical problems.</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11"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Party is entitled to assume that all the orders and instructions received from another Party, or a third party designated by that Party are from an authorized individual, irrespective of the existing signatory rights in accordance with the commercial register or the specimen signature. Each Party shall further procure that all third parties referred to herein agree with the use of e-mails and are aware of the above terms and conditions related to the use of e-mail.</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such electronic communication or document as specified in paragraph (a) above made or delivered by one Party to another between any two Parties will be effective only when actually received (or made available) in readable form and in the case of any electronic communication or document made or delivered by a Party to a Servicing Party, the Facility Agent or the Security Agent only if it is addressed in such a manner as the Servicing Party, the Facility Agent or the Security Agent shall specify for this purpose.</w:t>
      </w:r>
    </w:p>
    <w:p>
      <w:pPr>
        <w:spacing w:after="0" w:line="118"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electronic communication or document which becomes effective, in accordance with paragraph (d) above, after 5.00 p.m. in the place in which the Party to whom the relevant communication or document is sent or made available has its address for the purpose of this Agreement shall be deemed only to become effective on the following day.</w:t>
      </w:r>
    </w:p>
    <w:p>
      <w:pPr>
        <w:spacing w:after="0" w:line="111"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98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reference in a Finance Document to a communication being sent or received or a document being delivered shall be construed to include that communication or document being made available in accordance with this Clause 39.5 (</w:t>
      </w:r>
      <w:r>
        <w:rPr>
          <w:rFonts w:ascii="Times New Roman" w:cs="Times New Roman" w:eastAsia="Times New Roman" w:hAnsi="Times New Roman"/>
          <w:sz w:val="12"/>
          <w:szCs w:val="12"/>
          <w:i w:val="1"/>
          <w:iCs w:val="1"/>
          <w:color w:val="auto"/>
        </w:rPr>
        <w:t>Electronic communication</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39.6</w:t>
      </w:r>
      <w:r>
        <w:rPr>
          <w:sz w:val="20"/>
          <w:szCs w:val="20"/>
          <w:color w:val="auto"/>
        </w:rPr>
        <w:tab/>
      </w:r>
      <w:r>
        <w:rPr>
          <w:rFonts w:ascii="Times New Roman" w:cs="Times New Roman" w:eastAsia="Times New Roman" w:hAnsi="Times New Roman"/>
          <w:sz w:val="12"/>
          <w:szCs w:val="12"/>
          <w:b w:val="1"/>
          <w:bCs w:val="1"/>
          <w:color w:val="auto"/>
        </w:rPr>
        <w:t>English language</w:t>
      </w:r>
    </w:p>
    <w:p>
      <w:pPr>
        <w:spacing w:after="0" w:line="154" w:lineRule="exact"/>
        <w:rPr>
          <w:sz w:val="20"/>
          <w:szCs w:val="20"/>
          <w:color w:val="auto"/>
        </w:rPr>
      </w:pPr>
    </w:p>
    <w:p>
      <w:pPr>
        <w:ind w:left="428" w:hanging="428"/>
        <w:spacing w:after="0"/>
        <w:tabs>
          <w:tab w:leader="none" w:pos="428" w:val="left"/>
        </w:tabs>
        <w:numPr>
          <w:ilvl w:val="0"/>
          <w:numId w:val="9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notice given under or in connection with any Finance Document must be in English.</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other documents provided under or in connection with any Finance Document must be:</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English; 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98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not in English, and if so required by the Facility Agent, accompanied by a certified English translation prepared by a translator approved by the Facility Agent and, in this case, the English translation will prevail unless the document is a constitutional, statutory or other official document.</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149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36" w:name="page537"/>
    <w:bookmarkEnd w:id="536"/>
    <w:p>
      <w:pPr>
        <w:ind w:left="8" w:right="8720" w:hanging="8"/>
        <w:spacing w:after="0" w:line="502" w:lineRule="auto"/>
        <w:tabs>
          <w:tab w:leader="none" w:pos="431" w:val="left"/>
        </w:tabs>
        <w:numPr>
          <w:ilvl w:val="0"/>
          <w:numId w:val="990"/>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CALCULATIONS AND CERTIFICATES 40.1 Accounts</w:t>
      </w:r>
    </w:p>
    <w:p>
      <w:pPr>
        <w:spacing w:after="0" w:line="1"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 xml:space="preserve">In any litigation or arbitration proceedings arising out of or in connection with a Finance Document, the entries made in the accounts maintained by a Finance Party are </w:t>
      </w:r>
      <w:r>
        <w:rPr>
          <w:rFonts w:ascii="Times New Roman" w:cs="Times New Roman" w:eastAsia="Times New Roman" w:hAnsi="Times New Roman"/>
          <w:sz w:val="12"/>
          <w:szCs w:val="12"/>
          <w:i w:val="1"/>
          <w:iCs w:val="1"/>
          <w:color w:val="auto"/>
        </w:rPr>
        <w:t>prima facie</w:t>
      </w:r>
      <w:r>
        <w:rPr>
          <w:rFonts w:ascii="Times New Roman" w:cs="Times New Roman" w:eastAsia="Times New Roman" w:hAnsi="Times New Roman"/>
          <w:sz w:val="12"/>
          <w:szCs w:val="12"/>
          <w:color w:val="auto"/>
        </w:rPr>
        <w:t xml:space="preserve"> evidence of the matters to which they relate.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40.2</w:t>
      </w:r>
      <w:r>
        <w:rPr>
          <w:sz w:val="20"/>
          <w:szCs w:val="20"/>
          <w:color w:val="auto"/>
        </w:rPr>
        <w:tab/>
      </w:r>
      <w:r>
        <w:rPr>
          <w:rFonts w:ascii="Times New Roman" w:cs="Times New Roman" w:eastAsia="Times New Roman" w:hAnsi="Times New Roman"/>
          <w:sz w:val="11"/>
          <w:szCs w:val="11"/>
          <w:b w:val="1"/>
          <w:bCs w:val="1"/>
          <w:color w:val="auto"/>
        </w:rPr>
        <w:t>Certificates and determinations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certification or determination by a Finance Party of a rate or amount under any Finance Document is, in the absence of manifest error, conclusive evidence of the matters to which it relates.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40.3</w:t>
      </w:r>
      <w:r>
        <w:rPr>
          <w:sz w:val="20"/>
          <w:szCs w:val="20"/>
          <w:color w:val="auto"/>
        </w:rPr>
        <w:tab/>
      </w:r>
      <w:r>
        <w:rPr>
          <w:rFonts w:ascii="Times New Roman" w:cs="Times New Roman" w:eastAsia="Times New Roman" w:hAnsi="Times New Roman"/>
          <w:sz w:val="11"/>
          <w:szCs w:val="11"/>
          <w:b w:val="1"/>
          <w:bCs w:val="1"/>
          <w:color w:val="auto"/>
        </w:rPr>
        <w:t>Day count convention and interest calculation</w:t>
      </w:r>
    </w:p>
    <w:p>
      <w:pPr>
        <w:spacing w:after="0" w:line="154" w:lineRule="exact"/>
        <w:rPr>
          <w:sz w:val="20"/>
          <w:szCs w:val="20"/>
          <w:color w:val="auto"/>
        </w:rPr>
      </w:pPr>
    </w:p>
    <w:p>
      <w:pPr>
        <w:ind w:left="428" w:hanging="428"/>
        <w:spacing w:after="0"/>
        <w:tabs>
          <w:tab w:leader="none" w:pos="428" w:val="left"/>
        </w:tabs>
        <w:numPr>
          <w:ilvl w:val="0"/>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interest, commission or fee accruing under a Finance Document will accrue from day to day and the amount of any such interest, commission or fee is calculated: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basis of the actual number of days elapsed and a year of 360 days or, in any case where the practice in the Relevant Market differs, in accordance with that market practice;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paragraph (b) below, without rounding.</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amount of any accrued interest, commission or fee which is, or becomes, payable by an Obligor under a Finance Document shall be rounded to 2 decimal places.</w:t>
      </w:r>
    </w:p>
    <w:p>
      <w:pPr>
        <w:spacing w:after="0" w:line="146" w:lineRule="exact"/>
        <w:rPr>
          <w:sz w:val="20"/>
          <w:szCs w:val="20"/>
          <w:color w:val="auto"/>
        </w:rPr>
      </w:pPr>
    </w:p>
    <w:p>
      <w:pPr>
        <w:ind w:left="428" w:hanging="428"/>
        <w:spacing w:after="0"/>
        <w:tabs>
          <w:tab w:leader="none" w:pos="428" w:val="left"/>
        </w:tabs>
        <w:numPr>
          <w:ilvl w:val="0"/>
          <w:numId w:val="9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PARTIAL INVALIDITY</w:t>
      </w:r>
    </w:p>
    <w:p>
      <w:pPr>
        <w:spacing w:after="0" w:line="154" w:lineRule="exact"/>
        <w:rPr>
          <w:rFonts w:ascii="Times New Roman" w:cs="Times New Roman" w:eastAsia="Times New Roman" w:hAnsi="Times New Roman"/>
          <w:sz w:val="12"/>
          <w:szCs w:val="12"/>
          <w:b w:val="1"/>
          <w:bCs w:val="1"/>
          <w:color w:val="auto"/>
        </w:rPr>
      </w:pPr>
    </w:p>
    <w:p>
      <w:pPr>
        <w:ind w:left="428" w:right="20"/>
        <w:spacing w:after="0" w:line="279"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at any time, any provision of a Finance Document is or becomes illegal, invalid or unenforceable in any respect under any law of any jurisdiction, neither the legality, validity or enforceability of the remaining provisions under the law of that jurisdiction nor the legality, validity or enforceability of such provision under the law of any other jurisdiction will in any way be affected or impaired.</w:t>
      </w:r>
    </w:p>
    <w:p>
      <w:pPr>
        <w:spacing w:after="0" w:line="107"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9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REMEDIES AND WAIVERS</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No failure to exercise, nor any delay in exercising, on the part of any Secured Party, any right or remedy under a Finance Document shall operate as a waiver of any such right or remedy or constitute an election to affirm any Finance Document. No election to affirm any Finance Document on the part of a Secured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99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SETTLEMENT OR DISCHARGE CONDITIONAL</w:t>
      </w:r>
    </w:p>
    <w:p>
      <w:pPr>
        <w:spacing w:after="0" w:line="154"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Any settlement or discharge under any Finance Document between any Finance Party and any Transaction Obligor shall be conditional upon no security or payment to any Finance Party by any Transaction Obligor or any other person being set aside, adjusted or ordered to be repaid, whether under any insolvency law or otherwise.</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37" w:name="page538"/>
    <w:bookmarkEnd w:id="537"/>
    <w:p>
      <w:pPr>
        <w:ind w:left="428" w:hanging="428"/>
        <w:spacing w:after="0"/>
        <w:tabs>
          <w:tab w:leader="none" w:pos="428" w:val="left"/>
        </w:tabs>
        <w:numPr>
          <w:ilvl w:val="0"/>
          <w:numId w:val="9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IRREVOCABLE PAYMENT</w:t>
      </w:r>
    </w:p>
    <w:p>
      <w:pPr>
        <w:spacing w:after="0" w:line="154" w:lineRule="exact"/>
        <w:rPr>
          <w:rFonts w:ascii="Times New Roman" w:cs="Times New Roman" w:eastAsia="Times New Roman" w:hAnsi="Times New Roman"/>
          <w:sz w:val="12"/>
          <w:szCs w:val="12"/>
          <w:b w:val="1"/>
          <w:bCs w:val="1"/>
          <w:color w:val="auto"/>
        </w:rPr>
      </w:pPr>
    </w:p>
    <w:p>
      <w:pPr>
        <w:jc w:val="both"/>
        <w:ind w:left="428"/>
        <w:spacing w:after="0" w:line="265"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If the Facility Agent considers that an amount paid or discharged by, or on behalf of, a Transaction Obligor or by any other person in purported payment or discharge of an obligation of that Transaction Obligor to a Secured Party under the Finance Documents is capable of being avoided or otherwise set aside on the liquidation or administration of that Transaction Obligor or otherwise, then that amount shall not be considered to have been unconditionally and irrevocably paid or discharged for the purposes of the Finance Documents.</w:t>
      </w:r>
    </w:p>
    <w:p>
      <w:pPr>
        <w:spacing w:after="0" w:line="114"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99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AMENDMENTS AND WAIVERS</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45.1</w:t>
      </w:r>
      <w:r>
        <w:rPr>
          <w:sz w:val="20"/>
          <w:szCs w:val="20"/>
          <w:color w:val="auto"/>
        </w:rPr>
        <w:tab/>
      </w:r>
      <w:r>
        <w:rPr>
          <w:rFonts w:ascii="Times New Roman" w:cs="Times New Roman" w:eastAsia="Times New Roman" w:hAnsi="Times New Roman"/>
          <w:sz w:val="11"/>
          <w:szCs w:val="11"/>
          <w:b w:val="1"/>
          <w:bCs w:val="1"/>
          <w:color w:val="auto"/>
        </w:rPr>
        <w:t>Required consents</w:t>
      </w:r>
    </w:p>
    <w:p>
      <w:pPr>
        <w:spacing w:after="0" w:line="152" w:lineRule="exact"/>
        <w:rPr>
          <w:sz w:val="20"/>
          <w:szCs w:val="20"/>
          <w:color w:val="auto"/>
        </w:rPr>
      </w:pPr>
    </w:p>
    <w:p>
      <w:pPr>
        <w:ind w:left="428" w:right="20" w:hanging="428"/>
        <w:spacing w:after="0" w:line="283" w:lineRule="auto"/>
        <w:tabs>
          <w:tab w:leader="none" w:pos="428" w:val="left"/>
        </w:tabs>
        <w:numPr>
          <w:ilvl w:val="0"/>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Clause 45.2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and Clause 45.4 (</w:t>
      </w:r>
      <w:r>
        <w:rPr>
          <w:rFonts w:ascii="Times New Roman" w:cs="Times New Roman" w:eastAsia="Times New Roman" w:hAnsi="Times New Roman"/>
          <w:sz w:val="12"/>
          <w:szCs w:val="12"/>
          <w:i w:val="1"/>
          <w:iCs w:val="1"/>
          <w:color w:val="auto"/>
        </w:rPr>
        <w:t>Other exceptions</w:t>
      </w:r>
      <w:r>
        <w:rPr>
          <w:rFonts w:ascii="Times New Roman" w:cs="Times New Roman" w:eastAsia="Times New Roman" w:hAnsi="Times New Roman"/>
          <w:sz w:val="12"/>
          <w:szCs w:val="12"/>
          <w:color w:val="auto"/>
        </w:rPr>
        <w:t>) any term of the Finance Documents may be amended or waived only with the consent of the Majority Lenders and, in the case of an amendment, the Obligors and any such amendment or waiver will be binding on all Parties.</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Agent may effect, on behalf of any Finance Party, any amendment or waiver permitted by this Clause 45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the generality of Clause 32.7 (</w:t>
      </w:r>
      <w:r>
        <w:rPr>
          <w:rFonts w:ascii="Times New Roman" w:cs="Times New Roman" w:eastAsia="Times New Roman" w:hAnsi="Times New Roman"/>
          <w:sz w:val="12"/>
          <w:szCs w:val="12"/>
          <w:i w:val="1"/>
          <w:iCs w:val="1"/>
          <w:color w:val="auto"/>
        </w:rPr>
        <w:t>Rights and discretions</w:t>
      </w:r>
      <w:r>
        <w:rPr>
          <w:rFonts w:ascii="Times New Roman" w:cs="Times New Roman" w:eastAsia="Times New Roman" w:hAnsi="Times New Roman"/>
          <w:sz w:val="12"/>
          <w:szCs w:val="12"/>
          <w:color w:val="auto"/>
        </w:rPr>
        <w:t>), the Facility Agent may engage, pay for and rely on the services of lawyers in determining the consent level required for and effecting any amendment, waiver or consent under this Agreement.</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Paragraph (c) of Clause 30.9 (</w:t>
      </w:r>
      <w:r>
        <w:rPr>
          <w:rFonts w:ascii="Times New Roman" w:cs="Times New Roman" w:eastAsia="Times New Roman" w:hAnsi="Times New Roman"/>
          <w:sz w:val="12"/>
          <w:szCs w:val="12"/>
          <w:i w:val="1"/>
          <w:iCs w:val="1"/>
          <w:color w:val="auto"/>
        </w:rPr>
        <w:t>Pro rata interest settlement</w:t>
      </w:r>
      <w:r>
        <w:rPr>
          <w:rFonts w:ascii="Times New Roman" w:cs="Times New Roman" w:eastAsia="Times New Roman" w:hAnsi="Times New Roman"/>
          <w:sz w:val="12"/>
          <w:szCs w:val="12"/>
          <w:color w:val="auto"/>
        </w:rPr>
        <w:t>) shall apply to this Clause 45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45.2</w:t>
      </w:r>
      <w:r>
        <w:rPr>
          <w:sz w:val="20"/>
          <w:szCs w:val="20"/>
          <w:color w:val="auto"/>
        </w:rPr>
        <w:tab/>
      </w:r>
      <w:r>
        <w:rPr>
          <w:rFonts w:ascii="Times New Roman" w:cs="Times New Roman" w:eastAsia="Times New Roman" w:hAnsi="Times New Roman"/>
          <w:sz w:val="11"/>
          <w:szCs w:val="11"/>
          <w:b w:val="1"/>
          <w:bCs w:val="1"/>
          <w:color w:val="auto"/>
        </w:rPr>
        <w:t>All Lender matters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Subject to Clause 45.5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 an amendment of or waiver or consent in relation to any term of any Finance Document that has the effect of changing or which relates to:</w:t>
      </w:r>
    </w:p>
    <w:p>
      <w:pPr>
        <w:spacing w:after="0" w:line="150" w:lineRule="exact"/>
        <w:rPr>
          <w:sz w:val="20"/>
          <w:szCs w:val="20"/>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definitions of "Majority Lenders" and "Sanctions" in Clause 1.1 (</w:t>
      </w:r>
      <w:r>
        <w:rPr>
          <w:rFonts w:ascii="Times New Roman" w:cs="Times New Roman" w:eastAsia="Times New Roman" w:hAnsi="Times New Roman"/>
          <w:sz w:val="12"/>
          <w:szCs w:val="12"/>
          <w:i w:val="1"/>
          <w:iCs w:val="1"/>
          <w:color w:val="auto"/>
        </w:rPr>
        <w:t>Definitions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postponement to or extension of the date of payment of any amount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reduction in the Margin or the amount of any payment of principal, interest, fees or commission payable;</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in currency of payment of any amount under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increase in any Commitment or the Total Commitments, an extension of any Availability Period or any requirement that a cancellation of Commitments reduces the Commitments rateably under the Facility;</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change to any Obligor other than in accordance with Clause 31 (</w:t>
      </w:r>
      <w:r>
        <w:rPr>
          <w:rFonts w:ascii="Times New Roman" w:cs="Times New Roman" w:eastAsia="Times New Roman" w:hAnsi="Times New Roman"/>
          <w:sz w:val="12"/>
          <w:szCs w:val="12"/>
          <w:i w:val="1"/>
          <w:iCs w:val="1"/>
          <w:color w:val="auto"/>
        </w:rPr>
        <w:t>Changes to the Transaction Obligors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provision which expressly requires the consent of all the Lenders;</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538" w:name="page539"/>
    <w:bookmarkEnd w:id="538"/>
    <w:p>
      <w:pPr>
        <w:ind w:left="428" w:hanging="428"/>
        <w:spacing w:after="0"/>
        <w:tabs>
          <w:tab w:leader="none" w:pos="428" w:val="left"/>
        </w:tabs>
        <w:numPr>
          <w:ilvl w:val="0"/>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Clause 45 (</w:t>
      </w:r>
      <w:r>
        <w:rPr>
          <w:rFonts w:ascii="Times New Roman" w:cs="Times New Roman" w:eastAsia="Times New Roman" w:hAnsi="Times New Roman"/>
          <w:sz w:val="12"/>
          <w:szCs w:val="12"/>
          <w:i w:val="1"/>
          <w:iCs w:val="1"/>
          <w:color w:val="auto"/>
        </w:rPr>
        <w:t>Amendments and Waivers</w:t>
      </w:r>
      <w:r>
        <w:rPr>
          <w:rFonts w:ascii="Times New Roman" w:cs="Times New Roman" w:eastAsia="Times New Roman" w:hAnsi="Times New Roman"/>
          <w:sz w:val="12"/>
          <w:szCs w:val="12"/>
          <w:color w:val="auto"/>
        </w:rPr>
        <w:t>);</w:t>
      </w:r>
    </w:p>
    <w:p>
      <w:pPr>
        <w:spacing w:after="0" w:line="150" w:lineRule="exact"/>
        <w:rPr>
          <w:rFonts w:ascii="Times New Roman" w:cs="Times New Roman" w:eastAsia="Times New Roman" w:hAnsi="Times New Roman"/>
          <w:sz w:val="12"/>
          <w:szCs w:val="12"/>
          <w:color w:val="auto"/>
        </w:rPr>
      </w:pPr>
    </w:p>
    <w:p>
      <w:pPr>
        <w:jc w:val="both"/>
        <w:ind w:left="428" w:hanging="428"/>
        <w:spacing w:after="0" w:line="261" w:lineRule="auto"/>
        <w:tabs>
          <w:tab w:leader="none" w:pos="428" w:val="left"/>
        </w:tabs>
        <w:numPr>
          <w:ilvl w:val="0"/>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change to the preamble (Background), Clause 2 (</w:t>
      </w:r>
      <w:r>
        <w:rPr>
          <w:rFonts w:ascii="Times New Roman" w:cs="Times New Roman" w:eastAsia="Times New Roman" w:hAnsi="Times New Roman"/>
          <w:sz w:val="12"/>
          <w:szCs w:val="12"/>
          <w:i w:val="1"/>
          <w:iCs w:val="1"/>
          <w:color w:val="auto"/>
        </w:rPr>
        <w:t>The Facility</w:t>
      </w:r>
      <w:r>
        <w:rPr>
          <w:rFonts w:ascii="Times New Roman" w:cs="Times New Roman" w:eastAsia="Times New Roman" w:hAnsi="Times New Roman"/>
          <w:sz w:val="12"/>
          <w:szCs w:val="12"/>
          <w:color w:val="auto"/>
        </w:rPr>
        <w:t>), Clause 3 (</w:t>
      </w:r>
      <w:r>
        <w:rPr>
          <w:rFonts w:ascii="Times New Roman" w:cs="Times New Roman" w:eastAsia="Times New Roman" w:hAnsi="Times New Roman"/>
          <w:sz w:val="12"/>
          <w:szCs w:val="12"/>
          <w:i w:val="1"/>
          <w:iCs w:val="1"/>
          <w:color w:val="auto"/>
        </w:rPr>
        <w:t>Purpose</w:t>
      </w:r>
      <w:r>
        <w:rPr>
          <w:rFonts w:ascii="Times New Roman" w:cs="Times New Roman" w:eastAsia="Times New Roman" w:hAnsi="Times New Roman"/>
          <w:sz w:val="12"/>
          <w:szCs w:val="12"/>
          <w:color w:val="auto"/>
        </w:rPr>
        <w:t>), Clause 5 (</w:t>
      </w:r>
      <w:r>
        <w:rPr>
          <w:rFonts w:ascii="Times New Roman" w:cs="Times New Roman" w:eastAsia="Times New Roman" w:hAnsi="Times New Roman"/>
          <w:sz w:val="12"/>
          <w:szCs w:val="12"/>
          <w:i w:val="1"/>
          <w:iCs w:val="1"/>
          <w:color w:val="auto"/>
        </w:rPr>
        <w:t>Utilisation</w:t>
      </w:r>
      <w:r>
        <w:rPr>
          <w:rFonts w:ascii="Times New Roman" w:cs="Times New Roman" w:eastAsia="Times New Roman" w:hAnsi="Times New Roman"/>
          <w:sz w:val="12"/>
          <w:szCs w:val="12"/>
          <w:color w:val="auto"/>
        </w:rPr>
        <w:t>), Clause 6.2 (</w:t>
      </w:r>
      <w:r>
        <w:rPr>
          <w:rFonts w:ascii="Times New Roman" w:cs="Times New Roman" w:eastAsia="Times New Roman" w:hAnsi="Times New Roman"/>
          <w:sz w:val="12"/>
          <w:szCs w:val="12"/>
          <w:i w:val="1"/>
          <w:iCs w:val="1"/>
          <w:color w:val="auto"/>
        </w:rPr>
        <w:t>Effect of cancellation and prepayment on scheduled repayments</w:t>
      </w:r>
      <w:r>
        <w:rPr>
          <w:rFonts w:ascii="Times New Roman" w:cs="Times New Roman" w:eastAsia="Times New Roman" w:hAnsi="Times New Roman"/>
          <w:sz w:val="12"/>
          <w:szCs w:val="12"/>
          <w:color w:val="auto"/>
        </w:rPr>
        <w:t>), Clause 7.1 (</w:t>
      </w:r>
      <w:r>
        <w:rPr>
          <w:rFonts w:ascii="Times New Roman" w:cs="Times New Roman" w:eastAsia="Times New Roman" w:hAnsi="Times New Roman"/>
          <w:sz w:val="12"/>
          <w:szCs w:val="12"/>
          <w:i w:val="1"/>
          <w:iCs w:val="1"/>
          <w:color w:val="auto"/>
        </w:rPr>
        <w:t>Illegality and Sanctions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affecting a Lender</w:t>
      </w:r>
      <w:r>
        <w:rPr>
          <w:rFonts w:ascii="Times New Roman" w:cs="Times New Roman" w:eastAsia="Times New Roman" w:hAnsi="Times New Roman"/>
          <w:sz w:val="12"/>
          <w:szCs w:val="12"/>
          <w:color w:val="auto"/>
        </w:rPr>
        <w:t>), Clause 7.4 (</w:t>
      </w:r>
      <w:r>
        <w:rPr>
          <w:rFonts w:ascii="Times New Roman" w:cs="Times New Roman" w:eastAsia="Times New Roman" w:hAnsi="Times New Roman"/>
          <w:sz w:val="12"/>
          <w:szCs w:val="12"/>
          <w:i w:val="1"/>
          <w:iCs w:val="1"/>
          <w:color w:val="auto"/>
        </w:rPr>
        <w:t>Mandatory prepayment on sale, refinancing or Total Loss</w:t>
      </w:r>
      <w:r>
        <w:rPr>
          <w:rFonts w:ascii="Times New Roman" w:cs="Times New Roman" w:eastAsia="Times New Roman" w:hAnsi="Times New Roman"/>
          <w:sz w:val="12"/>
          <w:szCs w:val="12"/>
          <w:color w:val="auto"/>
        </w:rPr>
        <w:t>), Clause 7.5 (</w:t>
      </w:r>
      <w:r>
        <w:rPr>
          <w:rFonts w:ascii="Times New Roman" w:cs="Times New Roman" w:eastAsia="Times New Roman" w:hAnsi="Times New Roman"/>
          <w:sz w:val="12"/>
          <w:szCs w:val="12"/>
          <w:i w:val="1"/>
          <w:iCs w:val="1"/>
          <w:color w:val="auto"/>
        </w:rPr>
        <w:t>Change of Control</w:t>
      </w:r>
      <w:r>
        <w:rPr>
          <w:rFonts w:ascii="Times New Roman" w:cs="Times New Roman" w:eastAsia="Times New Roman" w:hAnsi="Times New Roman"/>
          <w:sz w:val="12"/>
          <w:szCs w:val="12"/>
          <w:color w:val="auto"/>
        </w:rPr>
        <w:t>), Clause 9 (</w:t>
      </w:r>
      <w:r>
        <w:rPr>
          <w:rFonts w:ascii="Times New Roman" w:cs="Times New Roman" w:eastAsia="Times New Roman" w:hAnsi="Times New Roman"/>
          <w:sz w:val="12"/>
          <w:szCs w:val="12"/>
          <w:i w:val="1"/>
          <w:iCs w:val="1"/>
          <w:color w:val="auto"/>
        </w:rPr>
        <w:t>Interest</w:t>
      </w:r>
      <w:r>
        <w:rPr>
          <w:rFonts w:ascii="Times New Roman" w:cs="Times New Roman" w:eastAsia="Times New Roman" w:hAnsi="Times New Roman"/>
          <w:sz w:val="12"/>
          <w:szCs w:val="12"/>
          <w:color w:val="auto"/>
        </w:rPr>
        <w:t>), Clause 20.34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Clause 23.21 (</w:t>
      </w:r>
      <w:r>
        <w:rPr>
          <w:rFonts w:ascii="Times New Roman" w:cs="Times New Roman" w:eastAsia="Times New Roman" w:hAnsi="Times New Roman"/>
          <w:sz w:val="12"/>
          <w:szCs w:val="12"/>
          <w:i w:val="1"/>
          <w:iCs w:val="1"/>
          <w:color w:val="auto"/>
        </w:rPr>
        <w:t>Sanctions</w:t>
      </w:r>
      <w:r>
        <w:rPr>
          <w:rFonts w:ascii="Times New Roman" w:cs="Times New Roman" w:eastAsia="Times New Roman" w:hAnsi="Times New Roman"/>
          <w:sz w:val="12"/>
          <w:szCs w:val="12"/>
          <w:color w:val="auto"/>
        </w:rPr>
        <w:t>), Clause 23.24 (</w:t>
      </w:r>
      <w:r>
        <w:rPr>
          <w:rFonts w:ascii="Times New Roman" w:cs="Times New Roman" w:eastAsia="Times New Roman" w:hAnsi="Times New Roman"/>
          <w:sz w:val="12"/>
          <w:szCs w:val="12"/>
          <w:i w:val="1"/>
          <w:iCs w:val="1"/>
          <w:color w:val="auto"/>
        </w:rPr>
        <w:t>Anti-Corruption</w:t>
      </w:r>
      <w:r>
        <w:rPr>
          <w:rFonts w:ascii="Times New Roman" w:cs="Times New Roman" w:eastAsia="Times New Roman" w:hAnsi="Times New Roman"/>
          <w:sz w:val="12"/>
          <w:szCs w:val="12"/>
          <w:color w:val="auto"/>
        </w:rPr>
        <w:t>), Clause 26.10 (</w:t>
      </w:r>
      <w:r>
        <w:rPr>
          <w:rFonts w:ascii="Times New Roman" w:cs="Times New Roman" w:eastAsia="Times New Roman" w:hAnsi="Times New Roman"/>
          <w:sz w:val="12"/>
          <w:szCs w:val="12"/>
          <w:i w:val="1"/>
          <w:iCs w:val="1"/>
          <w:color w:val="auto"/>
        </w:rPr>
        <w:t>Compliance with laws etc</w:t>
      </w:r>
      <w:r>
        <w:rPr>
          <w:rFonts w:ascii="Times New Roman" w:cs="Times New Roman" w:eastAsia="Times New Roman" w:hAnsi="Times New Roman"/>
          <w:sz w:val="12"/>
          <w:szCs w:val="12"/>
          <w:color w:val="auto"/>
        </w:rPr>
        <w:t>.), Clause 24.2 (</w:t>
      </w:r>
      <w:r>
        <w:rPr>
          <w:rFonts w:ascii="Times New Roman" w:cs="Times New Roman" w:eastAsia="Times New Roman" w:hAnsi="Times New Roman"/>
          <w:sz w:val="12"/>
          <w:szCs w:val="12"/>
          <w:i w:val="1"/>
          <w:iCs w:val="1"/>
          <w:color w:val="auto"/>
        </w:rPr>
        <w:t>Maintenance of obligatory insurances</w:t>
      </w:r>
      <w:r>
        <w:rPr>
          <w:rFonts w:ascii="Times New Roman" w:cs="Times New Roman" w:eastAsia="Times New Roman" w:hAnsi="Times New Roman"/>
          <w:sz w:val="12"/>
          <w:szCs w:val="12"/>
          <w:color w:val="auto"/>
        </w:rPr>
        <w:t>), Clause 24.3 (</w:t>
      </w:r>
      <w:r>
        <w:rPr>
          <w:rFonts w:ascii="Times New Roman" w:cs="Times New Roman" w:eastAsia="Times New Roman" w:hAnsi="Times New Roman"/>
          <w:sz w:val="12"/>
          <w:szCs w:val="12"/>
          <w:i w:val="1"/>
          <w:iCs w:val="1"/>
          <w:color w:val="auto"/>
        </w:rPr>
        <w:t>Terms of obligatory insurances</w:t>
      </w:r>
      <w:r>
        <w:rPr>
          <w:rFonts w:ascii="Times New Roman" w:cs="Times New Roman" w:eastAsia="Times New Roman" w:hAnsi="Times New Roman"/>
          <w:sz w:val="12"/>
          <w:szCs w:val="12"/>
          <w:color w:val="auto"/>
        </w:rPr>
        <w:t>), Clause 24.5 (</w:t>
      </w:r>
      <w:r>
        <w:rPr>
          <w:rFonts w:ascii="Times New Roman" w:cs="Times New Roman" w:eastAsia="Times New Roman" w:hAnsi="Times New Roman"/>
          <w:sz w:val="12"/>
          <w:szCs w:val="12"/>
          <w:i w:val="1"/>
          <w:iCs w:val="1"/>
          <w:color w:val="auto"/>
        </w:rPr>
        <w:t>Renewal of obligatory insurances</w:t>
      </w:r>
      <w:r>
        <w:rPr>
          <w:rFonts w:ascii="Times New Roman" w:cs="Times New Roman" w:eastAsia="Times New Roman" w:hAnsi="Times New Roman"/>
          <w:sz w:val="12"/>
          <w:szCs w:val="12"/>
          <w:color w:val="auto"/>
        </w:rPr>
        <w:t>), Clause 28 (</w:t>
      </w:r>
      <w:r>
        <w:rPr>
          <w:rFonts w:ascii="Times New Roman" w:cs="Times New Roman" w:eastAsia="Times New Roman" w:hAnsi="Times New Roman"/>
          <w:sz w:val="12"/>
          <w:szCs w:val="12"/>
          <w:i w:val="1"/>
          <w:iCs w:val="1"/>
          <w:color w:val="auto"/>
        </w:rPr>
        <w:t>Accounts and application of Earnings</w:t>
      </w:r>
      <w:r>
        <w:rPr>
          <w:rFonts w:ascii="Times New Roman" w:cs="Times New Roman" w:eastAsia="Times New Roman" w:hAnsi="Times New Roman"/>
          <w:sz w:val="12"/>
          <w:szCs w:val="12"/>
          <w:color w:val="auto"/>
        </w:rPr>
        <w:t>), Clause 30 (</w:t>
      </w:r>
      <w:r>
        <w:rPr>
          <w:rFonts w:ascii="Times New Roman" w:cs="Times New Roman" w:eastAsia="Times New Roman" w:hAnsi="Times New Roman"/>
          <w:sz w:val="12"/>
          <w:szCs w:val="12"/>
          <w:i w:val="1"/>
          <w:iCs w:val="1"/>
          <w:color w:val="auto"/>
        </w:rPr>
        <w:t>Changes to the Lenders</w:t>
      </w:r>
      <w:r>
        <w:rPr>
          <w:rFonts w:ascii="Times New Roman" w:cs="Times New Roman" w:eastAsia="Times New Roman" w:hAnsi="Times New Roman"/>
          <w:sz w:val="12"/>
          <w:szCs w:val="12"/>
          <w:color w:val="auto"/>
        </w:rPr>
        <w:t>), Clause 35 (</w:t>
      </w:r>
      <w:r>
        <w:rPr>
          <w:rFonts w:ascii="Times New Roman" w:cs="Times New Roman" w:eastAsia="Times New Roman" w:hAnsi="Times New Roman"/>
          <w:sz w:val="12"/>
          <w:szCs w:val="12"/>
          <w:i w:val="1"/>
          <w:iCs w:val="1"/>
          <w:color w:val="auto"/>
        </w:rPr>
        <w:t>Sharing among the Finance Parties</w:t>
      </w:r>
      <w:r>
        <w:rPr>
          <w:rFonts w:ascii="Times New Roman" w:cs="Times New Roman" w:eastAsia="Times New Roman" w:hAnsi="Times New Roman"/>
          <w:sz w:val="12"/>
          <w:szCs w:val="12"/>
          <w:color w:val="auto"/>
        </w:rPr>
        <w:t>), Clause 49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 or Clause 50 (</w:t>
      </w:r>
      <w:r>
        <w:rPr>
          <w:rFonts w:ascii="Times New Roman" w:cs="Times New Roman" w:eastAsia="Times New Roman" w:hAnsi="Times New Roman"/>
          <w:sz w:val="12"/>
          <w:szCs w:val="12"/>
          <w:i w:val="1"/>
          <w:iCs w:val="1"/>
          <w:color w:val="auto"/>
        </w:rPr>
        <w:t>Enforcement</w:t>
      </w:r>
      <w:r>
        <w:rPr>
          <w:rFonts w:ascii="Times New Roman" w:cs="Times New Roman" w:eastAsia="Times New Roman" w:hAnsi="Times New Roman"/>
          <w:sz w:val="12"/>
          <w:szCs w:val="12"/>
          <w:color w:val="auto"/>
        </w:rPr>
        <w:t>);</w:t>
      </w:r>
    </w:p>
    <w:p>
      <w:pPr>
        <w:spacing w:after="0" w:line="12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release of, or material variation to, any Transaction Security, guarantee, indemnity or subordination arrangement set out in a Finance Document (except in the case of a release of Transaction Security as it relates to the disposal of an asset which is the subject of the Transaction Security and where such disposal is expressly permitted by the Majority Lenders or otherwise under a Finance Document);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than as expressly permitted by the provisions of any Finance Document), the nature or scope of:</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guarantees and indemnities granted under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or any other guarantee and indemnity forming part of the Finance Documents;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joint and several liability of the Borrowers under Clause 19 (</w:t>
      </w:r>
      <w:r>
        <w:rPr>
          <w:rFonts w:ascii="Times New Roman" w:cs="Times New Roman" w:eastAsia="Times New Roman" w:hAnsi="Times New Roman"/>
          <w:sz w:val="12"/>
          <w:szCs w:val="12"/>
          <w:i w:val="1"/>
          <w:iCs w:val="1"/>
          <w:color w:val="auto"/>
        </w:rPr>
        <w:t>Joint and Several Liability of the Borrowers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Assets; or</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manner in which the proceeds of enforcement of the Transaction Security are distributed,</w:t>
      </w:r>
    </w:p>
    <w:p>
      <w:pPr>
        <w:spacing w:after="0" w:line="150" w:lineRule="exact"/>
        <w:rPr>
          <w:sz w:val="20"/>
          <w:szCs w:val="20"/>
          <w:color w:val="auto"/>
        </w:rPr>
      </w:pPr>
    </w:p>
    <w:p>
      <w:pPr>
        <w:ind w:left="428"/>
        <w:spacing w:after="0" w:line="279" w:lineRule="auto"/>
        <w:rPr>
          <w:sz w:val="20"/>
          <w:szCs w:val="20"/>
          <w:color w:val="auto"/>
        </w:rPr>
      </w:pPr>
      <w:r>
        <w:rPr>
          <w:rFonts w:ascii="Times New Roman" w:cs="Times New Roman" w:eastAsia="Times New Roman" w:hAnsi="Times New Roman"/>
          <w:sz w:val="12"/>
          <w:szCs w:val="12"/>
          <w:color w:val="auto"/>
        </w:rPr>
        <w:t>(except in the case of sub-paragraphs (iii) and (iv) above, insofar as it relates to a sale or disposal of an asset which is the subject of the Transaction Security where such sale or disposal is expressly permitted under this Agreement or any other Finance Document);</w:t>
      </w:r>
    </w:p>
    <w:p>
      <w:pPr>
        <w:spacing w:after="0" w:line="109" w:lineRule="exact"/>
        <w:rPr>
          <w:sz w:val="20"/>
          <w:szCs w:val="20"/>
          <w:color w:val="auto"/>
        </w:rPr>
      </w:pPr>
    </w:p>
    <w:p>
      <w:pPr>
        <w:jc w:val="both"/>
        <w:ind w:left="428" w:hanging="428"/>
        <w:spacing w:after="0" w:line="266" w:lineRule="auto"/>
        <w:tabs>
          <w:tab w:leader="none" w:pos="428" w:val="left"/>
        </w:tabs>
        <w:numPr>
          <w:ilvl w:val="0"/>
          <w:numId w:val="99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release of the guarantees and indemnities granted under Clause 18 (</w:t>
      </w:r>
      <w:r>
        <w:rPr>
          <w:rFonts w:ascii="Times New Roman" w:cs="Times New Roman" w:eastAsia="Times New Roman" w:hAnsi="Times New Roman"/>
          <w:sz w:val="12"/>
          <w:szCs w:val="12"/>
          <w:i w:val="1"/>
          <w:iCs w:val="1"/>
          <w:color w:val="auto"/>
        </w:rPr>
        <w:t>Guarantee and Indemnity – Guarantor</w:t>
      </w:r>
      <w:r>
        <w:rPr>
          <w:rFonts w:ascii="Times New Roman" w:cs="Times New Roman" w:eastAsia="Times New Roman" w:hAnsi="Times New Roman"/>
          <w:sz w:val="12"/>
          <w:szCs w:val="12"/>
          <w:color w:val="auto"/>
        </w:rPr>
        <w:t>) or any other guarantee and indemnity forming part of the Finance Documents or the release of the joint and several liability of the Borrowers under Clause 19 (</w:t>
      </w:r>
      <w:r>
        <w:rPr>
          <w:rFonts w:ascii="Times New Roman" w:cs="Times New Roman" w:eastAsia="Times New Roman" w:hAnsi="Times New Roman"/>
          <w:sz w:val="12"/>
          <w:szCs w:val="12"/>
          <w:i w:val="1"/>
          <w:iCs w:val="1"/>
          <w:color w:val="auto"/>
        </w:rPr>
        <w:t>Joint and Several Liability of the Borrowers</w:t>
      </w:r>
      <w:r>
        <w:rPr>
          <w:rFonts w:ascii="Times New Roman" w:cs="Times New Roman" w:eastAsia="Times New Roman" w:hAnsi="Times New Roman"/>
          <w:sz w:val="12"/>
          <w:szCs w:val="12"/>
          <w:color w:val="auto"/>
        </w:rPr>
        <w:t>) or of any Transaction Security unless permitted under this Agreement or any other Finance Document or relating to a sale or disposal of an asset which is the subject of the Transaction Security where such sale or disposal is expressly permitted under this Agreement or any other Finance Document,</w:t>
      </w:r>
    </w:p>
    <w:p>
      <w:pPr>
        <w:spacing w:after="0" w:line="1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shall not be made, or given, without the prior consent of all the Lenders.</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45.3</w:t>
      </w:r>
      <w:r>
        <w:rPr>
          <w:sz w:val="20"/>
          <w:szCs w:val="20"/>
          <w:color w:val="auto"/>
        </w:rPr>
        <w:tab/>
      </w:r>
      <w:r>
        <w:rPr>
          <w:rFonts w:ascii="Times New Roman" w:cs="Times New Roman" w:eastAsia="Times New Roman" w:hAnsi="Times New Roman"/>
          <w:sz w:val="12"/>
          <w:szCs w:val="12"/>
          <w:b w:val="1"/>
          <w:bCs w:val="1"/>
          <w:color w:val="auto"/>
        </w:rPr>
        <w:t>Excluded Commitments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If any Lender fails to respond to a request for an amendment or waiver described in Clause 45.2 (</w:t>
      </w:r>
      <w:r>
        <w:rPr>
          <w:rFonts w:ascii="Times New Roman" w:cs="Times New Roman" w:eastAsia="Times New Roman" w:hAnsi="Times New Roman"/>
          <w:sz w:val="12"/>
          <w:szCs w:val="12"/>
          <w:i w:val="1"/>
          <w:iCs w:val="1"/>
          <w:color w:val="auto"/>
        </w:rPr>
        <w:t>All Lender matters</w:t>
      </w:r>
      <w:r>
        <w:rPr>
          <w:rFonts w:ascii="Times New Roman" w:cs="Times New Roman" w:eastAsia="Times New Roman" w:hAnsi="Times New Roman"/>
          <w:sz w:val="12"/>
          <w:szCs w:val="12"/>
          <w:color w:val="auto"/>
        </w:rPr>
        <w:t>) above within twenty Business Days (or such longer time period in relation to any request which the</w:t>
      </w:r>
    </w:p>
    <w:p>
      <w:pPr>
        <w:spacing w:after="0" w:line="19"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Borrowers and the Facility Agent may agree) of that request being made:</w:t>
      </w:r>
    </w:p>
    <w:p>
      <w:pPr>
        <w:spacing w:after="0" w:line="13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2" w:right="299" w:bottom="1440" w:gutter="0" w:footer="0" w:header="0"/>
        </w:sectPr>
      </w:pPr>
    </w:p>
    <w:bookmarkStart w:id="539" w:name="page540"/>
    <w:bookmarkEnd w:id="539"/>
    <w:p>
      <w:pPr>
        <w:ind w:left="428" w:hanging="428"/>
        <w:spacing w:after="0" w:line="279" w:lineRule="auto"/>
        <w:tabs>
          <w:tab w:leader="none" w:pos="428" w:val="left"/>
        </w:tabs>
        <w:numPr>
          <w:ilvl w:val="0"/>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Commitment or its participation in the Loan (as the case may be) shall not be taken into account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99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status as a Lender shall be disregarded for the purpose of ascertaining whether the agreement of any specified group of Lenders has been obtained to approve that request.</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45.4</w:t>
      </w:r>
      <w:r>
        <w:rPr>
          <w:sz w:val="20"/>
          <w:szCs w:val="20"/>
          <w:color w:val="auto"/>
        </w:rPr>
        <w:tab/>
      </w:r>
      <w:r>
        <w:rPr>
          <w:rFonts w:ascii="Times New Roman" w:cs="Times New Roman" w:eastAsia="Times New Roman" w:hAnsi="Times New Roman"/>
          <w:sz w:val="11"/>
          <w:szCs w:val="11"/>
          <w:b w:val="1"/>
          <w:bCs w:val="1"/>
          <w:color w:val="auto"/>
        </w:rPr>
        <w:t>Other exceptions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 amendment or waiver which relates to the rights or obligations of a Servicing Party (its capacity as such) may not be effected without the consent of that Servicing Party, as the case may be.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45.5</w:t>
      </w:r>
      <w:r>
        <w:rPr>
          <w:sz w:val="20"/>
          <w:szCs w:val="20"/>
          <w:color w:val="auto"/>
        </w:rPr>
        <w:tab/>
      </w:r>
      <w:r>
        <w:rPr>
          <w:rFonts w:ascii="Times New Roman" w:cs="Times New Roman" w:eastAsia="Times New Roman" w:hAnsi="Times New Roman"/>
          <w:sz w:val="11"/>
          <w:szCs w:val="11"/>
          <w:b w:val="1"/>
          <w:bCs w:val="1"/>
          <w:color w:val="auto"/>
        </w:rPr>
        <w:t>Changes to reference rates</w:t>
      </w:r>
    </w:p>
    <w:p>
      <w:pPr>
        <w:spacing w:after="0" w:line="154" w:lineRule="exact"/>
        <w:rPr>
          <w:sz w:val="20"/>
          <w:szCs w:val="20"/>
          <w:color w:val="auto"/>
        </w:rPr>
      </w:pPr>
    </w:p>
    <w:p>
      <w:pPr>
        <w:ind w:left="428" w:hanging="428"/>
        <w:spacing w:after="0"/>
        <w:tabs>
          <w:tab w:leader="none" w:pos="428" w:val="left"/>
        </w:tabs>
        <w:numPr>
          <w:ilvl w:val="0"/>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 Published Rate Replacement Event has occurred in relation to any Published Rate, any amendment or waiver which relates to:</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99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the use of a Replacement Reference Rate in place of the that Published Rate; and</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(ii)</w:t>
      </w:r>
    </w:p>
    <w:p>
      <w:pPr>
        <w:spacing w:after="0" w:line="150" w:lineRule="exact"/>
        <w:rPr>
          <w:sz w:val="20"/>
          <w:szCs w:val="20"/>
          <w:color w:val="auto"/>
        </w:rPr>
      </w:pPr>
    </w:p>
    <w:p>
      <w:pPr>
        <w:ind w:left="1268" w:hanging="422"/>
        <w:spacing w:after="0"/>
        <w:tabs>
          <w:tab w:leader="none" w:pos="1268" w:val="left"/>
        </w:tabs>
        <w:numPr>
          <w:ilvl w:val="0"/>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aligning any provision of any Finance Document to the use of that Replacement Reference Rate;</w:t>
      </w:r>
    </w:p>
    <w:p>
      <w:pPr>
        <w:spacing w:after="0" w:line="150" w:lineRule="exact"/>
        <w:rPr>
          <w:rFonts w:ascii="Times New Roman" w:cs="Times New Roman" w:eastAsia="Times New Roman" w:hAnsi="Times New Roman"/>
          <w:sz w:val="12"/>
          <w:szCs w:val="12"/>
          <w:color w:val="auto"/>
        </w:rPr>
      </w:pPr>
    </w:p>
    <w:p>
      <w:pPr>
        <w:ind w:left="1268" w:hanging="422"/>
        <w:spacing w:after="0" w:line="279" w:lineRule="auto"/>
        <w:tabs>
          <w:tab w:leader="none" w:pos="1268" w:val="left"/>
        </w:tabs>
        <w:numPr>
          <w:ilvl w:val="0"/>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11"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implementing market conventions applicable to that Replacement Reference Rate;</w:t>
      </w:r>
    </w:p>
    <w:p>
      <w:pPr>
        <w:spacing w:after="0" w:line="150" w:lineRule="exact"/>
        <w:rPr>
          <w:rFonts w:ascii="Times New Roman" w:cs="Times New Roman" w:eastAsia="Times New Roman" w:hAnsi="Times New Roman"/>
          <w:sz w:val="12"/>
          <w:szCs w:val="12"/>
          <w:color w:val="auto"/>
        </w:rPr>
      </w:pPr>
    </w:p>
    <w:p>
      <w:pPr>
        <w:ind w:left="1268" w:hanging="422"/>
        <w:spacing w:after="0"/>
        <w:tabs>
          <w:tab w:leader="none" w:pos="1268" w:val="left"/>
        </w:tabs>
        <w:numPr>
          <w:ilvl w:val="0"/>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providing for appropriate fallback (and market disruption) provisions for that Replacement Reference Rate; or</w:t>
      </w:r>
    </w:p>
    <w:p>
      <w:pPr>
        <w:spacing w:after="0" w:line="150" w:lineRule="exact"/>
        <w:rPr>
          <w:rFonts w:ascii="Times New Roman" w:cs="Times New Roman" w:eastAsia="Times New Roman" w:hAnsi="Times New Roman"/>
          <w:sz w:val="12"/>
          <w:szCs w:val="12"/>
          <w:color w:val="auto"/>
        </w:rPr>
      </w:pPr>
    </w:p>
    <w:p>
      <w:pPr>
        <w:jc w:val="both"/>
        <w:ind w:left="1268" w:hanging="422"/>
        <w:spacing w:after="0" w:line="265" w:lineRule="auto"/>
        <w:tabs>
          <w:tab w:leader="none" w:pos="1268" w:val="left"/>
        </w:tabs>
        <w:numPr>
          <w:ilvl w:val="0"/>
          <w:numId w:val="100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19"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may be made with the consent of the Facility Agent (acting on the instructions of the Majority Lenders) and the Borrowers.</w:t>
      </w:r>
    </w:p>
    <w:p>
      <w:pPr>
        <w:spacing w:after="0" w:line="150" w:lineRule="exact"/>
        <w:rPr>
          <w:sz w:val="20"/>
          <w:szCs w:val="20"/>
          <w:color w:val="auto"/>
        </w:rPr>
      </w:pPr>
    </w:p>
    <w:p>
      <w:pPr>
        <w:ind w:left="428" w:right="20" w:hanging="428"/>
        <w:spacing w:after="0" w:line="279" w:lineRule="auto"/>
        <w:tabs>
          <w:tab w:leader="none" w:pos="428" w:val="left"/>
        </w:tabs>
        <w:numPr>
          <w:ilvl w:val="0"/>
          <w:numId w:val="100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 amendment or waiver that relates to, or has the effect of, aligning the means of calculation of interest on the Loan or any part of the Loan under this Agreement to any recommendation of a Relevant Nominating Body which:</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40" w:name="page541"/>
    <w:bookmarkEnd w:id="540"/>
    <w:p>
      <w:pPr>
        <w:ind w:left="848" w:hanging="425"/>
        <w:spacing w:after="0"/>
        <w:tabs>
          <w:tab w:leader="none" w:pos="848" w:val="left"/>
        </w:tabs>
        <w:numPr>
          <w:ilvl w:val="0"/>
          <w:numId w:val="10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relates to the use of the RFR on a compounded basis in the international or any relevant domestic syndicated loan markets;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100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issued on or after the date of this Agreement,</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may be made with the consent of the Facility Agent (acting on the instructions of the Majority Lenders) and the Borrowers.</w:t>
      </w:r>
    </w:p>
    <w:p>
      <w:pPr>
        <w:spacing w:after="0" w:line="150" w:lineRule="exact"/>
        <w:rPr>
          <w:sz w:val="20"/>
          <w:szCs w:val="20"/>
          <w:color w:val="auto"/>
        </w:rPr>
      </w:pPr>
    </w:p>
    <w:p>
      <w:pPr>
        <w:ind w:left="428" w:hanging="428"/>
        <w:spacing w:after="0" w:line="279" w:lineRule="auto"/>
        <w:tabs>
          <w:tab w:leader="none" w:pos="428" w:val="left"/>
        </w:tabs>
        <w:numPr>
          <w:ilvl w:val="0"/>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Lender fails to respond to a request for an amendment or waiver described in paragraph (a) or (b) above within 10 Business Days (or such longer time period in relation to any request which the Borrowers and the Facility Agent may agree) of that request being made:</w:t>
      </w:r>
    </w:p>
    <w:p>
      <w:pPr>
        <w:spacing w:after="0" w:line="111"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Commitment or its participation in the Loan (as the case may be) shall not be included for the purpose of calculating the Total Commitments or the amount of the Loan (as applicable) when ascertaining whether any relevant percentage of Total Commitments or the aggregate of participations in the Loan (as applicable) has been obtained to approve that request;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its status as a Lender shall be disregarded for the purpose of ascertaining whether the agreement of any specified group of Lenders has been obtained to approve that request.</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this Clause 45.5 (</w:t>
      </w:r>
      <w:r>
        <w:rPr>
          <w:rFonts w:ascii="Times New Roman" w:cs="Times New Roman" w:eastAsia="Times New Roman" w:hAnsi="Times New Roman"/>
          <w:sz w:val="12"/>
          <w:szCs w:val="12"/>
          <w:i w:val="1"/>
          <w:iCs w:val="1"/>
          <w:color w:val="auto"/>
        </w:rPr>
        <w:t>Changes to reference rates</w:t>
      </w:r>
      <w:r>
        <w:rPr>
          <w:rFonts w:ascii="Times New Roman" w:cs="Times New Roman" w:eastAsia="Times New Roman" w:hAnsi="Times New Roman"/>
          <w:sz w:val="12"/>
          <w:szCs w:val="12"/>
          <w:color w:val="auto"/>
        </w:rPr>
        <w:t>):</w:t>
      </w:r>
    </w:p>
    <w:p>
      <w:pPr>
        <w:spacing w:after="0" w:line="148" w:lineRule="exact"/>
        <w:rPr>
          <w:rFonts w:ascii="Times New Roman" w:cs="Times New Roman" w:eastAsia="Times New Roman" w:hAnsi="Times New Roman"/>
          <w:sz w:val="12"/>
          <w:szCs w:val="12"/>
          <w:color w:val="auto"/>
        </w:rPr>
      </w:pPr>
    </w:p>
    <w:p>
      <w:pPr>
        <w:ind w:left="428"/>
        <w:spacing w:after="0" w:line="286"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Relevant Nominating Body</w:t>
      </w:r>
      <w:r>
        <w:rPr>
          <w:rFonts w:ascii="Times New Roman" w:cs="Times New Roman" w:eastAsia="Times New Roman" w:hAnsi="Times New Roman"/>
          <w:sz w:val="12"/>
          <w:szCs w:val="12"/>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03"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Replacement Reference Rate</w:t>
      </w:r>
      <w:r>
        <w:rPr>
          <w:rFonts w:ascii="Times New Roman" w:cs="Times New Roman" w:eastAsia="Times New Roman" w:hAnsi="Times New Roman"/>
          <w:sz w:val="12"/>
          <w:szCs w:val="12"/>
          <w:color w:val="auto"/>
        </w:rPr>
        <w:t>" means a reference rate which is:</w:t>
      </w:r>
    </w:p>
    <w:p>
      <w:pPr>
        <w:spacing w:after="0" w:line="154"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2"/>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formally designated, nominated or recommended as the replacement for a Published Rate by:</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administrator of that Published Rate; or</w:t>
      </w:r>
    </w:p>
    <w:p>
      <w:pPr>
        <w:spacing w:after="0" w:line="150" w:lineRule="exact"/>
        <w:rPr>
          <w:rFonts w:ascii="Times New Roman" w:cs="Times New Roman" w:eastAsia="Times New Roman" w:hAnsi="Times New Roman"/>
          <w:sz w:val="12"/>
          <w:szCs w:val="12"/>
          <w:color w:val="auto"/>
        </w:rPr>
      </w:pPr>
    </w:p>
    <w:p>
      <w:pPr>
        <w:ind w:left="1288" w:hanging="424"/>
        <w:spacing w:after="0"/>
        <w:tabs>
          <w:tab w:leader="none" w:pos="1288" w:val="left"/>
        </w:tabs>
        <w:numPr>
          <w:ilvl w:val="3"/>
          <w:numId w:val="100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Relevant Nominating Body,</w:t>
      </w:r>
    </w:p>
    <w:p>
      <w:pPr>
        <w:spacing w:after="0" w:line="150" w:lineRule="exact"/>
        <w:rPr>
          <w:sz w:val="20"/>
          <w:szCs w:val="20"/>
          <w:color w:val="auto"/>
        </w:rPr>
      </w:pPr>
    </w:p>
    <w:p>
      <w:pPr>
        <w:ind w:left="848"/>
        <w:spacing w:after="0"/>
        <w:rPr>
          <w:sz w:val="20"/>
          <w:szCs w:val="20"/>
          <w:color w:val="auto"/>
        </w:rPr>
      </w:pPr>
      <w:r>
        <w:rPr>
          <w:rFonts w:ascii="Times New Roman" w:cs="Times New Roman" w:eastAsia="Times New Roman" w:hAnsi="Times New Roman"/>
          <w:sz w:val="12"/>
          <w:szCs w:val="12"/>
          <w:color w:val="auto"/>
        </w:rPr>
        <w:t>and if replacements have, at the relevant time, been formally designated, nominated or recommended under both paragraphs, the "Replacement Reference Rate" will be the replacement under sub-paragraph (ii) above;</w:t>
      </w:r>
    </w:p>
    <w:p>
      <w:pPr>
        <w:spacing w:after="0" w:line="150" w:lineRule="exact"/>
        <w:rPr>
          <w:sz w:val="20"/>
          <w:szCs w:val="20"/>
          <w:color w:val="auto"/>
        </w:rPr>
      </w:pPr>
    </w:p>
    <w:p>
      <w:pPr>
        <w:ind w:left="868" w:hanging="436"/>
        <w:spacing w:after="0"/>
        <w:tabs>
          <w:tab w:leader="none" w:pos="868" w:val="left"/>
        </w:tabs>
        <w:numPr>
          <w:ilvl w:val="0"/>
          <w:numId w:val="10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generally accepted in the international or any relevant domestic syndicated loan markets as the appropriate successor to a Published Rate; or</w:t>
      </w:r>
    </w:p>
    <w:p>
      <w:pPr>
        <w:spacing w:after="0" w:line="150" w:lineRule="exact"/>
        <w:rPr>
          <w:rFonts w:ascii="Times New Roman" w:cs="Times New Roman" w:eastAsia="Times New Roman" w:hAnsi="Times New Roman"/>
          <w:sz w:val="12"/>
          <w:szCs w:val="12"/>
          <w:color w:val="auto"/>
        </w:rPr>
      </w:pPr>
    </w:p>
    <w:p>
      <w:pPr>
        <w:ind w:left="868" w:hanging="436"/>
        <w:spacing w:after="0"/>
        <w:tabs>
          <w:tab w:leader="none" w:pos="868" w:val="left"/>
        </w:tabs>
        <w:numPr>
          <w:ilvl w:val="0"/>
          <w:numId w:val="100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the opinion of the Majority Lenders and the Borrowers, an appropriate successor to a Published Rate.</w:t>
      </w:r>
    </w:p>
    <w:p>
      <w:pPr>
        <w:spacing w:after="0" w:line="146"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45.6</w:t>
      </w:r>
      <w:r>
        <w:rPr>
          <w:sz w:val="20"/>
          <w:szCs w:val="20"/>
          <w:color w:val="auto"/>
        </w:rPr>
        <w:tab/>
      </w:r>
      <w:r>
        <w:rPr>
          <w:rFonts w:ascii="Times New Roman" w:cs="Times New Roman" w:eastAsia="Times New Roman" w:hAnsi="Times New Roman"/>
          <w:sz w:val="11"/>
          <w:szCs w:val="11"/>
          <w:b w:val="1"/>
          <w:bCs w:val="1"/>
          <w:color w:val="auto"/>
        </w:rPr>
        <w:t>Obligor Intent</w:t>
      </w:r>
    </w:p>
    <w:p>
      <w:pPr>
        <w:spacing w:after="0" w:line="152" w:lineRule="exact"/>
        <w:rPr>
          <w:sz w:val="20"/>
          <w:szCs w:val="20"/>
          <w:color w:val="auto"/>
        </w:rPr>
      </w:pPr>
    </w:p>
    <w:p>
      <w:pPr>
        <w:jc w:val="both"/>
        <w:ind w:left="428"/>
        <w:spacing w:after="0" w:line="258" w:lineRule="auto"/>
        <w:rPr>
          <w:sz w:val="20"/>
          <w:szCs w:val="20"/>
          <w:color w:val="auto"/>
        </w:rPr>
      </w:pPr>
      <w:r>
        <w:rPr>
          <w:rFonts w:ascii="Times New Roman" w:cs="Times New Roman" w:eastAsia="Times New Roman" w:hAnsi="Times New Roman"/>
          <w:sz w:val="12"/>
          <w:szCs w:val="12"/>
          <w:color w:val="auto"/>
        </w:rPr>
        <w:t>Without prejudice to the generality of Clauses 1.2 (</w:t>
      </w:r>
      <w:r>
        <w:rPr>
          <w:rFonts w:ascii="Times New Roman" w:cs="Times New Roman" w:eastAsia="Times New Roman" w:hAnsi="Times New Roman"/>
          <w:sz w:val="12"/>
          <w:szCs w:val="12"/>
          <w:i w:val="1"/>
          <w:iCs w:val="1"/>
          <w:color w:val="auto"/>
        </w:rPr>
        <w:t>Construction</w:t>
      </w:r>
      <w:r>
        <w:rPr>
          <w:rFonts w:ascii="Times New Roman" w:cs="Times New Roman" w:eastAsia="Times New Roman" w:hAnsi="Times New Roman"/>
          <w:sz w:val="12"/>
          <w:szCs w:val="12"/>
          <w:color w:val="auto"/>
        </w:rPr>
        <w:t>) and 18.4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19.2 (</w:t>
      </w:r>
      <w:r>
        <w:rPr>
          <w:rFonts w:ascii="Times New Roman" w:cs="Times New Roman" w:eastAsia="Times New Roman" w:hAnsi="Times New Roman"/>
          <w:sz w:val="12"/>
          <w:szCs w:val="12"/>
          <w:i w:val="1"/>
          <w:iCs w:val="1"/>
          <w:color w:val="auto"/>
        </w:rPr>
        <w:t>Waiver of defences</w:t>
      </w:r>
      <w:r>
        <w:rPr>
          <w:rFonts w:ascii="Times New Roman" w:cs="Times New Roman" w:eastAsia="Times New Roman" w:hAnsi="Times New Roman"/>
          <w:sz w:val="12"/>
          <w:szCs w:val="12"/>
          <w:color w:val="auto"/>
        </w:rPr>
        <w:t>), each Obligor expressly confirms that it intends that any guarantee contained in this Agreement or any other Finance Document and any Security created by any Finance Document shall extend from time to time to any (however fundamental) variation, increase, extension or addition of or to any of the Finance Documents and/or any facility or amount made available under any of the Finance Documents for the purposes of or in connection with any of the following: business acquisitions of any nature; increasing working capital; enabling investor distributions to be made; carrying out restructurings; refinancing existing facilities; refinancing any other indebtedness; making facilities available to new borrowers; any other variation or extension of the purposes for which any such facility or amount might be made available from time to time; and any fees, costs and/or expenses associated with any of the foregoing.</w:t>
      </w:r>
    </w:p>
    <w:p>
      <w:pPr>
        <w:spacing w:after="0" w:line="124"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41" w:name="page542"/>
    <w:bookmarkEnd w:id="541"/>
    <w:p>
      <w:pPr>
        <w:ind w:left="8" w:right="9040" w:hanging="8"/>
        <w:spacing w:after="0" w:line="502" w:lineRule="auto"/>
        <w:tabs>
          <w:tab w:leader="none" w:pos="431" w:val="left"/>
        </w:tabs>
        <w:numPr>
          <w:ilvl w:val="0"/>
          <w:numId w:val="100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CONFIDENTIAL INFORMATION 46.1 Confidentiality</w:t>
      </w:r>
    </w:p>
    <w:p>
      <w:pPr>
        <w:spacing w:after="0" w:line="1"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Each Finance Party agrees to keep all Confidential Information confidential and not to disclose it to anyone, save to the extent permitted by Clause 46.2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and Clause 46.3 (</w:t>
      </w:r>
      <w:r>
        <w:rPr>
          <w:rFonts w:ascii="Times New Roman" w:cs="Times New Roman" w:eastAsia="Times New Roman" w:hAnsi="Times New Roman"/>
          <w:sz w:val="12"/>
          <w:szCs w:val="12"/>
          <w:i w:val="1"/>
          <w:iCs w:val="1"/>
          <w:color w:val="auto"/>
        </w:rPr>
        <w:t>Disclosure to</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numbering service providers</w:t>
      </w:r>
      <w:r>
        <w:rPr>
          <w:rFonts w:ascii="Times New Roman" w:cs="Times New Roman" w:eastAsia="Times New Roman" w:hAnsi="Times New Roman"/>
          <w:sz w:val="12"/>
          <w:szCs w:val="12"/>
          <w:color w:val="auto"/>
        </w:rPr>
        <w:t>) and to ensure that all Confidential Information is protected with security measures and a degree of care that would apply to its own confidential information.</w:t>
      </w:r>
    </w:p>
    <w:p>
      <w:pPr>
        <w:spacing w:after="0" w:line="105" w:lineRule="exact"/>
        <w:rPr>
          <w:sz w:val="20"/>
          <w:szCs w:val="20"/>
          <w:color w:val="auto"/>
        </w:rPr>
      </w:pPr>
    </w:p>
    <w:p>
      <w:pPr>
        <w:jc w:val="center"/>
        <w:ind w:right="8892"/>
        <w:spacing w:after="0"/>
        <w:tabs>
          <w:tab w:leader="none" w:pos="200" w:val="left"/>
        </w:tabs>
        <w:rPr>
          <w:sz w:val="20"/>
          <w:szCs w:val="20"/>
          <w:color w:val="auto"/>
        </w:rPr>
      </w:pPr>
      <w:r>
        <w:rPr>
          <w:rFonts w:ascii="Times New Roman" w:cs="Times New Roman" w:eastAsia="Times New Roman" w:hAnsi="Times New Roman"/>
          <w:sz w:val="12"/>
          <w:szCs w:val="12"/>
          <w:b w:val="1"/>
          <w:bCs w:val="1"/>
          <w:color w:val="auto"/>
        </w:rPr>
        <w:t>46.2</w:t>
      </w:r>
      <w:r>
        <w:rPr>
          <w:sz w:val="20"/>
          <w:szCs w:val="20"/>
          <w:color w:val="auto"/>
        </w:rPr>
        <w:tab/>
      </w:r>
      <w:r>
        <w:rPr>
          <w:rFonts w:ascii="Times New Roman" w:cs="Times New Roman" w:eastAsia="Times New Roman" w:hAnsi="Times New Roman"/>
          <w:sz w:val="11"/>
          <w:szCs w:val="11"/>
          <w:b w:val="1"/>
          <w:bCs w:val="1"/>
          <w:color w:val="auto"/>
        </w:rPr>
        <w:t>Disclosure of Confidential Information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Any Finance Party may disclose:</w:t>
      </w:r>
    </w:p>
    <w:p>
      <w:pPr>
        <w:spacing w:after="0" w:line="150" w:lineRule="exact"/>
        <w:rPr>
          <w:sz w:val="20"/>
          <w:szCs w:val="20"/>
          <w:color w:val="auto"/>
        </w:rPr>
      </w:pPr>
    </w:p>
    <w:p>
      <w:pPr>
        <w:jc w:val="both"/>
        <w:ind w:left="428" w:hanging="428"/>
        <w:spacing w:after="0" w:line="257" w:lineRule="auto"/>
        <w:tabs>
          <w:tab w:leader="none" w:pos="428" w:val="left"/>
        </w:tabs>
        <w:numPr>
          <w:ilvl w:val="0"/>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of its Affiliates and Related Funds and any of its or their officers, directors, employees, professional advisers (including, without limitation, lawyers, accountants, surveyors, valuers), insurance advisors, insurance brokers, auditors,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 or if an Event of Default has occurred and is continuing;</w:t>
      </w:r>
    </w:p>
    <w:p>
      <w:pPr>
        <w:spacing w:after="0" w:line="125"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person:</w:t>
      </w:r>
    </w:p>
    <w:p>
      <w:pPr>
        <w:spacing w:after="0" w:line="150"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(or through) whom it assigns or transfers (or may potentially assign or transfer) all or any of its rights and/or obligations under one or more Finance Documents or which succeeds (or which may potentially succeed) it as Facility Agent or Security Agent and, in each case, to any of that person's Affiliates, Related Funds, Representatives, professional advisers and broker or provider for the purpose of credit protection;</w:t>
      </w:r>
    </w:p>
    <w:p>
      <w:pPr>
        <w:spacing w:after="0" w:line="111" w:lineRule="exact"/>
        <w:rPr>
          <w:rFonts w:ascii="Times New Roman" w:cs="Times New Roman" w:eastAsia="Times New Roman" w:hAnsi="Times New Roman"/>
          <w:sz w:val="12"/>
          <w:szCs w:val="12"/>
          <w:color w:val="auto"/>
        </w:rPr>
      </w:pPr>
    </w:p>
    <w:p>
      <w:pPr>
        <w:jc w:val="both"/>
        <w:ind w:left="848" w:hanging="425"/>
        <w:spacing w:after="0" w:line="265" w:lineRule="auto"/>
        <w:tabs>
          <w:tab w:leader="none" w:pos="848" w:val="left"/>
        </w:tabs>
        <w:numPr>
          <w:ilvl w:val="1"/>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Transaction Obligors and to any of that person's Affiliates, Related Funds, Representatives, professional advisers and broker or provider for the purpose of credit protection;</w:t>
      </w:r>
    </w:p>
    <w:p>
      <w:pPr>
        <w:spacing w:after="0" w:line="118" w:lineRule="exact"/>
        <w:rPr>
          <w:rFonts w:ascii="Times New Roman" w:cs="Times New Roman" w:eastAsia="Times New Roman" w:hAnsi="Times New Roman"/>
          <w:sz w:val="12"/>
          <w:szCs w:val="12"/>
          <w:color w:val="auto"/>
        </w:rPr>
      </w:pPr>
    </w:p>
    <w:p>
      <w:pPr>
        <w:ind w:left="848" w:hanging="425"/>
        <w:spacing w:after="0" w:line="279" w:lineRule="auto"/>
        <w:tabs>
          <w:tab w:leader="none" w:pos="848" w:val="left"/>
        </w:tabs>
        <w:numPr>
          <w:ilvl w:val="1"/>
          <w:numId w:val="100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appointed by any Finance Party or by a person to whom sub-paragraph (i) or (ii) of paragraph (b) above applies to receive communications, notices, information or documents delivered pursuant to the Finance Documents on its behalf (including, without limitation, any person appointed under paragraph (c) of Clause 32.14 (</w:t>
      </w:r>
      <w:r>
        <w:rPr>
          <w:rFonts w:ascii="Times New Roman" w:cs="Times New Roman" w:eastAsia="Times New Roman" w:hAnsi="Times New Roman"/>
          <w:sz w:val="12"/>
          <w:szCs w:val="12"/>
          <w:i w:val="1"/>
          <w:iCs w:val="1"/>
          <w:color w:val="auto"/>
        </w:rPr>
        <w:t>Relationship with the other Finance Parties</w:t>
      </w:r>
      <w:r>
        <w:rPr>
          <w:rFonts w:ascii="Times New Roman" w:cs="Times New Roman" w:eastAsia="Times New Roman" w:hAnsi="Times New Roman"/>
          <w:sz w:val="12"/>
          <w:szCs w:val="12"/>
          <w:color w:val="auto"/>
        </w:rPr>
        <w:t>));</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3" w:right="299" w:bottom="1440" w:gutter="0" w:footer="0" w:header="0"/>
        </w:sectPr>
      </w:pPr>
    </w:p>
    <w:bookmarkStart w:id="542" w:name="page543"/>
    <w:bookmarkEnd w:id="542"/>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invests in or otherwise finances (or may potentially invest in or otherwise finance), directly or indirectly, any transaction referred to in sub-paragraph (i) or (ii) of paragraph (b) above;</w:t>
      </w:r>
    </w:p>
    <w:p>
      <w:pPr>
        <w:spacing w:after="0" w:line="150" w:lineRule="exact"/>
        <w:rPr>
          <w:rFonts w:ascii="Times New Roman" w:cs="Times New Roman" w:eastAsia="Times New Roman" w:hAnsi="Times New Roman"/>
          <w:sz w:val="12"/>
          <w:szCs w:val="12"/>
          <w:color w:val="auto"/>
        </w:rPr>
      </w:pPr>
    </w:p>
    <w:p>
      <w:pPr>
        <w:ind w:left="425" w:right="20" w:hanging="425"/>
        <w:spacing w:after="0" w:line="279" w:lineRule="auto"/>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11"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information is required to be disclosed in connection with, and for the purposes of, any litigation, arbitrations, administrative or other investigations, proceedings or disputes;</w:t>
      </w:r>
    </w:p>
    <w:p>
      <w:pPr>
        <w:spacing w:after="0" w:line="148"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whom or for whose benefit that Finance Party charges, assigns or otherwise creates Security (or may do so) pursuant to Clause 30.8 (</w:t>
      </w:r>
      <w:r>
        <w:rPr>
          <w:rFonts w:ascii="Times New Roman" w:cs="Times New Roman" w:eastAsia="Times New Roman" w:hAnsi="Times New Roman"/>
          <w:sz w:val="12"/>
          <w:szCs w:val="12"/>
          <w:i w:val="1"/>
          <w:iCs w:val="1"/>
          <w:color w:val="auto"/>
        </w:rPr>
        <w:t>Security over Lenders' rights</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which is a classification society or other entity which a Lender has engaged to make the calculations necessary to enable that Lender to comply with its reporting obligations under the Poseidon Principles;</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who is a Party, a member of the Group or any related entity of a Transaction Obligor;</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 result of the registration of any Finance Document as contemplated by any Finance Document or any legal opinion obtained in connection with any Finance Document; or</w:t>
      </w:r>
    </w:p>
    <w:p>
      <w:pPr>
        <w:spacing w:after="0" w:line="150" w:lineRule="exact"/>
        <w:rPr>
          <w:rFonts w:ascii="Times New Roman" w:cs="Times New Roman" w:eastAsia="Times New Roman" w:hAnsi="Times New Roman"/>
          <w:sz w:val="12"/>
          <w:szCs w:val="12"/>
          <w:color w:val="auto"/>
        </w:rPr>
      </w:pPr>
    </w:p>
    <w:p>
      <w:pPr>
        <w:ind w:left="425" w:hanging="425"/>
        <w:spacing w:after="0"/>
        <w:tabs>
          <w:tab w:leader="none" w:pos="425" w:val="left"/>
        </w:tabs>
        <w:numPr>
          <w:ilvl w:val="0"/>
          <w:numId w:val="100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the consent of the Guarantor;</w:t>
      </w:r>
    </w:p>
    <w:p>
      <w:pPr>
        <w:spacing w:after="0" w:line="15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2"/>
          <w:szCs w:val="12"/>
          <w:color w:val="auto"/>
        </w:rPr>
        <w:t>in each case, such Confidential Information as that Finance Party shall consider appropriate if:</w:t>
      </w:r>
    </w:p>
    <w:p>
      <w:pPr>
        <w:spacing w:after="0" w:line="150" w:lineRule="exact"/>
        <w:rPr>
          <w:sz w:val="20"/>
          <w:szCs w:val="20"/>
          <w:color w:val="auto"/>
        </w:rPr>
      </w:pPr>
    </w:p>
    <w:p>
      <w:pPr>
        <w:jc w:val="both"/>
        <w:ind w:left="845" w:hanging="422"/>
        <w:spacing w:after="0" w:line="265" w:lineRule="auto"/>
        <w:tabs>
          <w:tab w:leader="none" w:pos="845" w:val="left"/>
        </w:tabs>
        <w:numPr>
          <w:ilvl w:val="0"/>
          <w:numId w:val="10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(i), (ii) and (iii) of paragraph (b)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 or if an Event of Default has occurred and is continuing;</w:t>
      </w:r>
    </w:p>
    <w:p>
      <w:pPr>
        <w:spacing w:after="0" w:line="118" w:lineRule="exact"/>
        <w:rPr>
          <w:rFonts w:ascii="Times New Roman" w:cs="Times New Roman" w:eastAsia="Times New Roman" w:hAnsi="Times New Roman"/>
          <w:sz w:val="12"/>
          <w:szCs w:val="12"/>
          <w:color w:val="auto"/>
        </w:rPr>
      </w:pPr>
    </w:p>
    <w:p>
      <w:pPr>
        <w:jc w:val="both"/>
        <w:ind w:left="845" w:hanging="422"/>
        <w:spacing w:after="0" w:line="265" w:lineRule="auto"/>
        <w:tabs>
          <w:tab w:leader="none" w:pos="845" w:val="left"/>
        </w:tabs>
        <w:numPr>
          <w:ilvl w:val="0"/>
          <w:numId w:val="10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(iv) and (viii) of paragraph (b)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 except that there shall be no requirement for a Confidentiality Undertaking and no requirement to so inform if an Event of Default has occurred and is continuing;</w:t>
      </w:r>
    </w:p>
    <w:p>
      <w:pPr>
        <w:spacing w:after="0" w:line="118" w:lineRule="exact"/>
        <w:rPr>
          <w:rFonts w:ascii="Times New Roman" w:cs="Times New Roman" w:eastAsia="Times New Roman" w:hAnsi="Times New Roman"/>
          <w:sz w:val="12"/>
          <w:szCs w:val="12"/>
          <w:color w:val="auto"/>
        </w:rPr>
      </w:pPr>
    </w:p>
    <w:p>
      <w:pPr>
        <w:jc w:val="both"/>
        <w:ind w:left="845" w:hanging="422"/>
        <w:spacing w:after="0" w:line="265" w:lineRule="auto"/>
        <w:tabs>
          <w:tab w:leader="none" w:pos="845" w:val="left"/>
        </w:tabs>
        <w:numPr>
          <w:ilvl w:val="0"/>
          <w:numId w:val="100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 relation to sub-paragraphs (v), (vi) and (vii) of paragraph (b)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 or if an Event of Default has occurred and is continuing;</w:t>
      </w:r>
    </w:p>
    <w:p>
      <w:pPr>
        <w:spacing w:after="0" w:line="119" w:lineRule="exact"/>
        <w:rPr>
          <w:sz w:val="20"/>
          <w:szCs w:val="20"/>
          <w:color w:val="auto"/>
        </w:rPr>
      </w:pPr>
    </w:p>
    <w:p>
      <w:pPr>
        <w:jc w:val="both"/>
        <w:ind w:left="5145"/>
        <w:spacing w:after="0"/>
        <w:tabs>
          <w:tab w:leader="none" w:pos="9765" w:val="left"/>
        </w:tabs>
        <w:rPr>
          <w:sz w:val="20"/>
          <w:szCs w:val="20"/>
          <w:color w:val="auto"/>
        </w:rPr>
      </w:pPr>
      <w:r>
        <w:rPr>
          <w:rFonts w:ascii="Times New Roman" w:cs="Times New Roman" w:eastAsia="Times New Roman" w:hAnsi="Times New Roman"/>
          <w:sz w:val="12"/>
          <w:szCs w:val="12"/>
          <w:color w:val="auto"/>
        </w:rPr>
        <w:t>156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wp:posOffset>
            </wp:positionH>
            <wp:positionV relativeFrom="paragraph">
              <wp:posOffset>10795</wp:posOffset>
            </wp:positionV>
            <wp:extent cx="7178040" cy="571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885"/>
          </w:cols>
          <w:pgMar w:left="715" w:top="434" w:right="299" w:bottom="1440" w:gutter="0" w:footer="0" w:header="0"/>
        </w:sectPr>
      </w:pPr>
    </w:p>
    <w:bookmarkStart w:id="543" w:name="page544"/>
    <w:bookmarkEnd w:id="543"/>
    <w:p>
      <w:pPr>
        <w:jc w:val="both"/>
        <w:ind w:left="428" w:hanging="428"/>
        <w:spacing w:after="0" w:line="260" w:lineRule="auto"/>
        <w:tabs>
          <w:tab w:leader="none" w:pos="428" w:val="left"/>
        </w:tabs>
        <w:numPr>
          <w:ilvl w:val="0"/>
          <w:numId w:val="10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person appointed by that Finance Party or by a person to whom sub-paragraph (i) or (ii) of paragraph (b)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 to a confidentiality agreement substantially in the form of the LMA Master Confidentiality Undertaking for Use With Administration/ Settlement Service Providers or such other form of confidentiality undertaking agreed between the Borrowers and the relevant Finance Party;</w:t>
      </w:r>
    </w:p>
    <w:p>
      <w:pPr>
        <w:spacing w:after="0" w:line="122"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10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any rating agency (including its professional advisers) such Confidential Information as may be required to be disclosed to enable such rating agency to carry out its normal rating activities in relation to the Finance Documents and/or the Transaction Obligors if the rating agency to whom the Confidential Information is to be given is informed of its confidential nature and that some or all of such Confidential Information may be price sensitive information.</w:t>
      </w:r>
    </w:p>
    <w:p>
      <w:pPr>
        <w:spacing w:after="0" w:line="118" w:lineRule="exact"/>
        <w:rPr>
          <w:rFonts w:ascii="Times New Roman" w:cs="Times New Roman" w:eastAsia="Times New Roman" w:hAnsi="Times New Roman"/>
          <w:sz w:val="12"/>
          <w:szCs w:val="12"/>
          <w:color w:val="auto"/>
        </w:rPr>
      </w:pPr>
    </w:p>
    <w:p>
      <w:pPr>
        <w:jc w:val="both"/>
        <w:ind w:left="428" w:hanging="428"/>
        <w:spacing w:after="0" w:line="265" w:lineRule="auto"/>
        <w:tabs>
          <w:tab w:leader="none" w:pos="428" w:val="left"/>
        </w:tabs>
        <w:numPr>
          <w:ilvl w:val="0"/>
          <w:numId w:val="100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(for and on behalf of themselves and the Transaction Obligors) hereby release the Finance Parties and each of their Affiliates and each of their members, managers, officers, directors, employees, head office, professional advisers, auditors and representatives (together, the "</w:t>
      </w:r>
      <w:r>
        <w:rPr>
          <w:rFonts w:ascii="Times New Roman" w:cs="Times New Roman" w:eastAsia="Times New Roman" w:hAnsi="Times New Roman"/>
          <w:sz w:val="12"/>
          <w:szCs w:val="12"/>
          <w:b w:val="1"/>
          <w:bCs w:val="1"/>
          <w:color w:val="auto"/>
        </w:rPr>
        <w:t>Disclosing Party</w:t>
      </w:r>
      <w:r>
        <w:rPr>
          <w:rFonts w:ascii="Times New Roman" w:cs="Times New Roman" w:eastAsia="Times New Roman" w:hAnsi="Times New Roman"/>
          <w:sz w:val="12"/>
          <w:szCs w:val="12"/>
          <w:color w:val="auto"/>
        </w:rPr>
        <w:t>") from any confidentiality obligations or confidentiality restrictions arising from Swiss law or other applicable banking secrecy and data protection legislation which would precent a Disclosing Party form disclosing any Confidential Information in accordance with this Clause of Clause 46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46.3</w:t>
      </w:r>
      <w:r>
        <w:rPr>
          <w:sz w:val="20"/>
          <w:szCs w:val="20"/>
          <w:color w:val="auto"/>
        </w:rPr>
        <w:tab/>
      </w:r>
      <w:r>
        <w:rPr>
          <w:rFonts w:ascii="Times New Roman" w:cs="Times New Roman" w:eastAsia="Times New Roman" w:hAnsi="Times New Roman"/>
          <w:sz w:val="11"/>
          <w:szCs w:val="11"/>
          <w:b w:val="1"/>
          <w:bCs w:val="1"/>
          <w:color w:val="auto"/>
        </w:rPr>
        <w:t>Disclosure to numbering service providers</w:t>
      </w:r>
    </w:p>
    <w:p>
      <w:pPr>
        <w:spacing w:after="0" w:line="154" w:lineRule="exact"/>
        <w:rPr>
          <w:sz w:val="20"/>
          <w:szCs w:val="20"/>
          <w:color w:val="auto"/>
        </w:rPr>
      </w:pPr>
    </w:p>
    <w:p>
      <w:pPr>
        <w:ind w:left="428" w:hanging="428"/>
        <w:spacing w:after="0" w:line="279" w:lineRule="auto"/>
        <w:tabs>
          <w:tab w:leader="none" w:pos="428" w:val="left"/>
        </w:tabs>
        <w:numPr>
          <w:ilvl w:val="0"/>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Finance Party may disclose to any national or international numbering service provider appointed by that Finance Party to provide identification numbering services in respect of this Agreement, the Facility and/or one or more Transaction Obligors the following information:</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names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country of domicile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place of formation of Transaction Obligors;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this Agreement;</w:t>
      </w:r>
    </w:p>
    <w:p>
      <w:pPr>
        <w:spacing w:after="0" w:line="148"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Clause 49 (</w:t>
      </w:r>
      <w:r>
        <w:rPr>
          <w:rFonts w:ascii="Times New Roman" w:cs="Times New Roman" w:eastAsia="Times New Roman" w:hAnsi="Times New Roman"/>
          <w:sz w:val="12"/>
          <w:szCs w:val="12"/>
          <w:i w:val="1"/>
          <w:iCs w:val="1"/>
          <w:color w:val="auto"/>
        </w:rPr>
        <w:t>Governing Law</w:t>
      </w:r>
      <w:r>
        <w:rPr>
          <w:rFonts w:ascii="Times New Roman" w:cs="Times New Roman" w:eastAsia="Times New Roman" w:hAnsi="Times New Roman"/>
          <w:sz w:val="12"/>
          <w:szCs w:val="12"/>
          <w:color w:val="auto"/>
        </w:rPr>
        <w:t>);</w:t>
      </w:r>
    </w:p>
    <w:p>
      <w:pPr>
        <w:spacing w:after="0" w:line="152"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names of the Facility Agent;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date of each amendment and restatement of this Agreement;</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of Total Commitments;</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currency of the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type of Facility;</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07" w:right="299" w:bottom="1440" w:gutter="0" w:footer="0" w:header="0"/>
        </w:sectPr>
      </w:pPr>
    </w:p>
    <w:bookmarkStart w:id="544" w:name="page545"/>
    <w:bookmarkEnd w:id="544"/>
    <w:p>
      <w:pPr>
        <w:ind w:left="848" w:hanging="425"/>
        <w:spacing w:after="0"/>
        <w:tabs>
          <w:tab w:leader="none" w:pos="848"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ranking of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Termination Date for Facility;</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to any of the information previously supplied pursuant to sub-paragraphs (i) to (xii) above; and</w:t>
      </w:r>
    </w:p>
    <w:p>
      <w:pPr>
        <w:spacing w:after="0" w:line="150"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0"/>
          <w:numId w:val="101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such other information agreed between such Finance Party and the Borrowers,</w:t>
      </w:r>
    </w:p>
    <w:p>
      <w:pPr>
        <w:spacing w:after="0" w:line="150"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to enable such numbering service provider to provide its usual syndicated loan numbering identification services.</w:t>
      </w:r>
    </w:p>
    <w:p>
      <w:pPr>
        <w:spacing w:after="0" w:line="150" w:lineRule="exact"/>
        <w:rPr>
          <w:sz w:val="20"/>
          <w:szCs w:val="20"/>
          <w:color w:val="auto"/>
        </w:rPr>
      </w:pPr>
    </w:p>
    <w:p>
      <w:pPr>
        <w:ind w:left="428" w:hanging="428"/>
        <w:spacing w:after="0" w:line="279" w:lineRule="auto"/>
        <w:tabs>
          <w:tab w:leader="none" w:pos="428" w:val="left"/>
        </w:tabs>
        <w:numPr>
          <w:ilvl w:val="0"/>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Parties acknowledge and agree that each identification number assigned to this Agreement, the Facility and/or one or more Transaction Obligors by a numbering service provider and the information associated with each such number may be disclosed to users of its services in accordance with the standard terms and conditions of that numbering service provider.</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0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Each Obligor represents, on behalf of itself and the other Transaction Obligors, that none of the information set out in sub-paragraphs (i) to (xiv) of paragraph (a) above is, nor will at any time be, unpublished price-sensitive information.</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46.4</w:t>
      </w:r>
      <w:r>
        <w:rPr>
          <w:sz w:val="20"/>
          <w:szCs w:val="20"/>
          <w:color w:val="auto"/>
        </w:rPr>
        <w:tab/>
      </w:r>
      <w:r>
        <w:rPr>
          <w:rFonts w:ascii="Times New Roman" w:cs="Times New Roman" w:eastAsia="Times New Roman" w:hAnsi="Times New Roman"/>
          <w:sz w:val="11"/>
          <w:szCs w:val="11"/>
          <w:b w:val="1"/>
          <w:bCs w:val="1"/>
          <w:color w:val="auto"/>
        </w:rPr>
        <w:t>Entire agreement</w:t>
      </w:r>
    </w:p>
    <w:p>
      <w:pPr>
        <w:spacing w:after="0" w:line="152" w:lineRule="exact"/>
        <w:rPr>
          <w:sz w:val="20"/>
          <w:szCs w:val="20"/>
          <w:color w:val="auto"/>
        </w:rPr>
      </w:pPr>
    </w:p>
    <w:p>
      <w:pPr>
        <w:ind w:left="428" w:right="20"/>
        <w:spacing w:after="0" w:line="283" w:lineRule="auto"/>
        <w:rPr>
          <w:sz w:val="20"/>
          <w:szCs w:val="20"/>
          <w:color w:val="auto"/>
        </w:rPr>
      </w:pPr>
      <w:r>
        <w:rPr>
          <w:rFonts w:ascii="Times New Roman" w:cs="Times New Roman" w:eastAsia="Times New Roman" w:hAnsi="Times New Roman"/>
          <w:sz w:val="12"/>
          <w:szCs w:val="12"/>
          <w:color w:val="auto"/>
        </w:rPr>
        <w:t>This Clause 46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46.5</w:t>
      </w:r>
      <w:r>
        <w:rPr>
          <w:sz w:val="20"/>
          <w:szCs w:val="20"/>
          <w:color w:val="auto"/>
        </w:rPr>
        <w:tab/>
      </w:r>
      <w:r>
        <w:rPr>
          <w:rFonts w:ascii="Times New Roman" w:cs="Times New Roman" w:eastAsia="Times New Roman" w:hAnsi="Times New Roman"/>
          <w:sz w:val="12"/>
          <w:szCs w:val="12"/>
          <w:b w:val="1"/>
          <w:bCs w:val="1"/>
          <w:color w:val="auto"/>
        </w:rPr>
        <w:t>Inside information</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07"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46.6</w:t>
      </w:r>
      <w:r>
        <w:rPr>
          <w:sz w:val="20"/>
          <w:szCs w:val="20"/>
          <w:color w:val="auto"/>
        </w:rPr>
        <w:tab/>
      </w:r>
      <w:r>
        <w:rPr>
          <w:rFonts w:ascii="Times New Roman" w:cs="Times New Roman" w:eastAsia="Times New Roman" w:hAnsi="Times New Roman"/>
          <w:sz w:val="11"/>
          <w:szCs w:val="11"/>
          <w:b w:val="1"/>
          <w:bCs w:val="1"/>
          <w:color w:val="auto"/>
        </w:rPr>
        <w:t>Notification of disclosure</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Each of the Finance Parties agrees (to the extent permitted by law and regulation) to inform the Borrowers:</w:t>
      </w:r>
    </w:p>
    <w:p>
      <w:pPr>
        <w:spacing w:after="0" w:line="148" w:lineRule="exact"/>
        <w:rPr>
          <w:sz w:val="20"/>
          <w:szCs w:val="20"/>
          <w:color w:val="auto"/>
        </w:rPr>
      </w:pPr>
    </w:p>
    <w:p>
      <w:pPr>
        <w:ind w:left="428" w:hanging="428"/>
        <w:spacing w:after="0" w:line="283" w:lineRule="auto"/>
        <w:tabs>
          <w:tab w:leader="none" w:pos="428" w:val="left"/>
        </w:tabs>
        <w:numPr>
          <w:ilvl w:val="0"/>
          <w:numId w:val="10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circumstances of any disclosure of Confidential Information made pursuant to sub-paragraph (v) of paragraph (b) of Clause 46.2 (</w:t>
      </w:r>
      <w:r>
        <w:rPr>
          <w:rFonts w:ascii="Times New Roman" w:cs="Times New Roman" w:eastAsia="Times New Roman" w:hAnsi="Times New Roman"/>
          <w:sz w:val="12"/>
          <w:szCs w:val="12"/>
          <w:i w:val="1"/>
          <w:iCs w:val="1"/>
          <w:color w:val="auto"/>
        </w:rPr>
        <w:t>Disclosure of Confidential Information</w:t>
      </w:r>
      <w:r>
        <w:rPr>
          <w:rFonts w:ascii="Times New Roman" w:cs="Times New Roman" w:eastAsia="Times New Roman" w:hAnsi="Times New Roman"/>
          <w:sz w:val="12"/>
          <w:szCs w:val="12"/>
          <w:color w:val="auto"/>
        </w:rPr>
        <w:t>) except where such disclosure is made to any of the persons referred to in that paragraph during the ordinary course of its supervisory or regulatory function; and</w:t>
      </w:r>
    </w:p>
    <w:p>
      <w:pPr>
        <w:spacing w:after="0" w:line="106"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upon becoming aware that Confidential Information has been disclosed in breach of this Clause 46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4" w:right="299" w:bottom="1440" w:gutter="0" w:footer="0" w:header="0"/>
        </w:sectPr>
      </w:pPr>
    </w:p>
    <w:bookmarkStart w:id="545" w:name="page546"/>
    <w:bookmarkEnd w:id="545"/>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46.7</w:t>
      </w:r>
      <w:r>
        <w:rPr>
          <w:sz w:val="20"/>
          <w:szCs w:val="20"/>
          <w:color w:val="auto"/>
        </w:rPr>
        <w:tab/>
      </w:r>
      <w:r>
        <w:rPr>
          <w:rFonts w:ascii="Times New Roman" w:cs="Times New Roman" w:eastAsia="Times New Roman" w:hAnsi="Times New Roman"/>
          <w:sz w:val="11"/>
          <w:szCs w:val="11"/>
          <w:b w:val="1"/>
          <w:bCs w:val="1"/>
          <w:color w:val="auto"/>
        </w:rPr>
        <w:t>Continuing obligations</w:t>
      </w:r>
    </w:p>
    <w:p>
      <w:pPr>
        <w:spacing w:after="0" w:line="152"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The obligations in this Clause 46 (</w:t>
      </w:r>
      <w:r>
        <w:rPr>
          <w:rFonts w:ascii="Times New Roman" w:cs="Times New Roman" w:eastAsia="Times New Roman" w:hAnsi="Times New Roman"/>
          <w:sz w:val="12"/>
          <w:szCs w:val="12"/>
          <w:i w:val="1"/>
          <w:iCs w:val="1"/>
          <w:color w:val="auto"/>
        </w:rPr>
        <w:t>Confidential Information</w:t>
      </w:r>
      <w:r>
        <w:rPr>
          <w:rFonts w:ascii="Times New Roman" w:cs="Times New Roman" w:eastAsia="Times New Roman" w:hAnsi="Times New Roman"/>
          <w:sz w:val="12"/>
          <w:szCs w:val="12"/>
          <w:color w:val="auto"/>
        </w:rPr>
        <w:t>) are continuing and, in particular, shall survive and remain binding on each Finance Party for a period of 12 months from the earlier of:</w:t>
      </w:r>
    </w:p>
    <w:p>
      <w:pPr>
        <w:spacing w:after="0" w:line="152" w:lineRule="exact"/>
        <w:rPr>
          <w:sz w:val="20"/>
          <w:szCs w:val="20"/>
          <w:color w:val="auto"/>
        </w:rPr>
      </w:pPr>
    </w:p>
    <w:p>
      <w:pPr>
        <w:ind w:left="428" w:hanging="428"/>
        <w:spacing w:after="0"/>
        <w:tabs>
          <w:tab w:leader="none" w:pos="428" w:val="left"/>
        </w:tabs>
        <w:numPr>
          <w:ilvl w:val="0"/>
          <w:numId w:val="10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all amounts payable by the Obligors under or in connection with this Agreement have been paid in full and all Commitments have been cancelled or otherwise cease to be available;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date on which such Finance Party otherwise ceases to be a Finance Party.</w:t>
      </w:r>
    </w:p>
    <w:p>
      <w:pPr>
        <w:spacing w:after="0" w:line="146" w:lineRule="exact"/>
        <w:rPr>
          <w:sz w:val="20"/>
          <w:szCs w:val="20"/>
          <w:color w:val="auto"/>
        </w:rPr>
      </w:pPr>
    </w:p>
    <w:p>
      <w:pPr>
        <w:ind w:left="428" w:hanging="428"/>
        <w:spacing w:after="0"/>
        <w:tabs>
          <w:tab w:leader="none" w:pos="428" w:val="left"/>
        </w:tabs>
        <w:numPr>
          <w:ilvl w:val="0"/>
          <w:numId w:val="10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COUNTERPARTS</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Each Finance Document may be executed in any number of counterparts, and this has the same effect as if the signatures on the counterparts were on a single copy of the Finance Document.</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0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ELECTRONIC EXECUTION</w:t>
      </w:r>
    </w:p>
    <w:p>
      <w:pPr>
        <w:spacing w:after="0" w:line="150" w:lineRule="exact"/>
        <w:rPr>
          <w:rFonts w:ascii="Times New Roman" w:cs="Times New Roman" w:eastAsia="Times New Roman" w:hAnsi="Times New Roman"/>
          <w:sz w:val="12"/>
          <w:szCs w:val="12"/>
          <w:b w:val="1"/>
          <w:bCs w:val="1"/>
          <w:color w:val="auto"/>
        </w:rPr>
      </w:pPr>
    </w:p>
    <w:p>
      <w:pPr>
        <w:jc w:val="both"/>
        <w:ind w:left="428"/>
        <w:spacing w:after="0" w:line="262" w:lineRule="auto"/>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may be executed and delivered by facsimile signature or other electronic or digital means (including without limitation portable document format ("</w:t>
      </w:r>
      <w:r>
        <w:rPr>
          <w:rFonts w:ascii="Times New Roman" w:cs="Times New Roman" w:eastAsia="Times New Roman" w:hAnsi="Times New Roman"/>
          <w:sz w:val="12"/>
          <w:szCs w:val="12"/>
          <w:b w:val="1"/>
          <w:bCs w:val="1"/>
          <w:color w:val="auto"/>
        </w:rPr>
        <w:t>PDF</w:t>
      </w:r>
      <w:r>
        <w:rPr>
          <w:rFonts w:ascii="Times New Roman" w:cs="Times New Roman" w:eastAsia="Times New Roman" w:hAnsi="Times New Roman"/>
          <w:sz w:val="12"/>
          <w:szCs w:val="12"/>
          <w:color w:val="auto"/>
        </w:rPr>
        <w:t>")). Any such signature shall be of the same force and effect as an original signature, it being the express intent of the Parties to create a valid and legally enforceable contract between them. The exchange and delivery of this Agreement via facsimile or as an attachment to electronic mail (including in PDF) shall constitute effective execution and delivery by the Parties and may be used by the Parties for all purposes. Notwithstanding the foregoing, at the request of either Party, the Parties hereto agree to exchange inked original replacement signature pages as soon thereafter as reasonably practicable.</w:t>
      </w:r>
    </w:p>
    <w:p>
      <w:pPr>
        <w:spacing w:after="0" w:line="12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159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1" w:right="299" w:bottom="1440" w:gutter="0" w:footer="0" w:header="0"/>
        </w:sectPr>
      </w:pPr>
    </w:p>
    <w:bookmarkStart w:id="546" w:name="page547"/>
    <w:bookmarkEnd w:id="546"/>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SECTION 12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GOVERNING LAW AND ENFORCEMENT</w:t>
      </w:r>
    </w:p>
    <w:p>
      <w:pPr>
        <w:spacing w:after="0" w:line="150" w:lineRule="exact"/>
        <w:rPr>
          <w:sz w:val="20"/>
          <w:szCs w:val="20"/>
          <w:color w:val="auto"/>
        </w:rPr>
      </w:pPr>
    </w:p>
    <w:p>
      <w:pPr>
        <w:ind w:left="428" w:hanging="428"/>
        <w:spacing w:after="0"/>
        <w:tabs>
          <w:tab w:leader="none" w:pos="428" w:val="left"/>
        </w:tabs>
        <w:numPr>
          <w:ilvl w:val="0"/>
          <w:numId w:val="10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GOVERNING LAW</w:t>
      </w:r>
    </w:p>
    <w:p>
      <w:pPr>
        <w:spacing w:after="0" w:line="154" w:lineRule="exact"/>
        <w:rPr>
          <w:rFonts w:ascii="Times New Roman" w:cs="Times New Roman" w:eastAsia="Times New Roman" w:hAnsi="Times New Roman"/>
          <w:sz w:val="12"/>
          <w:szCs w:val="12"/>
          <w:b w:val="1"/>
          <w:bCs w:val="1"/>
          <w:color w:val="auto"/>
        </w:rPr>
      </w:pPr>
    </w:p>
    <w:p>
      <w:pPr>
        <w:ind w:left="428"/>
        <w:spacing w:after="0"/>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color w:val="auto"/>
        </w:rPr>
        <w:t>This Agreement and any non-contractual obligations arising out of or in connection with it are governed by English law.</w:t>
      </w:r>
    </w:p>
    <w:p>
      <w:pPr>
        <w:spacing w:after="0" w:line="146" w:lineRule="exact"/>
        <w:rPr>
          <w:rFonts w:ascii="Times New Roman" w:cs="Times New Roman" w:eastAsia="Times New Roman" w:hAnsi="Times New Roman"/>
          <w:sz w:val="12"/>
          <w:szCs w:val="12"/>
          <w:b w:val="1"/>
          <w:bCs w:val="1"/>
          <w:color w:val="auto"/>
        </w:rPr>
      </w:pPr>
    </w:p>
    <w:p>
      <w:pPr>
        <w:ind w:left="428" w:hanging="428"/>
        <w:spacing w:after="0"/>
        <w:tabs>
          <w:tab w:leader="none" w:pos="428" w:val="left"/>
        </w:tabs>
        <w:numPr>
          <w:ilvl w:val="0"/>
          <w:numId w:val="101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ENFORCEMENT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50.1</w:t>
      </w:r>
      <w:r>
        <w:rPr>
          <w:sz w:val="20"/>
          <w:szCs w:val="20"/>
          <w:color w:val="auto"/>
        </w:rPr>
        <w:tab/>
      </w:r>
      <w:r>
        <w:rPr>
          <w:rFonts w:ascii="Times New Roman" w:cs="Times New Roman" w:eastAsia="Times New Roman" w:hAnsi="Times New Roman"/>
          <w:sz w:val="11"/>
          <w:szCs w:val="11"/>
          <w:b w:val="1"/>
          <w:bCs w:val="1"/>
          <w:color w:val="auto"/>
        </w:rPr>
        <w:t>Jurisdiction</w:t>
      </w:r>
    </w:p>
    <w:p>
      <w:pPr>
        <w:spacing w:after="0" w:line="154" w:lineRule="exact"/>
        <w:rPr>
          <w:sz w:val="20"/>
          <w:szCs w:val="20"/>
          <w:color w:val="auto"/>
        </w:rPr>
      </w:pPr>
    </w:p>
    <w:p>
      <w:pPr>
        <w:ind w:left="428" w:hanging="428"/>
        <w:spacing w:after="0" w:line="279" w:lineRule="auto"/>
        <w:tabs>
          <w:tab w:leader="none" w:pos="428" w:val="left"/>
        </w:tabs>
        <w:numPr>
          <w:ilvl w:val="0"/>
          <w:numId w:val="10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Unless specifically provided in another Finance Document in relation to that Finance Document, the courts of England have exclusive jurisdiction to settle any dispute arising out of or in connection with any Finance Document (including a dispute regarding the existence, validity or termination of any Finance Document or any non-contractual obligation arising out of or in connection with any Finance Document) (a "</w:t>
      </w:r>
      <w:r>
        <w:rPr>
          <w:rFonts w:ascii="Times New Roman" w:cs="Times New Roman" w:eastAsia="Times New Roman" w:hAnsi="Times New Roman"/>
          <w:sz w:val="12"/>
          <w:szCs w:val="12"/>
          <w:b w:val="1"/>
          <w:bCs w:val="1"/>
          <w:color w:val="auto"/>
        </w:rPr>
        <w:t>Dispute</w:t>
      </w:r>
      <w:r>
        <w:rPr>
          <w:rFonts w:ascii="Times New Roman" w:cs="Times New Roman" w:eastAsia="Times New Roman" w:hAnsi="Times New Roman"/>
          <w:sz w:val="12"/>
          <w:szCs w:val="12"/>
          <w:color w:val="auto"/>
        </w:rPr>
        <w: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Obligors accept that the courts of England are the most appropriate and convenient courts to settle Disputes and accordingly no Obligor will argue to the contrary.</w:t>
      </w:r>
    </w:p>
    <w:p>
      <w:pPr>
        <w:spacing w:after="0" w:line="148" w:lineRule="exact"/>
        <w:rPr>
          <w:rFonts w:ascii="Times New Roman" w:cs="Times New Roman" w:eastAsia="Times New Roman" w:hAnsi="Times New Roman"/>
          <w:sz w:val="12"/>
          <w:szCs w:val="12"/>
          <w:color w:val="auto"/>
        </w:rPr>
      </w:pPr>
    </w:p>
    <w:p>
      <w:pPr>
        <w:ind w:left="428" w:hanging="428"/>
        <w:spacing w:after="0" w:line="283" w:lineRule="auto"/>
        <w:tabs>
          <w:tab w:leader="none" w:pos="428" w:val="left"/>
        </w:tabs>
        <w:numPr>
          <w:ilvl w:val="0"/>
          <w:numId w:val="101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the extent allowed by law, this Clause 50.1 (</w:t>
      </w:r>
      <w:r>
        <w:rPr>
          <w:rFonts w:ascii="Times New Roman" w:cs="Times New Roman" w:eastAsia="Times New Roman" w:hAnsi="Times New Roman"/>
          <w:sz w:val="12"/>
          <w:szCs w:val="12"/>
          <w:i w:val="1"/>
          <w:iCs w:val="1"/>
          <w:color w:val="auto"/>
        </w:rPr>
        <w:t>Jurisdiction</w:t>
      </w:r>
      <w:r>
        <w:rPr>
          <w:rFonts w:ascii="Times New Roman" w:cs="Times New Roman" w:eastAsia="Times New Roman" w:hAnsi="Times New Roman"/>
          <w:sz w:val="12"/>
          <w:szCs w:val="12"/>
          <w:color w:val="auto"/>
        </w:rPr>
        <w:t>) is for the benefit of the Secured Parties only. As a result, no Secured Party shall be prevented from taking proceedings relating to a Dispute in any other courts with jurisdiction. To the extent allowed by law, the Secured Parties may take concurrent proceedings in any number of jurisdictions.</w:t>
      </w:r>
    </w:p>
    <w:p>
      <w:pPr>
        <w:spacing w:after="0" w:line="105"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b w:val="1"/>
          <w:bCs w:val="1"/>
          <w:color w:val="auto"/>
        </w:rPr>
        <w:t>50.2</w:t>
      </w:r>
      <w:r>
        <w:rPr>
          <w:sz w:val="20"/>
          <w:szCs w:val="20"/>
          <w:color w:val="auto"/>
        </w:rPr>
        <w:tab/>
      </w:r>
      <w:r>
        <w:rPr>
          <w:rFonts w:ascii="Times New Roman" w:cs="Times New Roman" w:eastAsia="Times New Roman" w:hAnsi="Times New Roman"/>
          <w:sz w:val="11"/>
          <w:szCs w:val="11"/>
          <w:b w:val="1"/>
          <w:bCs w:val="1"/>
          <w:color w:val="auto"/>
        </w:rPr>
        <w:t>Service of process</w:t>
      </w:r>
    </w:p>
    <w:p>
      <w:pPr>
        <w:spacing w:after="0" w:line="154" w:lineRule="exact"/>
        <w:rPr>
          <w:sz w:val="20"/>
          <w:szCs w:val="20"/>
          <w:color w:val="auto"/>
        </w:rPr>
      </w:pPr>
    </w:p>
    <w:p>
      <w:pPr>
        <w:ind w:left="428" w:hanging="428"/>
        <w:spacing w:after="0"/>
        <w:tabs>
          <w:tab w:leader="none" w:pos="428" w:val="left"/>
        </w:tabs>
        <w:numPr>
          <w:ilvl w:val="0"/>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Without prejudice to any other mode of service allowed under any relevant law, each Obligor:</w:t>
      </w:r>
    </w:p>
    <w:p>
      <w:pPr>
        <w:spacing w:after="0" w:line="150" w:lineRule="exact"/>
        <w:rPr>
          <w:rFonts w:ascii="Times New Roman" w:cs="Times New Roman" w:eastAsia="Times New Roman" w:hAnsi="Times New Roman"/>
          <w:sz w:val="12"/>
          <w:szCs w:val="12"/>
          <w:color w:val="auto"/>
        </w:rPr>
      </w:pPr>
    </w:p>
    <w:p>
      <w:pPr>
        <w:ind w:left="848" w:right="20" w:hanging="425"/>
        <w:spacing w:after="0" w:line="279" w:lineRule="auto"/>
        <w:tabs>
          <w:tab w:leader="none" w:pos="848" w:val="left"/>
        </w:tabs>
        <w:numPr>
          <w:ilvl w:val="1"/>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irrevocably appoints Saville &amp; Co., currently at 11 Old Jewry, London EC2R 8DU, United Kingdom, as its agent for service of process in relation to any proceedings before the English courts in connection with any Finance Document; and</w:t>
      </w:r>
    </w:p>
    <w:p>
      <w:pPr>
        <w:spacing w:after="0" w:line="111" w:lineRule="exact"/>
        <w:rPr>
          <w:rFonts w:ascii="Times New Roman" w:cs="Times New Roman" w:eastAsia="Times New Roman" w:hAnsi="Times New Roman"/>
          <w:sz w:val="12"/>
          <w:szCs w:val="12"/>
          <w:color w:val="auto"/>
        </w:rPr>
      </w:pPr>
    </w:p>
    <w:p>
      <w:pPr>
        <w:ind w:left="848" w:hanging="425"/>
        <w:spacing w:after="0"/>
        <w:tabs>
          <w:tab w:leader="none" w:pos="848" w:val="left"/>
        </w:tabs>
        <w:numPr>
          <w:ilvl w:val="1"/>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agrees that failure by a process agent to notify the relevant Obligor of the process will not invalidate the proceedings concerned.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0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any person appointed as an agent for service of process is unable for any reason to act as agent for service of process, the Borrowers (on behalf of all the Obligors) must immediately (and in any event within three days of such event taking place) appoint another agent on terms acceptable to the Facility Agent. Failing this, the Facility Agent may appoint another agent for this purpose.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This Agreement has been entered into on the date stated at the beginning of this Agreement.</w:t>
      </w:r>
    </w:p>
    <w:p>
      <w:pPr>
        <w:spacing w:after="0" w:line="154"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160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547" w:name="page548"/>
    <w:bookmarkEnd w:id="547"/>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1</w:t>
      </w: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THE PARTIES</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THE OBLIGORS</w:t>
      </w:r>
    </w:p>
    <w:p>
      <w:pPr>
        <w:sectPr>
          <w:pgSz w:w="11900" w:h="16838" w:orient="portrait"/>
          <w:cols w:equalWidth="0" w:num="1">
            <w:col w:w="11300"/>
          </w:cols>
          <w:pgMar w:left="300" w:top="575" w:right="29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Borrower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Name of Borrower</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Place of Formation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Address for Communication</w:t>
      </w:r>
    </w:p>
    <w:p>
      <w:pPr>
        <w:spacing w:after="0" w:line="165" w:lineRule="exact"/>
        <w:rPr>
          <w:sz w:val="20"/>
          <w:szCs w:val="20"/>
          <w:color w:val="auto"/>
        </w:rPr>
      </w:pPr>
    </w:p>
    <w:p>
      <w:pPr>
        <w:sectPr>
          <w:pgSz w:w="11900" w:h="16838" w:orient="portrait"/>
          <w:cols w:equalWidth="0" w:num="4">
            <w:col w:w="1200" w:space="720"/>
            <w:col w:w="1220" w:space="720"/>
            <w:col w:w="2320" w:space="720"/>
            <w:col w:w="4400"/>
          </w:cols>
          <w:pgMar w:left="300" w:top="575" w:right="2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Borrower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2"/>
          <w:szCs w:val="12"/>
          <w:color w:val="auto"/>
        </w:rPr>
        <w:t>Zeus One Marine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Marshall Islands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1"/>
          <w:szCs w:val="11"/>
          <w:color w:val="auto"/>
        </w:rPr>
        <w:t>c/o Technomar Shipping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ectPr>
          <w:pgSz w:w="11900" w:h="16838" w:orient="portrait"/>
          <w:cols w:equalWidth="0" w:num="4">
            <w:col w:w="1200" w:space="720"/>
            <w:col w:w="1220" w:space="720"/>
            <w:col w:w="2320" w:space="720"/>
            <w:col w:w="4400"/>
          </w:cols>
          <w:pgMar w:left="300" w:top="575" w:right="299" w:bottom="1440" w:gutter="0" w:footer="0" w:header="0"/>
          <w:type w:val="continuous"/>
        </w:sectPr>
      </w:pPr>
    </w:p>
    <w:p>
      <w:pPr>
        <w:ind w:left="6900"/>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ectPr>
          <w:pgSz w:w="11900" w:h="16838" w:orient="portrait"/>
          <w:cols w:equalWidth="0" w:num="1">
            <w:col w:w="11300"/>
          </w:cols>
          <w:pgMar w:left="300" w:top="575" w:right="29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Borrower B</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Hephaestus Marine LLC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Marshall Islands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 Technomar Shipping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ectPr>
          <w:pgSz w:w="11900" w:h="16838" w:orient="portrait"/>
          <w:cols w:equalWidth="0" w:num="4">
            <w:col w:w="1200" w:space="720"/>
            <w:col w:w="1220" w:space="720"/>
            <w:col w:w="2320" w:space="720"/>
            <w:col w:w="4400"/>
          </w:cols>
          <w:pgMar w:left="300" w:top="575" w:right="299" w:bottom="1440" w:gutter="0" w:footer="0" w:header="0"/>
          <w:type w:val="continuous"/>
        </w:sectPr>
      </w:pPr>
    </w:p>
    <w:p>
      <w:pPr>
        <w:ind w:left="6900"/>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ectPr>
          <w:pgSz w:w="11900" w:h="16838" w:orient="portrait"/>
          <w:cols w:equalWidth="0" w:num="1">
            <w:col w:w="11300"/>
          </w:cols>
          <w:pgMar w:left="300" w:top="575" w:right="299" w:bottom="1440" w:gutter="0" w:footer="0" w:header="0"/>
          <w:type w:val="continuous"/>
        </w:sect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Borrower 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Pericles Marine LLC</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Marshall Islands</w:t>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 Technomar Shipping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3-5 Menandrou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145 61 Kifissia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Greece</w:t>
      </w:r>
    </w:p>
    <w:p>
      <w:pPr>
        <w:spacing w:after="0" w:line="139" w:lineRule="exact"/>
        <w:rPr>
          <w:sz w:val="20"/>
          <w:szCs w:val="20"/>
          <w:color w:val="auto"/>
        </w:rPr>
      </w:pPr>
    </w:p>
    <w:p>
      <w:pPr>
        <w:sectPr>
          <w:pgSz w:w="11900" w:h="16838" w:orient="portrait"/>
          <w:cols w:equalWidth="0" w:num="4">
            <w:col w:w="1200" w:space="720"/>
            <w:col w:w="1220" w:space="720"/>
            <w:col w:w="2320" w:space="720"/>
            <w:col w:w="4400"/>
          </w:cols>
          <w:pgMar w:left="300" w:top="575" w:right="299" w:bottom="1440" w:gutter="0" w:footer="0" w:header="0"/>
          <w:type w:val="continuous"/>
        </w:sectPr>
      </w:pPr>
    </w:p>
    <w:p>
      <w:pPr>
        <w:ind w:left="6900"/>
        <w:spacing w:after="0"/>
        <w:rPr>
          <w:sz w:val="20"/>
          <w:szCs w:val="20"/>
          <w:color w:val="auto"/>
        </w:rPr>
      </w:pPr>
      <w:r>
        <w:rPr>
          <w:rFonts w:ascii="Times New Roman" w:cs="Times New Roman" w:eastAsia="Times New Roman" w:hAnsi="Times New Roman"/>
          <w:sz w:val="12"/>
          <w:szCs w:val="12"/>
          <w:color w:val="auto"/>
        </w:rPr>
        <w:t>Fax no: +30 210 80 84 224</w:t>
      </w:r>
    </w:p>
    <w:p>
      <w:pPr>
        <w:spacing w:after="0" w:line="17"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1"/>
          <w:szCs w:val="11"/>
          <w:color w:val="auto"/>
        </w:rPr>
        <w:t>Email: legalconfidential@technomar.gr with a copy to: finance@technomar.gr</w:t>
      </w:r>
    </w:p>
    <w:p>
      <w:pPr>
        <w:sectPr>
          <w:pgSz w:w="11900" w:h="16838" w:orient="portrait"/>
          <w:cols w:equalWidth="0" w:num="1">
            <w:col w:w="11300"/>
          </w:cols>
          <w:pgMar w:left="300" w:top="575"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161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type w:val="continuous"/>
        </w:sectPr>
      </w:pPr>
    </w:p>
    <w:bookmarkStart w:id="548" w:name="page549"/>
    <w:bookmarkEnd w:id="548"/>
    <w:tbl>
      <w:tblPr>
        <w:tblLayout w:type="fixed"/>
        <w:tblInd w:w="0" w:type="dxa"/>
        <w:tblCellMar>
          <w:top w:w="0" w:type="dxa"/>
          <w:left w:w="0" w:type="dxa"/>
          <w:bottom w:w="0" w:type="dxa"/>
          <w:right w:w="0" w:type="dxa"/>
        </w:tblCellMar>
      </w:tblPr>
      <w:tr>
        <w:trPr>
          <w:trHeight w:val="144"/>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D</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55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E</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57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565"/>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F</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58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 Email: legalconfidential@technomar.gr with a copy to:</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finance@technomar.gr</w:t>
            </w:r>
          </w:p>
        </w:tc>
      </w:tr>
      <w:tr>
        <w:trPr>
          <w:trHeight w:val="565"/>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G</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59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504"/>
        </w:trPr>
        <w:tc>
          <w:tcPr>
            <w:tcW w:w="1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2"/>
                <w:szCs w:val="12"/>
                <w:color w:val="auto"/>
              </w:rPr>
              <w:t>162</w:t>
            </w:r>
          </w:p>
        </w:tc>
        <w:tc>
          <w:tcPr>
            <w:tcW w:w="49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8" w:right="299" w:bottom="1440" w:gutter="0" w:footer="0" w:header="0"/>
        </w:sectPr>
      </w:pPr>
    </w:p>
    <w:bookmarkStart w:id="549" w:name="page550"/>
    <w:bookmarkEnd w:id="5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H</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60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 Email: legalconfidential@technomar.gr with a copy to:</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finance@technomar.gr</w:t>
            </w:r>
          </w:p>
        </w:tc>
      </w:tr>
      <w:tr>
        <w:trPr>
          <w:trHeight w:val="565"/>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I</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61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J</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62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277"/>
        </w:trPr>
        <w:tc>
          <w:tcPr>
            <w:tcW w:w="1240" w:type="dxa"/>
            <w:vAlign w:val="bottom"/>
          </w:tcPr>
          <w:p>
            <w:pPr>
              <w:spacing w:after="0"/>
              <w:rPr>
                <w:sz w:val="20"/>
                <w:szCs w:val="20"/>
                <w:color w:val="auto"/>
              </w:rPr>
            </w:pPr>
            <w:r>
              <w:rPr>
                <w:rFonts w:ascii="Times New Roman" w:cs="Times New Roman" w:eastAsia="Times New Roman" w:hAnsi="Times New Roman"/>
                <w:sz w:val="12"/>
                <w:szCs w:val="12"/>
                <w:color w:val="auto"/>
              </w:rPr>
              <w:t>Borrower K</w:t>
            </w:r>
          </w:p>
        </w:tc>
        <w:tc>
          <w:tcPr>
            <w:tcW w:w="230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Global Ship Lease 63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4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792"/>
        </w:trPr>
        <w:tc>
          <w:tcPr>
            <w:tcW w:w="12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2"/>
                <w:szCs w:val="12"/>
                <w:color w:val="auto"/>
              </w:rPr>
              <w:t>163</w:t>
            </w:r>
          </w:p>
        </w:tc>
        <w:tc>
          <w:tcPr>
            <w:tcW w:w="49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9" w:right="299" w:bottom="1440" w:gutter="0" w:footer="0" w:header="0"/>
        </w:sectPr>
      </w:pPr>
    </w:p>
    <w:bookmarkStart w:id="550" w:name="page551"/>
    <w:bookmarkEnd w:id="5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Borrower L</w:t>
            </w:r>
          </w:p>
        </w:tc>
        <w:tc>
          <w:tcPr>
            <w:tcW w:w="228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Global Ship Lease 64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277"/>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Borrower M</w:t>
            </w:r>
          </w:p>
        </w:tc>
        <w:tc>
          <w:tcPr>
            <w:tcW w:w="228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Global Ship Lease 65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277"/>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Borrower N</w:t>
            </w:r>
          </w:p>
        </w:tc>
        <w:tc>
          <w:tcPr>
            <w:tcW w:w="228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Global Ship Lease 66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277"/>
        </w:trPr>
        <w:tc>
          <w:tcPr>
            <w:tcW w:w="1260" w:type="dxa"/>
            <w:vAlign w:val="bottom"/>
          </w:tcPr>
          <w:p>
            <w:pPr>
              <w:spacing w:after="0"/>
              <w:rPr>
                <w:sz w:val="20"/>
                <w:szCs w:val="20"/>
                <w:color w:val="auto"/>
              </w:rPr>
            </w:pPr>
            <w:r>
              <w:rPr>
                <w:rFonts w:ascii="Times New Roman" w:cs="Times New Roman" w:eastAsia="Times New Roman" w:hAnsi="Times New Roman"/>
                <w:sz w:val="12"/>
                <w:szCs w:val="12"/>
                <w:color w:val="auto"/>
              </w:rPr>
              <w:t>Borrower O</w:t>
            </w:r>
          </w:p>
        </w:tc>
        <w:tc>
          <w:tcPr>
            <w:tcW w:w="2280" w:type="dxa"/>
            <w:vAlign w:val="bottom"/>
          </w:tcPr>
          <w:p>
            <w:pPr>
              <w:ind w:left="660"/>
              <w:spacing w:after="0"/>
              <w:rPr>
                <w:sz w:val="20"/>
                <w:szCs w:val="20"/>
                <w:color w:val="auto"/>
              </w:rPr>
            </w:pPr>
            <w:r>
              <w:rPr>
                <w:rFonts w:ascii="Times New Roman" w:cs="Times New Roman" w:eastAsia="Times New Roman" w:hAnsi="Times New Roman"/>
                <w:sz w:val="12"/>
                <w:szCs w:val="12"/>
                <w:color w:val="auto"/>
              </w:rPr>
              <w:t>Global Ship Lease 72 LLC</w:t>
            </w:r>
          </w:p>
        </w:tc>
        <w:tc>
          <w:tcPr>
            <w:tcW w:w="278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26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55"/>
        </w:trPr>
        <w:tc>
          <w:tcPr>
            <w:tcW w:w="126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4980" w:type="dxa"/>
            <w:vAlign w:val="bottom"/>
          </w:tcPr>
          <w:p>
            <w:pPr>
              <w:ind w:left="580"/>
              <w:spacing w:after="0"/>
              <w:rPr>
                <w:sz w:val="20"/>
                <w:szCs w:val="20"/>
                <w:color w:val="auto"/>
              </w:rPr>
            </w:pPr>
            <w:r>
              <w:rPr>
                <w:rFonts w:ascii="Times New Roman" w:cs="Times New Roman" w:eastAsia="Times New Roman" w:hAnsi="Times New Roman"/>
                <w:sz w:val="12"/>
                <w:szCs w:val="12"/>
                <w:color w:val="auto"/>
              </w:rPr>
              <w:t>Email: legalconfidential@technomar.gr with a copy to: finance@technomar.gr</w:t>
            </w:r>
          </w:p>
        </w:tc>
      </w:tr>
      <w:tr>
        <w:trPr>
          <w:trHeight w:val="792"/>
        </w:trPr>
        <w:tc>
          <w:tcPr>
            <w:tcW w:w="12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2"/>
                <w:szCs w:val="12"/>
                <w:color w:val="auto"/>
              </w:rPr>
              <w:t>164</w:t>
            </w:r>
          </w:p>
        </w:tc>
        <w:tc>
          <w:tcPr>
            <w:tcW w:w="4980" w:type="dxa"/>
            <w:vAlign w:val="bottom"/>
            <w:tcBorders>
              <w:bottom w:val="single" w:sz="8" w:color="auto"/>
            </w:tcBorders>
          </w:tcPr>
          <w:p>
            <w:pPr>
              <w:ind w:left="388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8" w:right="299" w:bottom="1440" w:gutter="0" w:footer="0" w:header="0"/>
        </w:sectPr>
      </w:pPr>
    </w:p>
    <w:bookmarkStart w:id="551" w:name="page552"/>
    <w:bookmarkEnd w:id="5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Borrower P</w:t>
            </w:r>
          </w:p>
        </w:tc>
        <w:tc>
          <w:tcPr>
            <w:tcW w:w="20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Global Ship Lease 73 LLC</w:t>
            </w:r>
          </w:p>
        </w:tc>
        <w:tc>
          <w:tcPr>
            <w:tcW w:w="25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c/o Technomar Shipping Inc.</w:t>
            </w:r>
          </w:p>
        </w:tc>
        <w:tc>
          <w:tcPr>
            <w:tcW w:w="19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3-5 Menandrou Street</w:t>
            </w:r>
          </w:p>
        </w:tc>
        <w:tc>
          <w:tcPr>
            <w:tcW w:w="19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145 61 Kifissia</w:t>
            </w:r>
          </w:p>
        </w:tc>
        <w:tc>
          <w:tcPr>
            <w:tcW w:w="1900" w:type="dxa"/>
            <w:vAlign w:val="bottom"/>
          </w:tcPr>
          <w:p>
            <w:pPr>
              <w:spacing w:after="0"/>
              <w:rPr>
                <w:sz w:val="12"/>
                <w:szCs w:val="12"/>
                <w:color w:val="auto"/>
              </w:rPr>
            </w:pP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Greece</w:t>
            </w:r>
          </w:p>
        </w:tc>
        <w:tc>
          <w:tcPr>
            <w:tcW w:w="1900" w:type="dxa"/>
            <w:vAlign w:val="bottom"/>
          </w:tcPr>
          <w:p>
            <w:pPr>
              <w:spacing w:after="0"/>
              <w:rPr>
                <w:sz w:val="13"/>
                <w:szCs w:val="13"/>
                <w:color w:val="auto"/>
              </w:rPr>
            </w:pPr>
          </w:p>
        </w:tc>
      </w:tr>
      <w:tr>
        <w:trPr>
          <w:trHeight w:val="277"/>
        </w:trPr>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Fax no: +30 210 80 84 224</w:t>
            </w:r>
          </w:p>
        </w:tc>
        <w:tc>
          <w:tcPr>
            <w:tcW w:w="19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260" w:type="dxa"/>
            <w:vAlign w:val="bottom"/>
            <w:gridSpan w:val="2"/>
          </w:tcPr>
          <w:p>
            <w:pPr>
              <w:ind w:left="1880"/>
              <w:spacing w:after="0"/>
              <w:rPr>
                <w:sz w:val="20"/>
                <w:szCs w:val="20"/>
                <w:color w:val="auto"/>
              </w:rPr>
            </w:pPr>
            <w:r>
              <w:rPr>
                <w:rFonts w:ascii="Times New Roman" w:cs="Times New Roman" w:eastAsia="Times New Roman" w:hAnsi="Times New Roman"/>
                <w:sz w:val="12"/>
                <w:szCs w:val="12"/>
                <w:color w:val="auto"/>
              </w:rPr>
              <w:t>Email: legalconfidential@technomar.gr with a copy to:</w:t>
            </w: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finance@technomar.gr</w:t>
            </w:r>
          </w:p>
        </w:tc>
        <w:tc>
          <w:tcPr>
            <w:tcW w:w="1900" w:type="dxa"/>
            <w:vAlign w:val="bottom"/>
          </w:tcPr>
          <w:p>
            <w:pPr>
              <w:spacing w:after="0"/>
              <w:rPr>
                <w:sz w:val="13"/>
                <w:szCs w:val="13"/>
                <w:color w:val="auto"/>
              </w:rPr>
            </w:pPr>
          </w:p>
        </w:tc>
      </w:tr>
      <w:tr>
        <w:trPr>
          <w:trHeight w:val="421"/>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Borrower Q</w:t>
            </w:r>
          </w:p>
        </w:tc>
        <w:tc>
          <w:tcPr>
            <w:tcW w:w="20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Global Ship Lease 74 LLC</w:t>
            </w:r>
          </w:p>
        </w:tc>
        <w:tc>
          <w:tcPr>
            <w:tcW w:w="25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c/o Technomar Shipping Inc.</w:t>
            </w:r>
          </w:p>
        </w:tc>
        <w:tc>
          <w:tcPr>
            <w:tcW w:w="19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3-5 Menandrou Street</w:t>
            </w:r>
          </w:p>
        </w:tc>
        <w:tc>
          <w:tcPr>
            <w:tcW w:w="19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145 61 Kifissia</w:t>
            </w:r>
          </w:p>
        </w:tc>
        <w:tc>
          <w:tcPr>
            <w:tcW w:w="1900" w:type="dxa"/>
            <w:vAlign w:val="bottom"/>
          </w:tcPr>
          <w:p>
            <w:pPr>
              <w:spacing w:after="0"/>
              <w:rPr>
                <w:sz w:val="12"/>
                <w:szCs w:val="12"/>
                <w:color w:val="auto"/>
              </w:rPr>
            </w:pP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Greece</w:t>
            </w:r>
          </w:p>
        </w:tc>
        <w:tc>
          <w:tcPr>
            <w:tcW w:w="1900" w:type="dxa"/>
            <w:vAlign w:val="bottom"/>
          </w:tcPr>
          <w:p>
            <w:pPr>
              <w:spacing w:after="0"/>
              <w:rPr>
                <w:sz w:val="13"/>
                <w:szCs w:val="13"/>
                <w:color w:val="auto"/>
              </w:rPr>
            </w:pPr>
          </w:p>
        </w:tc>
      </w:tr>
      <w:tr>
        <w:trPr>
          <w:trHeight w:val="277"/>
        </w:trPr>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Fax no: +30 210 80 84 224</w:t>
            </w:r>
          </w:p>
        </w:tc>
        <w:tc>
          <w:tcPr>
            <w:tcW w:w="19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260" w:type="dxa"/>
            <w:vAlign w:val="bottom"/>
            <w:gridSpan w:val="2"/>
          </w:tcPr>
          <w:p>
            <w:pPr>
              <w:ind w:left="1880"/>
              <w:spacing w:after="0"/>
              <w:rPr>
                <w:sz w:val="20"/>
                <w:szCs w:val="20"/>
                <w:color w:val="auto"/>
              </w:rPr>
            </w:pPr>
            <w:r>
              <w:rPr>
                <w:rFonts w:ascii="Times New Roman" w:cs="Times New Roman" w:eastAsia="Times New Roman" w:hAnsi="Times New Roman"/>
                <w:sz w:val="12"/>
                <w:szCs w:val="12"/>
                <w:color w:val="auto"/>
              </w:rPr>
              <w:t>Email: legalconfidential@technomar.gr with a copy to:</w:t>
            </w: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finance@technomar.gr</w:t>
            </w:r>
          </w:p>
        </w:tc>
        <w:tc>
          <w:tcPr>
            <w:tcW w:w="1900" w:type="dxa"/>
            <w:vAlign w:val="bottom"/>
          </w:tcPr>
          <w:p>
            <w:pPr>
              <w:spacing w:after="0"/>
              <w:rPr>
                <w:sz w:val="13"/>
                <w:szCs w:val="13"/>
                <w:color w:val="auto"/>
              </w:rPr>
            </w:pPr>
          </w:p>
        </w:tc>
      </w:tr>
      <w:tr>
        <w:trPr>
          <w:trHeight w:val="421"/>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Borrower R</w:t>
            </w:r>
          </w:p>
        </w:tc>
        <w:tc>
          <w:tcPr>
            <w:tcW w:w="202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Global Ship Lease 75 LLC</w:t>
            </w:r>
          </w:p>
        </w:tc>
        <w:tc>
          <w:tcPr>
            <w:tcW w:w="250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Liberia</w:t>
            </w: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c/o Technomar Shipping Inc.</w:t>
            </w:r>
          </w:p>
        </w:tc>
        <w:tc>
          <w:tcPr>
            <w:tcW w:w="19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3-5 Menandrou Street</w:t>
            </w:r>
          </w:p>
        </w:tc>
        <w:tc>
          <w:tcPr>
            <w:tcW w:w="1900" w:type="dxa"/>
            <w:vAlign w:val="bottom"/>
          </w:tcPr>
          <w:p>
            <w:pPr>
              <w:spacing w:after="0"/>
              <w:rPr>
                <w:sz w:val="12"/>
                <w:szCs w:val="12"/>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145 61 Kifissia</w:t>
            </w:r>
          </w:p>
        </w:tc>
        <w:tc>
          <w:tcPr>
            <w:tcW w:w="1900" w:type="dxa"/>
            <w:vAlign w:val="bottom"/>
          </w:tcPr>
          <w:p>
            <w:pPr>
              <w:spacing w:after="0"/>
              <w:rPr>
                <w:sz w:val="12"/>
                <w:szCs w:val="12"/>
                <w:color w:val="auto"/>
              </w:rPr>
            </w:pP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Greece</w:t>
            </w:r>
          </w:p>
        </w:tc>
        <w:tc>
          <w:tcPr>
            <w:tcW w:w="1900" w:type="dxa"/>
            <w:vAlign w:val="bottom"/>
          </w:tcPr>
          <w:p>
            <w:pPr>
              <w:spacing w:after="0"/>
              <w:rPr>
                <w:sz w:val="13"/>
                <w:szCs w:val="13"/>
                <w:color w:val="auto"/>
              </w:rPr>
            </w:pPr>
          </w:p>
        </w:tc>
      </w:tr>
      <w:tr>
        <w:trPr>
          <w:trHeight w:val="277"/>
        </w:trPr>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Fax no: +30 210 80 84 224</w:t>
            </w:r>
          </w:p>
        </w:tc>
        <w:tc>
          <w:tcPr>
            <w:tcW w:w="1900" w:type="dxa"/>
            <w:vAlign w:val="bottom"/>
          </w:tcPr>
          <w:p>
            <w:pPr>
              <w:spacing w:after="0"/>
              <w:rPr>
                <w:sz w:val="24"/>
                <w:szCs w:val="24"/>
                <w:color w:val="auto"/>
              </w:rPr>
            </w:pP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260" w:type="dxa"/>
            <w:vAlign w:val="bottom"/>
            <w:gridSpan w:val="2"/>
          </w:tcPr>
          <w:p>
            <w:pPr>
              <w:ind w:left="1880"/>
              <w:spacing w:after="0"/>
              <w:rPr>
                <w:sz w:val="20"/>
                <w:szCs w:val="20"/>
                <w:color w:val="auto"/>
              </w:rPr>
            </w:pPr>
            <w:r>
              <w:rPr>
                <w:rFonts w:ascii="Times New Roman" w:cs="Times New Roman" w:eastAsia="Times New Roman" w:hAnsi="Times New Roman"/>
                <w:sz w:val="12"/>
                <w:szCs w:val="12"/>
                <w:color w:val="auto"/>
              </w:rPr>
              <w:t>Email: legalconfidential@technomar.gr with a copy to:</w:t>
            </w: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ind w:left="1880"/>
              <w:spacing w:after="0"/>
              <w:rPr>
                <w:sz w:val="20"/>
                <w:szCs w:val="20"/>
                <w:color w:val="auto"/>
              </w:rPr>
            </w:pPr>
            <w:r>
              <w:rPr>
                <w:rFonts w:ascii="Times New Roman" w:cs="Times New Roman" w:eastAsia="Times New Roman" w:hAnsi="Times New Roman"/>
                <w:sz w:val="12"/>
                <w:szCs w:val="12"/>
                <w:color w:val="auto"/>
              </w:rPr>
              <w:t>finance@technomar.gr</w:t>
            </w:r>
          </w:p>
        </w:tc>
        <w:tc>
          <w:tcPr>
            <w:tcW w:w="1900" w:type="dxa"/>
            <w:vAlign w:val="bottom"/>
          </w:tcPr>
          <w:p>
            <w:pPr>
              <w:spacing w:after="0"/>
              <w:rPr>
                <w:sz w:val="13"/>
                <w:szCs w:val="13"/>
                <w:color w:val="auto"/>
              </w:rPr>
            </w:pPr>
          </w:p>
        </w:tc>
      </w:tr>
      <w:tr>
        <w:trPr>
          <w:trHeight w:val="720"/>
        </w:trPr>
        <w:tc>
          <w:tcPr>
            <w:tcW w:w="1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Guarantor</w:t>
            </w:r>
          </w:p>
        </w:tc>
        <w:tc>
          <w:tcPr>
            <w:tcW w:w="4520" w:type="dxa"/>
            <w:vAlign w:val="bottom"/>
            <w:gridSpan w:val="2"/>
          </w:tcPr>
          <w:p>
            <w:pPr>
              <w:ind w:left="1660"/>
              <w:spacing w:after="0"/>
              <w:rPr>
                <w:sz w:val="20"/>
                <w:szCs w:val="20"/>
                <w:color w:val="auto"/>
              </w:rPr>
            </w:pPr>
            <w:r>
              <w:rPr>
                <w:rFonts w:ascii="Times New Roman" w:cs="Times New Roman" w:eastAsia="Times New Roman" w:hAnsi="Times New Roman"/>
                <w:sz w:val="12"/>
                <w:szCs w:val="12"/>
                <w:b w:val="1"/>
                <w:bCs w:val="1"/>
                <w:color w:val="auto"/>
              </w:rPr>
              <w:t>Place of Formation</w:t>
            </w:r>
          </w:p>
        </w:tc>
        <w:tc>
          <w:tcPr>
            <w:tcW w:w="3360" w:type="dxa"/>
            <w:vAlign w:val="bottom"/>
          </w:tcPr>
          <w:p>
            <w:pPr>
              <w:ind w:left="320"/>
              <w:spacing w:after="0"/>
              <w:rPr>
                <w:sz w:val="20"/>
                <w:szCs w:val="20"/>
                <w:color w:val="auto"/>
              </w:rPr>
            </w:pPr>
            <w:r>
              <w:rPr>
                <w:rFonts w:ascii="Times New Roman" w:cs="Times New Roman" w:eastAsia="Times New Roman" w:hAnsi="Times New Roman"/>
                <w:sz w:val="12"/>
                <w:szCs w:val="12"/>
                <w:b w:val="1"/>
                <w:bCs w:val="1"/>
                <w:color w:val="auto"/>
              </w:rPr>
              <w:t xml:space="preserve">Registration number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or equivalent, if any</w:t>
            </w:r>
            <w:r>
              <w:rPr>
                <w:rFonts w:ascii="Times New Roman" w:cs="Times New Roman" w:eastAsia="Times New Roman" w:hAnsi="Times New Roman"/>
                <w:sz w:val="12"/>
                <w:szCs w:val="12"/>
                <w:color w:val="auto"/>
              </w:rPr>
              <w:t>)</w:t>
            </w: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1520" w:type="dxa"/>
            <w:vAlign w:val="bottom"/>
          </w:tcPr>
          <w:p>
            <w:pPr>
              <w:spacing w:after="0"/>
              <w:rPr>
                <w:sz w:val="20"/>
                <w:szCs w:val="20"/>
                <w:color w:val="auto"/>
              </w:rPr>
            </w:pPr>
            <w:r>
              <w:rPr>
                <w:rFonts w:ascii="Times New Roman" w:cs="Times New Roman" w:eastAsia="Times New Roman" w:hAnsi="Times New Roman"/>
                <w:sz w:val="12"/>
                <w:szCs w:val="12"/>
                <w:color w:val="auto"/>
              </w:rPr>
              <w:t>Global Ship Lease, Inc.</w:t>
            </w:r>
          </w:p>
        </w:tc>
        <w:tc>
          <w:tcPr>
            <w:tcW w:w="4520" w:type="dxa"/>
            <w:vAlign w:val="bottom"/>
            <w:gridSpan w:val="2"/>
          </w:tcPr>
          <w:p>
            <w:pPr>
              <w:ind w:left="1660"/>
              <w:spacing w:after="0"/>
              <w:rPr>
                <w:sz w:val="20"/>
                <w:szCs w:val="20"/>
                <w:color w:val="auto"/>
              </w:rPr>
            </w:pPr>
            <w:r>
              <w:rPr>
                <w:rFonts w:ascii="Times New Roman" w:cs="Times New Roman" w:eastAsia="Times New Roman" w:hAnsi="Times New Roman"/>
                <w:sz w:val="12"/>
                <w:szCs w:val="12"/>
                <w:color w:val="auto"/>
              </w:rPr>
              <w:t>Marshall Islands</w:t>
            </w:r>
          </w:p>
        </w:tc>
        <w:tc>
          <w:tcPr>
            <w:tcW w:w="33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28891</w:t>
            </w: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c/o Technomar Shipping Inc.</w:t>
            </w: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3-5 Menandrou Street</w:t>
            </w: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145 61 Kifissia</w:t>
            </w: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Greece</w:t>
            </w:r>
          </w:p>
        </w:tc>
      </w:tr>
      <w:tr>
        <w:trPr>
          <w:trHeight w:val="277"/>
        </w:trPr>
        <w:tc>
          <w:tcPr>
            <w:tcW w:w="15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Fax no: +30 210 80 84 224</w:t>
            </w:r>
          </w:p>
        </w:tc>
      </w:tr>
      <w:tr>
        <w:trPr>
          <w:trHeight w:val="144"/>
        </w:trPr>
        <w:tc>
          <w:tcPr>
            <w:tcW w:w="15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Email: mdanezi@technomar.gr</w:t>
            </w:r>
          </w:p>
        </w:tc>
      </w:tr>
      <w:tr>
        <w:trPr>
          <w:trHeight w:val="155"/>
        </w:trPr>
        <w:tc>
          <w:tcPr>
            <w:tcW w:w="15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9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tpsaropoulos@technomar.gr</w:t>
            </w:r>
          </w:p>
        </w:tc>
      </w:tr>
      <w:tr>
        <w:trPr>
          <w:trHeight w:val="648"/>
        </w:trPr>
        <w:tc>
          <w:tcPr>
            <w:tcW w:w="15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rPr>
              <w:t>165</w:t>
            </w:r>
          </w:p>
        </w:tc>
        <w:tc>
          <w:tcPr>
            <w:tcW w:w="33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9" w:right="299" w:bottom="1440" w:gutter="0" w:footer="0" w:header="0"/>
        </w:sectPr>
      </w:pPr>
    </w:p>
    <w:bookmarkStart w:id="552" w:name="page553"/>
    <w:bookmarkEnd w:id="5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4020" w:type="dxa"/>
            <w:vAlign w:val="bottom"/>
          </w:tcPr>
          <w:p>
            <w:pPr>
              <w:jc w:val="center"/>
              <w:ind w:left="2180"/>
              <w:spacing w:after="0"/>
              <w:rPr>
                <w:sz w:val="20"/>
                <w:szCs w:val="20"/>
                <w:color w:val="auto"/>
              </w:rPr>
            </w:pPr>
            <w:r>
              <w:rPr>
                <w:rFonts w:ascii="Times New Roman" w:cs="Times New Roman" w:eastAsia="Times New Roman" w:hAnsi="Times New Roman"/>
                <w:sz w:val="12"/>
                <w:szCs w:val="12"/>
                <w:b w:val="1"/>
                <w:bCs w:val="1"/>
                <w:color w:val="auto"/>
                <w:w w:val="96"/>
              </w:rPr>
              <w:t>PART B</w:t>
            </w:r>
          </w:p>
        </w:tc>
        <w:tc>
          <w:tcPr>
            <w:tcW w:w="4760" w:type="dxa"/>
            <w:vAlign w:val="bottom"/>
          </w:tcPr>
          <w:p>
            <w:pPr>
              <w:spacing w:after="0"/>
              <w:rPr>
                <w:sz w:val="13"/>
                <w:szCs w:val="13"/>
                <w:color w:val="auto"/>
              </w:rPr>
            </w:pPr>
          </w:p>
        </w:tc>
      </w:tr>
      <w:tr>
        <w:trPr>
          <w:trHeight w:val="288"/>
        </w:trPr>
        <w:tc>
          <w:tcPr>
            <w:tcW w:w="2520" w:type="dxa"/>
            <w:vAlign w:val="bottom"/>
          </w:tcPr>
          <w:p>
            <w:pPr>
              <w:spacing w:after="0"/>
              <w:rPr>
                <w:sz w:val="24"/>
                <w:szCs w:val="24"/>
                <w:color w:val="auto"/>
              </w:rPr>
            </w:pPr>
          </w:p>
        </w:tc>
        <w:tc>
          <w:tcPr>
            <w:tcW w:w="4020" w:type="dxa"/>
            <w:vAlign w:val="bottom"/>
          </w:tcPr>
          <w:p>
            <w:pPr>
              <w:jc w:val="center"/>
              <w:ind w:left="2180"/>
              <w:spacing w:after="0"/>
              <w:rPr>
                <w:sz w:val="20"/>
                <w:szCs w:val="20"/>
                <w:color w:val="auto"/>
              </w:rPr>
            </w:pPr>
            <w:r>
              <w:rPr>
                <w:rFonts w:ascii="Times New Roman" w:cs="Times New Roman" w:eastAsia="Times New Roman" w:hAnsi="Times New Roman"/>
                <w:sz w:val="12"/>
                <w:szCs w:val="12"/>
                <w:b w:val="1"/>
                <w:bCs w:val="1"/>
                <w:color w:val="auto"/>
                <w:w w:val="99"/>
              </w:rPr>
              <w:t>THE ORIGINAL LENDERS</w:t>
            </w:r>
          </w:p>
        </w:tc>
        <w:tc>
          <w:tcPr>
            <w:tcW w:w="4760" w:type="dxa"/>
            <w:vAlign w:val="bottom"/>
          </w:tcPr>
          <w:p>
            <w:pPr>
              <w:spacing w:after="0"/>
              <w:rPr>
                <w:sz w:val="24"/>
                <w:szCs w:val="24"/>
                <w:color w:val="auto"/>
              </w:rPr>
            </w:pPr>
          </w:p>
        </w:tc>
      </w:tr>
      <w:tr>
        <w:trPr>
          <w:trHeight w:val="288"/>
        </w:trPr>
        <w:tc>
          <w:tcPr>
            <w:tcW w:w="2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Original Lender</w:t>
            </w:r>
          </w:p>
        </w:tc>
        <w:tc>
          <w:tcPr>
            <w:tcW w:w="4020" w:type="dxa"/>
            <w:vAlign w:val="bottom"/>
          </w:tcPr>
          <w:p>
            <w:pPr>
              <w:ind w:left="1220"/>
              <w:spacing w:after="0"/>
              <w:rPr>
                <w:sz w:val="20"/>
                <w:szCs w:val="20"/>
                <w:color w:val="auto"/>
              </w:rPr>
            </w:pPr>
            <w:r>
              <w:rPr>
                <w:rFonts w:ascii="Times New Roman" w:cs="Times New Roman" w:eastAsia="Times New Roman" w:hAnsi="Times New Roman"/>
                <w:sz w:val="12"/>
                <w:szCs w:val="12"/>
                <w:b w:val="1"/>
                <w:bCs w:val="1"/>
                <w:color w:val="auto"/>
              </w:rPr>
              <w:t>Commitment</w:t>
            </w:r>
          </w:p>
        </w:tc>
        <w:tc>
          <w:tcPr>
            <w:tcW w:w="4760" w:type="dxa"/>
            <w:vAlign w:val="bottom"/>
          </w:tcPr>
          <w:p>
            <w:pPr>
              <w:ind w:left="14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2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4020" w:type="dxa"/>
            <w:vAlign w:val="bottom"/>
          </w:tcPr>
          <w:p>
            <w:pPr>
              <w:ind w:left="1220"/>
              <w:spacing w:after="0"/>
              <w:rPr>
                <w:sz w:val="20"/>
                <w:szCs w:val="20"/>
                <w:color w:val="auto"/>
              </w:rPr>
            </w:pPr>
            <w:r>
              <w:rPr>
                <w:rFonts w:ascii="Times New Roman" w:cs="Times New Roman" w:eastAsia="Times New Roman" w:hAnsi="Times New Roman"/>
                <w:sz w:val="12"/>
                <w:szCs w:val="12"/>
                <w:color w:val="auto"/>
              </w:rPr>
              <w:t>$85,000,000</w:t>
            </w:r>
          </w:p>
        </w:tc>
        <w:tc>
          <w:tcPr>
            <w:tcW w:w="4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St. Alban-Graben 1-3</w:t>
            </w:r>
          </w:p>
        </w:tc>
      </w:tr>
      <w:tr>
        <w:trPr>
          <w:trHeight w:val="144"/>
        </w:trPr>
        <w:tc>
          <w:tcPr>
            <w:tcW w:w="25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Basel 4051</w:t>
            </w:r>
          </w:p>
        </w:tc>
      </w:tr>
      <w:tr>
        <w:trPr>
          <w:trHeight w:val="155"/>
        </w:trPr>
        <w:tc>
          <w:tcPr>
            <w:tcW w:w="25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Switzerland</w:t>
            </w:r>
          </w:p>
        </w:tc>
      </w:tr>
      <w:tr>
        <w:trPr>
          <w:trHeight w:val="277"/>
        </w:trPr>
        <w:tc>
          <w:tcPr>
            <w:tcW w:w="25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Fax No: +(41) 61 266 79 39</w:t>
            </w:r>
          </w:p>
        </w:tc>
      </w:tr>
      <w:tr>
        <w:trPr>
          <w:trHeight w:val="155"/>
        </w:trPr>
        <w:tc>
          <w:tcPr>
            <w:tcW w:w="252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47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Attn: Ship Finance/ Loans Administration</w:t>
            </w:r>
          </w:p>
        </w:tc>
      </w:tr>
      <w:tr>
        <w:trPr>
          <w:trHeight w:val="576"/>
        </w:trPr>
        <w:tc>
          <w:tcPr>
            <w:tcW w:w="252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tcPr>
          <w:p>
            <w:pPr>
              <w:jc w:val="center"/>
              <w:ind w:left="2180"/>
              <w:spacing w:after="0"/>
              <w:rPr>
                <w:sz w:val="20"/>
                <w:szCs w:val="20"/>
                <w:color w:val="auto"/>
              </w:rPr>
            </w:pPr>
            <w:r>
              <w:rPr>
                <w:rFonts w:ascii="Times New Roman" w:cs="Times New Roman" w:eastAsia="Times New Roman" w:hAnsi="Times New Roman"/>
                <w:sz w:val="12"/>
                <w:szCs w:val="12"/>
                <w:color w:val="auto"/>
                <w:w w:val="99"/>
              </w:rPr>
              <w:t>166</w:t>
            </w:r>
          </w:p>
        </w:tc>
        <w:tc>
          <w:tcPr>
            <w:tcW w:w="4760" w:type="dxa"/>
            <w:vAlign w:val="bottom"/>
            <w:tcBorders>
              <w:bottom w:val="single" w:sz="8" w:color="auto"/>
            </w:tcBorders>
          </w:tcPr>
          <w:p>
            <w:pPr>
              <w:ind w:left="366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02" w:right="299" w:bottom="1440" w:gutter="0" w:footer="0" w:header="0"/>
        </w:sectPr>
      </w:pPr>
    </w:p>
    <w:bookmarkStart w:id="553" w:name="page554"/>
    <w:bookmarkEnd w:id="5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5920" w:type="dxa"/>
            <w:vAlign w:val="bottom"/>
          </w:tcPr>
          <w:p>
            <w:pPr>
              <w:jc w:val="center"/>
              <w:ind w:left="5300"/>
              <w:spacing w:after="0"/>
              <w:rPr>
                <w:sz w:val="20"/>
                <w:szCs w:val="20"/>
                <w:color w:val="auto"/>
              </w:rPr>
            </w:pPr>
            <w:r>
              <w:rPr>
                <w:rFonts w:ascii="Times New Roman" w:cs="Times New Roman" w:eastAsia="Times New Roman" w:hAnsi="Times New Roman"/>
                <w:sz w:val="12"/>
                <w:szCs w:val="12"/>
                <w:b w:val="1"/>
                <w:bCs w:val="1"/>
                <w:color w:val="auto"/>
                <w:w w:val="99"/>
              </w:rPr>
              <w:t>PART C</w:t>
            </w:r>
          </w:p>
        </w:tc>
        <w:tc>
          <w:tcPr>
            <w:tcW w:w="5380" w:type="dxa"/>
            <w:vAlign w:val="bottom"/>
          </w:tcPr>
          <w:p>
            <w:pPr>
              <w:spacing w:after="0"/>
              <w:rPr>
                <w:sz w:val="13"/>
                <w:szCs w:val="13"/>
                <w:color w:val="auto"/>
              </w:rPr>
            </w:pPr>
          </w:p>
        </w:tc>
      </w:tr>
      <w:tr>
        <w:trPr>
          <w:trHeight w:val="432"/>
        </w:trPr>
        <w:tc>
          <w:tcPr>
            <w:tcW w:w="1130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THE SERVICING PARTIES</w:t>
            </w:r>
          </w:p>
        </w:tc>
      </w:tr>
      <w:tr>
        <w:trPr>
          <w:trHeight w:val="288"/>
        </w:trPr>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Facility Agent</w:t>
            </w: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Bahnhofstrasse 45</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8001 Zurich</w:t>
            </w:r>
          </w:p>
        </w:tc>
      </w:tr>
      <w:tr>
        <w:trPr>
          <w:trHeight w:val="155"/>
        </w:trPr>
        <w:tc>
          <w:tcPr>
            <w:tcW w:w="59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Switzerland</w:t>
            </w:r>
          </w:p>
        </w:tc>
      </w:tr>
      <w:tr>
        <w:trPr>
          <w:trHeight w:val="277"/>
        </w:trPr>
        <w:tc>
          <w:tcPr>
            <w:tcW w:w="5920" w:type="dxa"/>
            <w:vAlign w:val="bottom"/>
          </w:tcPr>
          <w:p>
            <w:pPr>
              <w:spacing w:after="0"/>
              <w:rPr>
                <w:sz w:val="24"/>
                <w:szCs w:val="24"/>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UBS AG</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 Alban-Graben 1-3</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Basel 4051</w:t>
            </w:r>
          </w:p>
        </w:tc>
      </w:tr>
      <w:tr>
        <w:trPr>
          <w:trHeight w:val="155"/>
        </w:trPr>
        <w:tc>
          <w:tcPr>
            <w:tcW w:w="59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Switzerland</w:t>
            </w:r>
          </w:p>
        </w:tc>
      </w:tr>
      <w:tr>
        <w:trPr>
          <w:trHeight w:val="277"/>
        </w:trPr>
        <w:tc>
          <w:tcPr>
            <w:tcW w:w="5920" w:type="dxa"/>
            <w:vAlign w:val="bottom"/>
          </w:tcPr>
          <w:p>
            <w:pPr>
              <w:spacing w:after="0"/>
              <w:rPr>
                <w:sz w:val="24"/>
                <w:szCs w:val="24"/>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Fax No: +(41) 61 266 79 39</w:t>
            </w:r>
          </w:p>
        </w:tc>
      </w:tr>
      <w:tr>
        <w:trPr>
          <w:trHeight w:val="155"/>
        </w:trPr>
        <w:tc>
          <w:tcPr>
            <w:tcW w:w="59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Attn: Ship Finance/ Loans Administration</w:t>
            </w:r>
          </w:p>
        </w:tc>
      </w:tr>
      <w:tr>
        <w:trPr>
          <w:trHeight w:val="288"/>
        </w:trPr>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Security Agent</w:t>
            </w: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r>
      <w:tr>
        <w:trPr>
          <w:trHeight w:val="277"/>
        </w:trPr>
        <w:tc>
          <w:tcPr>
            <w:tcW w:w="5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Bahnhofstrasse 45</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8001 Zurich</w:t>
            </w:r>
          </w:p>
        </w:tc>
      </w:tr>
      <w:tr>
        <w:trPr>
          <w:trHeight w:val="155"/>
        </w:trPr>
        <w:tc>
          <w:tcPr>
            <w:tcW w:w="59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Switzerland</w:t>
            </w:r>
          </w:p>
        </w:tc>
      </w:tr>
      <w:tr>
        <w:trPr>
          <w:trHeight w:val="277"/>
        </w:trPr>
        <w:tc>
          <w:tcPr>
            <w:tcW w:w="5920" w:type="dxa"/>
            <w:vAlign w:val="bottom"/>
          </w:tcPr>
          <w:p>
            <w:pPr>
              <w:spacing w:after="0"/>
              <w:rPr>
                <w:sz w:val="24"/>
                <w:szCs w:val="24"/>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c/o</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UBS AG</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St. Alban-Graben 1-3</w:t>
            </w:r>
          </w:p>
        </w:tc>
      </w:tr>
      <w:tr>
        <w:trPr>
          <w:trHeight w:val="144"/>
        </w:trPr>
        <w:tc>
          <w:tcPr>
            <w:tcW w:w="5920" w:type="dxa"/>
            <w:vAlign w:val="bottom"/>
          </w:tcPr>
          <w:p>
            <w:pPr>
              <w:spacing w:after="0"/>
              <w:rPr>
                <w:sz w:val="12"/>
                <w:szCs w:val="12"/>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Basel 4051</w:t>
            </w:r>
          </w:p>
        </w:tc>
      </w:tr>
      <w:tr>
        <w:trPr>
          <w:trHeight w:val="155"/>
        </w:trPr>
        <w:tc>
          <w:tcPr>
            <w:tcW w:w="59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Switzerland</w:t>
            </w:r>
          </w:p>
        </w:tc>
      </w:tr>
      <w:tr>
        <w:trPr>
          <w:trHeight w:val="277"/>
        </w:trPr>
        <w:tc>
          <w:tcPr>
            <w:tcW w:w="5920" w:type="dxa"/>
            <w:vAlign w:val="bottom"/>
          </w:tcPr>
          <w:p>
            <w:pPr>
              <w:spacing w:after="0"/>
              <w:rPr>
                <w:sz w:val="24"/>
                <w:szCs w:val="24"/>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Fax No: +(41) 61 266 79 39</w:t>
            </w:r>
          </w:p>
        </w:tc>
      </w:tr>
      <w:tr>
        <w:trPr>
          <w:trHeight w:val="155"/>
        </w:trPr>
        <w:tc>
          <w:tcPr>
            <w:tcW w:w="5920" w:type="dxa"/>
            <w:vAlign w:val="bottom"/>
          </w:tcPr>
          <w:p>
            <w:pPr>
              <w:spacing w:after="0"/>
              <w:rPr>
                <w:sz w:val="13"/>
                <w:szCs w:val="13"/>
                <w:color w:val="auto"/>
              </w:rPr>
            </w:pPr>
          </w:p>
        </w:tc>
        <w:tc>
          <w:tcPr>
            <w:tcW w:w="538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Attn: Ship Finance/ Loans Administration</w:t>
            </w:r>
          </w:p>
        </w:tc>
      </w:tr>
      <w:tr>
        <w:trPr>
          <w:trHeight w:val="576"/>
        </w:trPr>
        <w:tc>
          <w:tcPr>
            <w:tcW w:w="5920" w:type="dxa"/>
            <w:vAlign w:val="bottom"/>
            <w:tcBorders>
              <w:bottom w:val="single" w:sz="8" w:color="auto"/>
            </w:tcBorders>
          </w:tcPr>
          <w:p>
            <w:pPr>
              <w:jc w:val="center"/>
              <w:ind w:left="5320"/>
              <w:spacing w:after="0"/>
              <w:rPr>
                <w:sz w:val="20"/>
                <w:szCs w:val="20"/>
                <w:color w:val="auto"/>
              </w:rPr>
            </w:pPr>
            <w:r>
              <w:rPr>
                <w:rFonts w:ascii="Times New Roman" w:cs="Times New Roman" w:eastAsia="Times New Roman" w:hAnsi="Times New Roman"/>
                <w:sz w:val="12"/>
                <w:szCs w:val="12"/>
                <w:color w:val="auto"/>
                <w:w w:val="99"/>
              </w:rPr>
              <w:t>167</w:t>
            </w:r>
          </w:p>
        </w:tc>
        <w:tc>
          <w:tcPr>
            <w:tcW w:w="5380" w:type="dxa"/>
            <w:vAlign w:val="bottom"/>
            <w:tcBorders>
              <w:bottom w:val="single" w:sz="8" w:color="auto"/>
            </w:tcBorders>
          </w:tcPr>
          <w:p>
            <w:pPr>
              <w:ind w:left="428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5" w:right="299" w:bottom="1440" w:gutter="0" w:footer="0" w:header="0"/>
        </w:sectPr>
      </w:pPr>
    </w:p>
    <w:bookmarkStart w:id="554" w:name="page555"/>
    <w:bookmarkEnd w:id="5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100" w:type="dxa"/>
            <w:vAlign w:val="bottom"/>
          </w:tcPr>
          <w:p>
            <w:pPr>
              <w:spacing w:after="0"/>
              <w:rPr>
                <w:sz w:val="13"/>
                <w:szCs w:val="13"/>
                <w:color w:val="auto"/>
              </w:rPr>
            </w:pPr>
          </w:p>
        </w:tc>
        <w:tc>
          <w:tcPr>
            <w:tcW w:w="4700" w:type="dxa"/>
            <w:vAlign w:val="bottom"/>
          </w:tcPr>
          <w:p>
            <w:pPr>
              <w:jc w:val="center"/>
              <w:ind w:left="320"/>
              <w:spacing w:after="0"/>
              <w:rPr>
                <w:sz w:val="20"/>
                <w:szCs w:val="20"/>
                <w:color w:val="auto"/>
              </w:rPr>
            </w:pPr>
            <w:r>
              <w:rPr>
                <w:rFonts w:ascii="Times New Roman" w:cs="Times New Roman" w:eastAsia="Times New Roman" w:hAnsi="Times New Roman"/>
                <w:sz w:val="12"/>
                <w:szCs w:val="12"/>
                <w:b w:val="1"/>
                <w:bCs w:val="1"/>
                <w:color w:val="auto"/>
                <w:w w:val="99"/>
              </w:rPr>
              <w:t>PART D</w:t>
            </w:r>
          </w:p>
        </w:tc>
        <w:tc>
          <w:tcPr>
            <w:tcW w:w="3500" w:type="dxa"/>
            <w:vAlign w:val="bottom"/>
          </w:tcPr>
          <w:p>
            <w:pPr>
              <w:spacing w:after="0"/>
              <w:rPr>
                <w:sz w:val="13"/>
                <w:szCs w:val="13"/>
                <w:color w:val="auto"/>
              </w:rPr>
            </w:pPr>
          </w:p>
        </w:tc>
      </w:tr>
      <w:tr>
        <w:trPr>
          <w:trHeight w:val="432"/>
        </w:trPr>
        <w:tc>
          <w:tcPr>
            <w:tcW w:w="3100" w:type="dxa"/>
            <w:vAlign w:val="bottom"/>
          </w:tcPr>
          <w:p>
            <w:pPr>
              <w:spacing w:after="0"/>
              <w:rPr>
                <w:sz w:val="24"/>
                <w:szCs w:val="24"/>
                <w:color w:val="auto"/>
              </w:rPr>
            </w:pPr>
          </w:p>
        </w:tc>
        <w:tc>
          <w:tcPr>
            <w:tcW w:w="4700" w:type="dxa"/>
            <w:vAlign w:val="bottom"/>
          </w:tcPr>
          <w:p>
            <w:pPr>
              <w:jc w:val="center"/>
              <w:ind w:left="340"/>
              <w:spacing w:after="0"/>
              <w:rPr>
                <w:sz w:val="20"/>
                <w:szCs w:val="20"/>
                <w:color w:val="auto"/>
              </w:rPr>
            </w:pPr>
            <w:r>
              <w:rPr>
                <w:rFonts w:ascii="Times New Roman" w:cs="Times New Roman" w:eastAsia="Times New Roman" w:hAnsi="Times New Roman"/>
                <w:sz w:val="12"/>
                <w:szCs w:val="12"/>
                <w:b w:val="1"/>
                <w:bCs w:val="1"/>
                <w:color w:val="auto"/>
                <w:w w:val="99"/>
              </w:rPr>
              <w:t>THE ACCOUNT BANK</w:t>
            </w:r>
          </w:p>
        </w:tc>
        <w:tc>
          <w:tcPr>
            <w:tcW w:w="3500" w:type="dxa"/>
            <w:vAlign w:val="bottom"/>
          </w:tcPr>
          <w:p>
            <w:pPr>
              <w:spacing w:after="0"/>
              <w:rPr>
                <w:sz w:val="24"/>
                <w:szCs w:val="24"/>
                <w:color w:val="auto"/>
              </w:rPr>
            </w:pPr>
          </w:p>
        </w:tc>
      </w:tr>
      <w:tr>
        <w:trPr>
          <w:trHeight w:val="288"/>
        </w:trPr>
        <w:tc>
          <w:tcPr>
            <w:tcW w:w="3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Name of Account Bank</w:t>
            </w:r>
          </w:p>
        </w:tc>
        <w:tc>
          <w:tcPr>
            <w:tcW w:w="4700" w:type="dxa"/>
            <w:vAlign w:val="bottom"/>
          </w:tcPr>
          <w:p>
            <w:pPr>
              <w:ind w:left="2560"/>
              <w:spacing w:after="0"/>
              <w:rPr>
                <w:sz w:val="20"/>
                <w:szCs w:val="20"/>
                <w:color w:val="auto"/>
              </w:rPr>
            </w:pPr>
            <w:r>
              <w:rPr>
                <w:rFonts w:ascii="Times New Roman" w:cs="Times New Roman" w:eastAsia="Times New Roman" w:hAnsi="Times New Roman"/>
                <w:sz w:val="12"/>
                <w:szCs w:val="12"/>
                <w:b w:val="1"/>
                <w:bCs w:val="1"/>
                <w:color w:val="auto"/>
              </w:rPr>
              <w:t>Address for Communication</w:t>
            </w:r>
          </w:p>
        </w:tc>
        <w:tc>
          <w:tcPr>
            <w:tcW w:w="3500" w:type="dxa"/>
            <w:vAlign w:val="bottom"/>
          </w:tcPr>
          <w:p>
            <w:pPr>
              <w:spacing w:after="0"/>
              <w:rPr>
                <w:sz w:val="24"/>
                <w:szCs w:val="24"/>
                <w:color w:val="auto"/>
              </w:rPr>
            </w:pPr>
          </w:p>
        </w:tc>
      </w:tr>
      <w:tr>
        <w:trPr>
          <w:trHeight w:val="277"/>
        </w:trPr>
        <w:tc>
          <w:tcPr>
            <w:tcW w:w="31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4700" w:type="dxa"/>
            <w:vAlign w:val="bottom"/>
          </w:tcPr>
          <w:p>
            <w:pPr>
              <w:ind w:left="2560"/>
              <w:spacing w:after="0"/>
              <w:rPr>
                <w:sz w:val="20"/>
                <w:szCs w:val="20"/>
                <w:color w:val="auto"/>
              </w:rPr>
            </w:pPr>
            <w:r>
              <w:rPr>
                <w:rFonts w:ascii="Times New Roman" w:cs="Times New Roman" w:eastAsia="Times New Roman" w:hAnsi="Times New Roman"/>
                <w:sz w:val="12"/>
                <w:szCs w:val="12"/>
                <w:color w:val="auto"/>
              </w:rPr>
              <w:t>Bahnhofstrasse 45 8001 Zurich Switzerland</w:t>
            </w:r>
          </w:p>
        </w:tc>
        <w:tc>
          <w:tcPr>
            <w:tcW w:w="35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c/o UBS AG St. Alban-Graben 1-3 Basel 4051 Switzerland Fax No: +</w:t>
            </w:r>
          </w:p>
        </w:tc>
      </w:tr>
      <w:tr>
        <w:trPr>
          <w:trHeight w:val="155"/>
        </w:trPr>
        <w:tc>
          <w:tcPr>
            <w:tcW w:w="3100" w:type="dxa"/>
            <w:vAlign w:val="bottom"/>
          </w:tcPr>
          <w:p>
            <w:pPr>
              <w:spacing w:after="0"/>
              <w:rPr>
                <w:sz w:val="13"/>
                <w:szCs w:val="13"/>
                <w:color w:val="auto"/>
              </w:rPr>
            </w:pPr>
          </w:p>
        </w:tc>
        <w:tc>
          <w:tcPr>
            <w:tcW w:w="8200" w:type="dxa"/>
            <w:vAlign w:val="bottom"/>
            <w:gridSpan w:val="2"/>
          </w:tcPr>
          <w:p>
            <w:pPr>
              <w:ind w:left="2560"/>
              <w:spacing w:after="0"/>
              <w:rPr>
                <w:sz w:val="20"/>
                <w:szCs w:val="20"/>
                <w:color w:val="auto"/>
              </w:rPr>
            </w:pPr>
            <w:r>
              <w:rPr>
                <w:rFonts w:ascii="Times New Roman" w:cs="Times New Roman" w:eastAsia="Times New Roman" w:hAnsi="Times New Roman"/>
                <w:sz w:val="12"/>
                <w:szCs w:val="12"/>
                <w:color w:val="auto"/>
              </w:rPr>
              <w:t>(41) 61 266 79 39 Attn: Ship Finance/ Loans Administration</w:t>
            </w:r>
          </w:p>
        </w:tc>
      </w:tr>
      <w:tr>
        <w:trPr>
          <w:trHeight w:val="432"/>
        </w:trPr>
        <w:tc>
          <w:tcPr>
            <w:tcW w:w="310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jc w:val="center"/>
              <w:ind w:left="340"/>
              <w:spacing w:after="0"/>
              <w:rPr>
                <w:sz w:val="20"/>
                <w:szCs w:val="20"/>
                <w:color w:val="auto"/>
              </w:rPr>
            </w:pPr>
            <w:r>
              <w:rPr>
                <w:rFonts w:ascii="Times New Roman" w:cs="Times New Roman" w:eastAsia="Times New Roman" w:hAnsi="Times New Roman"/>
                <w:sz w:val="12"/>
                <w:szCs w:val="12"/>
                <w:color w:val="auto"/>
                <w:w w:val="99"/>
              </w:rPr>
              <w:t>168</w:t>
            </w:r>
          </w:p>
        </w:tc>
        <w:tc>
          <w:tcPr>
            <w:tcW w:w="35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4" w:right="299" w:bottom="1440" w:gutter="0" w:footer="0" w:header="0"/>
        </w:sectPr>
      </w:pPr>
    </w:p>
    <w:bookmarkStart w:id="555" w:name="page556"/>
    <w:bookmarkEnd w:id="55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2</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 TO THE UTILISATION REQUEST</w:t>
      </w:r>
    </w:p>
    <w:p>
      <w:pPr>
        <w:spacing w:after="0" w:line="150" w:lineRule="exact"/>
        <w:rPr>
          <w:sz w:val="20"/>
          <w:szCs w:val="20"/>
          <w:color w:val="auto"/>
        </w:rPr>
      </w:pPr>
    </w:p>
    <w:p>
      <w:pPr>
        <w:ind w:left="428" w:hanging="428"/>
        <w:spacing w:after="0"/>
        <w:tabs>
          <w:tab w:leader="none" w:pos="428" w:val="left"/>
        </w:tabs>
        <w:numPr>
          <w:ilvl w:val="0"/>
          <w:numId w:val="1019"/>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Obligors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1.1</w:t>
      </w:r>
      <w:r>
        <w:rPr>
          <w:sz w:val="20"/>
          <w:szCs w:val="20"/>
          <w:color w:val="auto"/>
        </w:rPr>
        <w:tab/>
      </w:r>
      <w:r>
        <w:rPr>
          <w:rFonts w:ascii="Times New Roman" w:cs="Times New Roman" w:eastAsia="Times New Roman" w:hAnsi="Times New Roman"/>
          <w:sz w:val="11"/>
          <w:szCs w:val="11"/>
          <w:color w:val="auto"/>
        </w:rPr>
        <w:t>A copy of the constitutional documents of each Transaction Obligor (including, without limitation, any corporate register excerpts and the group structure chart).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1.2</w:t>
      </w:r>
      <w:r>
        <w:rPr>
          <w:sz w:val="20"/>
          <w:szCs w:val="20"/>
          <w:color w:val="auto"/>
        </w:rPr>
        <w:tab/>
      </w:r>
      <w:r>
        <w:rPr>
          <w:rFonts w:ascii="Times New Roman" w:cs="Times New Roman" w:eastAsia="Times New Roman" w:hAnsi="Times New Roman"/>
          <w:sz w:val="11"/>
          <w:szCs w:val="11"/>
          <w:color w:val="auto"/>
        </w:rPr>
        <w:t>A copy of a resolution of the members or managers or board of directors, as applicable, of each Transaction Obligor:</w:t>
      </w:r>
    </w:p>
    <w:p>
      <w:pPr>
        <w:spacing w:after="0" w:line="150" w:lineRule="exact"/>
        <w:rPr>
          <w:sz w:val="20"/>
          <w:szCs w:val="20"/>
          <w:color w:val="auto"/>
        </w:rPr>
      </w:pPr>
    </w:p>
    <w:p>
      <w:pPr>
        <w:ind w:left="428" w:hanging="428"/>
        <w:spacing w:after="0"/>
        <w:tabs>
          <w:tab w:leader="none" w:pos="428" w:val="left"/>
        </w:tabs>
        <w:numPr>
          <w:ilvl w:val="0"/>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approving the terms of, and the transactions contemplated by, the Finance Documents to which it is a party and resolving that it execute the Finance Documents to which it is a party;</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authorising a specified person or persons to execute the Finance Documents to which it is a party on its behalf; and</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0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authorising a specified person or persons, on its behalf, to sign and/or despatch all documents and notices (including, if relevant, the Utilisation Request and each Selection Notice) to be signed and/or despatched by it under, or in connection with, the Finance Documents to which it is a party.</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1.3</w:t>
      </w:r>
      <w:r>
        <w:rPr>
          <w:sz w:val="20"/>
          <w:szCs w:val="20"/>
          <w:color w:val="auto"/>
        </w:rPr>
        <w:tab/>
      </w:r>
      <w:r>
        <w:rPr>
          <w:rFonts w:ascii="Times New Roman" w:cs="Times New Roman" w:eastAsia="Times New Roman" w:hAnsi="Times New Roman"/>
          <w:sz w:val="11"/>
          <w:szCs w:val="11"/>
          <w:color w:val="auto"/>
        </w:rPr>
        <w:t>An original of the power of attorney of any Transaction Obligor authorising a specified person or persons to execute the Finance Documents to which it is a party.</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1.4</w:t>
      </w:r>
      <w:r>
        <w:rPr>
          <w:sz w:val="20"/>
          <w:szCs w:val="20"/>
          <w:color w:val="auto"/>
        </w:rPr>
        <w:tab/>
      </w:r>
      <w:r>
        <w:rPr>
          <w:rFonts w:ascii="Times New Roman" w:cs="Times New Roman" w:eastAsia="Times New Roman" w:hAnsi="Times New Roman"/>
          <w:sz w:val="11"/>
          <w:szCs w:val="11"/>
          <w:color w:val="auto"/>
        </w:rPr>
        <w:t>A specimen of the signature of each person authorised by the resolution referred to in paragraph 1.2 above.</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1.5</w:t>
      </w:r>
      <w:r>
        <w:rPr>
          <w:sz w:val="20"/>
          <w:szCs w:val="20"/>
          <w:color w:val="auto"/>
        </w:rPr>
        <w:tab/>
      </w:r>
      <w:r>
        <w:rPr>
          <w:rFonts w:ascii="Times New Roman" w:cs="Times New Roman" w:eastAsia="Times New Roman" w:hAnsi="Times New Roman"/>
          <w:sz w:val="11"/>
          <w:szCs w:val="11"/>
          <w:color w:val="auto"/>
        </w:rPr>
        <w:t>A copy of a resolution signed by the holder(s) of the issued LLC Shares in each Borrower, approving the terms of, and the transactions contemplated by, the Finance Documents to which that Borrower is a party.</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1.6</w:t>
      </w:r>
      <w:r>
        <w:rPr>
          <w:sz w:val="20"/>
          <w:szCs w:val="20"/>
          <w:color w:val="auto"/>
        </w:rPr>
        <w:tab/>
      </w:r>
      <w:r>
        <w:rPr>
          <w:rFonts w:ascii="Times New Roman" w:cs="Times New Roman" w:eastAsia="Times New Roman" w:hAnsi="Times New Roman"/>
          <w:sz w:val="12"/>
          <w:szCs w:val="12"/>
          <w:color w:val="auto"/>
        </w:rPr>
        <w:t>A certificate of each Transaction Obligor (signed by an officer or an officer or its director or indirect member and manager) confirming that borrowing or guaranteeing, as appropriate, the Total Commitments would not cause any borrowing, guaranteeing or similar limit binding on that Transaction Obligor to be exceeded.</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1.7</w:t>
      </w:r>
      <w:r>
        <w:rPr>
          <w:sz w:val="20"/>
          <w:szCs w:val="20"/>
          <w:color w:val="auto"/>
        </w:rPr>
        <w:tab/>
      </w:r>
      <w:r>
        <w:rPr>
          <w:rFonts w:ascii="Times New Roman" w:cs="Times New Roman" w:eastAsia="Times New Roman" w:hAnsi="Times New Roman"/>
          <w:sz w:val="12"/>
          <w:szCs w:val="12"/>
          <w:color w:val="auto"/>
        </w:rPr>
        <w:t>A certificate of each Transaction Obligor that is incorporated outside the UK (signed by an officer) certifying either that (i) it has not delivered particulars of any UK Establishment to the Registrar of Companies as required under the Overseas Regulations or (ii) it has a UK Establishment and specifying the name and registered number under which it is registered with the Registrar of Companies.</w:t>
      </w:r>
    </w:p>
    <w:p>
      <w:pPr>
        <w:spacing w:after="0" w:line="109" w:lineRule="exact"/>
        <w:rPr>
          <w:sz w:val="20"/>
          <w:szCs w:val="20"/>
          <w:color w:val="auto"/>
        </w:rPr>
      </w:pPr>
    </w:p>
    <w:p>
      <w:pPr>
        <w:ind w:left="428" w:right="20" w:hanging="422"/>
        <w:spacing w:after="0" w:line="283" w:lineRule="auto"/>
        <w:tabs>
          <w:tab w:leader="none" w:pos="408" w:val="left"/>
        </w:tabs>
        <w:rPr>
          <w:sz w:val="20"/>
          <w:szCs w:val="20"/>
          <w:color w:val="auto"/>
        </w:rPr>
      </w:pPr>
      <w:r>
        <w:rPr>
          <w:rFonts w:ascii="Times New Roman" w:cs="Times New Roman" w:eastAsia="Times New Roman" w:hAnsi="Times New Roman"/>
          <w:sz w:val="12"/>
          <w:szCs w:val="12"/>
          <w:color w:val="auto"/>
        </w:rPr>
        <w:t>1.8</w:t>
      </w:r>
      <w:r>
        <w:rPr>
          <w:sz w:val="20"/>
          <w:szCs w:val="20"/>
          <w:color w:val="auto"/>
        </w:rPr>
        <w:tab/>
      </w:r>
      <w:r>
        <w:rPr>
          <w:rFonts w:ascii="Times New Roman" w:cs="Times New Roman" w:eastAsia="Times New Roman" w:hAnsi="Times New Roman"/>
          <w:sz w:val="12"/>
          <w:szCs w:val="12"/>
          <w:color w:val="auto"/>
        </w:rPr>
        <w:t>A certificate of an authorised signatory of the relevant Transaction Obligor certifying that each copy document relating to it specified in this Part A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is correct, complete and in full force and effect as at a date no earlier than the date of this Agreement.</w:t>
      </w:r>
    </w:p>
    <w:p>
      <w:pPr>
        <w:spacing w:after="0" w:line="10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169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56" w:name="page557"/>
    <w:bookmarkEnd w:id="556"/>
    <w:p>
      <w:pPr>
        <w:ind w:left="428" w:hanging="428"/>
        <w:spacing w:after="0"/>
        <w:tabs>
          <w:tab w:leader="none" w:pos="428" w:val="left"/>
        </w:tabs>
        <w:numPr>
          <w:ilvl w:val="0"/>
          <w:numId w:val="102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 copy of each Initial Charter (or a binding and unconditional recapitulation of charterparty terms) certified as true and complete together all documents signed or issued by the relevant Borrower or the relevant Initial Charterer (or both of them) under or in connection with it.</w:t>
      </w:r>
    </w:p>
    <w:p>
      <w:pPr>
        <w:spacing w:after="0" w:line="107" w:lineRule="exact"/>
        <w:rPr>
          <w:sz w:val="20"/>
          <w:szCs w:val="20"/>
          <w:color w:val="auto"/>
        </w:rPr>
      </w:pPr>
    </w:p>
    <w:p>
      <w:pPr>
        <w:ind w:left="428" w:hanging="428"/>
        <w:spacing w:after="0"/>
        <w:tabs>
          <w:tab w:leader="none" w:pos="428" w:val="left"/>
        </w:tabs>
        <w:numPr>
          <w:ilvl w:val="0"/>
          <w:numId w:val="102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Finance Documents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1"/>
          <w:szCs w:val="11"/>
          <w:color w:val="auto"/>
        </w:rPr>
        <w:t>A duly executed original of any Subordination Agreement and copies of any relevant Subordinated Finance Document (if applicable).</w:t>
      </w:r>
    </w:p>
    <w:p>
      <w:pPr>
        <w:spacing w:after="0" w:line="148"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color w:val="auto"/>
        </w:rPr>
        <w:t>A duly executed original of any Finance Document not otherwise referred to in this Schedule 2 (</w:t>
      </w:r>
      <w:r>
        <w:rPr>
          <w:rFonts w:ascii="Times New Roman" w:cs="Times New Roman" w:eastAsia="Times New Roman" w:hAnsi="Times New Roman"/>
          <w:sz w:val="11"/>
          <w:szCs w:val="11"/>
          <w:i w:val="1"/>
          <w:iCs w:val="1"/>
          <w:color w:val="auto"/>
        </w:rPr>
        <w:t>Conditions Precedent</w:t>
      </w:r>
      <w:r>
        <w:rPr>
          <w:rFonts w:ascii="Times New Roman" w:cs="Times New Roman" w:eastAsia="Times New Roman" w:hAnsi="Times New Roman"/>
          <w:sz w:val="11"/>
          <w:szCs w:val="11"/>
          <w:color w:val="auto"/>
        </w:rPr>
        <w: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1"/>
          <w:szCs w:val="11"/>
          <w:color w:val="auto"/>
        </w:rPr>
        <w:t>A duly executed original of any other document required to be delivered by each Finance Document if not otherwise referred to in this Schedule 2 (</w:t>
      </w:r>
      <w:r>
        <w:rPr>
          <w:rFonts w:ascii="Times New Roman" w:cs="Times New Roman" w:eastAsia="Times New Roman" w:hAnsi="Times New Roman"/>
          <w:sz w:val="11"/>
          <w:szCs w:val="11"/>
          <w:i w:val="1"/>
          <w:iCs w:val="1"/>
          <w:color w:val="auto"/>
        </w:rPr>
        <w:t>Conditions Precedent</w:t>
      </w:r>
      <w:r>
        <w:rPr>
          <w:rFonts w:ascii="Times New Roman" w:cs="Times New Roman" w:eastAsia="Times New Roman" w:hAnsi="Times New Roman"/>
          <w:sz w:val="11"/>
          <w:szCs w:val="11"/>
          <w:color w:val="auto"/>
        </w:rPr>
        <w:t>).</w:t>
      </w:r>
    </w:p>
    <w:p>
      <w:pPr>
        <w:spacing w:after="0" w:line="148" w:lineRule="exact"/>
        <w:rPr>
          <w:sz w:val="20"/>
          <w:szCs w:val="20"/>
          <w:color w:val="auto"/>
        </w:rPr>
      </w:pPr>
    </w:p>
    <w:p>
      <w:pPr>
        <w:ind w:left="428" w:hanging="428"/>
        <w:spacing w:after="0"/>
        <w:tabs>
          <w:tab w:leader="none" w:pos="428" w:val="left"/>
        </w:tabs>
        <w:numPr>
          <w:ilvl w:val="0"/>
          <w:numId w:val="102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Security</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4.1</w:t>
      </w:r>
      <w:r>
        <w:rPr>
          <w:sz w:val="20"/>
          <w:szCs w:val="20"/>
          <w:color w:val="auto"/>
        </w:rPr>
        <w:tab/>
      </w:r>
      <w:r>
        <w:rPr>
          <w:rFonts w:ascii="Times New Roman" w:cs="Times New Roman" w:eastAsia="Times New Roman" w:hAnsi="Times New Roman"/>
          <w:sz w:val="11"/>
          <w:szCs w:val="11"/>
          <w:color w:val="auto"/>
        </w:rPr>
        <w:t>A duly executed original of the Account Security in relation to each Account (and of each document to be delivered pursuant to it).</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4.2</w:t>
      </w:r>
      <w:r>
        <w:rPr>
          <w:sz w:val="20"/>
          <w:szCs w:val="20"/>
          <w:color w:val="auto"/>
        </w:rPr>
        <w:tab/>
      </w:r>
      <w:r>
        <w:rPr>
          <w:rFonts w:ascii="Times New Roman" w:cs="Times New Roman" w:eastAsia="Times New Roman" w:hAnsi="Times New Roman"/>
          <w:sz w:val="11"/>
          <w:szCs w:val="11"/>
          <w:color w:val="auto"/>
        </w:rPr>
        <w:t>A duly executed original of the Subordinated Debt Security (if applicable).</w:t>
      </w:r>
    </w:p>
    <w:p>
      <w:pPr>
        <w:spacing w:after="0" w:line="146" w:lineRule="exact"/>
        <w:rPr>
          <w:sz w:val="20"/>
          <w:szCs w:val="20"/>
          <w:color w:val="auto"/>
        </w:rPr>
      </w:pPr>
    </w:p>
    <w:p>
      <w:pPr>
        <w:ind w:left="428" w:hanging="428"/>
        <w:spacing w:after="0"/>
        <w:tabs>
          <w:tab w:leader="none" w:pos="428" w:val="left"/>
        </w:tabs>
        <w:numPr>
          <w:ilvl w:val="0"/>
          <w:numId w:val="102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opinions</w:t>
      </w:r>
    </w:p>
    <w:p>
      <w:pPr>
        <w:spacing w:after="0" w:line="154"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1"/>
          <w:szCs w:val="11"/>
          <w:color w:val="auto"/>
        </w:rPr>
        <w:t>A legal opinion of Watson Farley &amp; Williams LLP, legal advisers to the Facility Agent and the Security Agent in England, substantially in the form distributed to the Original Lenders before signing this Agreement.</w:t>
      </w:r>
    </w:p>
    <w:p>
      <w:pPr>
        <w:spacing w:after="0" w:line="150"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If a Transaction Obligor is incorporated in a jurisdiction other than England and Wales, a legal opinion of the legal advisers to the Facility Agent and the Security Agent in the relevant jurisdiction, substantially in the form distributed to the Original Lenders before signing this Agreement.</w:t>
      </w:r>
    </w:p>
    <w:p>
      <w:pPr>
        <w:spacing w:after="0" w:line="107" w:lineRule="exact"/>
        <w:rPr>
          <w:sz w:val="20"/>
          <w:szCs w:val="20"/>
          <w:color w:val="auto"/>
        </w:rPr>
      </w:pPr>
    </w:p>
    <w:p>
      <w:pPr>
        <w:ind w:left="428" w:hanging="428"/>
        <w:spacing w:after="0"/>
        <w:tabs>
          <w:tab w:leader="none" w:pos="428" w:val="left"/>
        </w:tabs>
        <w:numPr>
          <w:ilvl w:val="0"/>
          <w:numId w:val="102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 and evidence</w:t>
      </w:r>
    </w:p>
    <w:p>
      <w:pPr>
        <w:spacing w:after="0" w:line="152"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6.1</w:t>
      </w:r>
      <w:r>
        <w:rPr>
          <w:sz w:val="20"/>
          <w:szCs w:val="20"/>
          <w:color w:val="auto"/>
        </w:rPr>
        <w:tab/>
      </w:r>
      <w:r>
        <w:rPr>
          <w:rFonts w:ascii="Times New Roman" w:cs="Times New Roman" w:eastAsia="Times New Roman" w:hAnsi="Times New Roman"/>
          <w:sz w:val="11"/>
          <w:szCs w:val="11"/>
          <w:color w:val="auto"/>
        </w:rPr>
        <w:t>Evidence that any process agent referred to in Clause 50.2 (</w:t>
      </w:r>
      <w:r>
        <w:rPr>
          <w:rFonts w:ascii="Times New Roman" w:cs="Times New Roman" w:eastAsia="Times New Roman" w:hAnsi="Times New Roman"/>
          <w:sz w:val="11"/>
          <w:szCs w:val="11"/>
          <w:i w:val="1"/>
          <w:iCs w:val="1"/>
          <w:color w:val="auto"/>
        </w:rPr>
        <w:t>Service of process</w:t>
      </w:r>
      <w:r>
        <w:rPr>
          <w:rFonts w:ascii="Times New Roman" w:cs="Times New Roman" w:eastAsia="Times New Roman" w:hAnsi="Times New Roman"/>
          <w:sz w:val="11"/>
          <w:szCs w:val="11"/>
          <w:color w:val="auto"/>
        </w:rPr>
        <w:t>), if not an Obligor, has accepted its appointment.</w:t>
      </w:r>
    </w:p>
    <w:p>
      <w:pPr>
        <w:spacing w:after="0" w:line="152"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6.2</w:t>
      </w:r>
      <w:r>
        <w:rPr>
          <w:sz w:val="20"/>
          <w:szCs w:val="20"/>
          <w:color w:val="auto"/>
        </w:rPr>
        <w:tab/>
      </w:r>
      <w:r>
        <w:rPr>
          <w:rFonts w:ascii="Times New Roman" w:cs="Times New Roman" w:eastAsia="Times New Roman" w:hAnsi="Times New Roman"/>
          <w:sz w:val="12"/>
          <w:szCs w:val="12"/>
          <w:color w:val="auto"/>
        </w:rPr>
        <w:t>Two or, as the case may be, three valuations of each Ship, in each case addressed to the Facility Agent on behalf of the Finance Parties, stated to be for the purposes of this Agreement and dated not earlier than 30 days and no later than 10 days before the Utilisation Date, each from an Approved Valuer.</w:t>
      </w:r>
    </w:p>
    <w:p>
      <w:pPr>
        <w:spacing w:after="0" w:line="111"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6.3</w:t>
      </w:r>
      <w:r>
        <w:rPr>
          <w:sz w:val="20"/>
          <w:szCs w:val="20"/>
          <w:color w:val="auto"/>
        </w:rPr>
        <w:tab/>
      </w:r>
      <w:r>
        <w:rPr>
          <w:rFonts w:ascii="Times New Roman" w:cs="Times New Roman" w:eastAsia="Times New Roman" w:hAnsi="Times New Roman"/>
          <w:sz w:val="12"/>
          <w:szCs w:val="12"/>
          <w:color w:val="auto"/>
        </w:rPr>
        <w:t>A copy of any other Authorisation or other document, opinion or assurance which the Facility Agent considers to be necessary or desirable (if it has notified the Borrowers accordingly) in connection with the entry into and performance of the transactions contemplated by any Transaction Document or for the validity and enforceability of any Transaction Document.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6.4</w:t>
      </w:r>
      <w:r>
        <w:rPr>
          <w:sz w:val="20"/>
          <w:szCs w:val="20"/>
          <w:color w:val="auto"/>
        </w:rPr>
        <w:tab/>
      </w:r>
      <w:r>
        <w:rPr>
          <w:rFonts w:ascii="Times New Roman" w:cs="Times New Roman" w:eastAsia="Times New Roman" w:hAnsi="Times New Roman"/>
          <w:sz w:val="11"/>
          <w:szCs w:val="11"/>
          <w:color w:val="auto"/>
        </w:rPr>
        <w:t>The Original Financial Statements.</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170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0" w:right="299" w:bottom="1440" w:gutter="0" w:footer="0" w:header="0"/>
        </w:sectPr>
      </w:pPr>
    </w:p>
    <w:bookmarkStart w:id="557" w:name="page558"/>
    <w:bookmarkEnd w:id="557"/>
    <w:p>
      <w:pPr>
        <w:spacing w:after="0"/>
        <w:tabs>
          <w:tab w:leader="none" w:pos="400" w:val="left"/>
        </w:tabs>
        <w:rPr>
          <w:sz w:val="20"/>
          <w:szCs w:val="20"/>
          <w:color w:val="auto"/>
        </w:rPr>
      </w:pPr>
      <w:r>
        <w:rPr>
          <w:rFonts w:ascii="Times New Roman" w:cs="Times New Roman" w:eastAsia="Times New Roman" w:hAnsi="Times New Roman"/>
          <w:sz w:val="12"/>
          <w:szCs w:val="12"/>
          <w:color w:val="auto"/>
        </w:rPr>
        <w:t>6.5</w:t>
      </w:r>
      <w:r>
        <w:rPr>
          <w:sz w:val="20"/>
          <w:szCs w:val="20"/>
          <w:color w:val="auto"/>
        </w:rPr>
        <w:tab/>
      </w:r>
      <w:r>
        <w:rPr>
          <w:rFonts w:ascii="Times New Roman" w:cs="Times New Roman" w:eastAsia="Times New Roman" w:hAnsi="Times New Roman"/>
          <w:sz w:val="11"/>
          <w:szCs w:val="11"/>
          <w:color w:val="auto"/>
        </w:rPr>
        <w:t>The original of any mandates or other documents required in connection with the opening or operation of the Accounts.</w:t>
      </w:r>
    </w:p>
    <w:p>
      <w:pPr>
        <w:spacing w:after="0" w:line="148" w:lineRule="exact"/>
        <w:rPr>
          <w:sz w:val="20"/>
          <w:szCs w:val="20"/>
          <w:color w:val="auto"/>
        </w:rPr>
      </w:pPr>
    </w:p>
    <w:p>
      <w:pPr>
        <w:ind w:left="420" w:hanging="422"/>
        <w:spacing w:after="0" w:line="283" w:lineRule="auto"/>
        <w:tabs>
          <w:tab w:leader="none" w:pos="400" w:val="left"/>
        </w:tabs>
        <w:rPr>
          <w:sz w:val="20"/>
          <w:szCs w:val="20"/>
          <w:color w:val="auto"/>
        </w:rPr>
      </w:pPr>
      <w:r>
        <w:rPr>
          <w:rFonts w:ascii="Times New Roman" w:cs="Times New Roman" w:eastAsia="Times New Roman" w:hAnsi="Times New Roman"/>
          <w:sz w:val="12"/>
          <w:szCs w:val="12"/>
          <w:color w:val="auto"/>
        </w:rPr>
        <w:t>6.6</w:t>
      </w:r>
      <w:r>
        <w:rPr>
          <w:sz w:val="20"/>
          <w:szCs w:val="20"/>
          <w:color w:val="auto"/>
        </w:rPr>
        <w:tab/>
      </w:r>
      <w:r>
        <w:rPr>
          <w:rFonts w:ascii="Times New Roman" w:cs="Times New Roman" w:eastAsia="Times New Roman" w:hAnsi="Times New Roman"/>
          <w:sz w:val="12"/>
          <w:szCs w:val="12"/>
          <w:color w:val="auto"/>
        </w:rPr>
        <w:t>Evidence that the fees, costs and expenses then due from the Borrowers pursuant to Clause 12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Clause 17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have been paid or will be paid by the Utilisation Date (or at any such later date as the Facility Agent may agree to, acting on the authorisation of the Majority Lenders).</w:t>
      </w:r>
    </w:p>
    <w:p>
      <w:pPr>
        <w:spacing w:after="0" w:line="109" w:lineRule="exact"/>
        <w:rPr>
          <w:sz w:val="20"/>
          <w:szCs w:val="20"/>
          <w:color w:val="auto"/>
        </w:rPr>
      </w:pPr>
    </w:p>
    <w:p>
      <w:pPr>
        <w:ind w:left="420" w:hanging="422"/>
        <w:spacing w:after="0" w:line="279" w:lineRule="auto"/>
        <w:tabs>
          <w:tab w:leader="none" w:pos="400" w:val="left"/>
        </w:tabs>
        <w:rPr>
          <w:sz w:val="20"/>
          <w:szCs w:val="20"/>
          <w:color w:val="auto"/>
        </w:rPr>
      </w:pPr>
      <w:r>
        <w:rPr>
          <w:rFonts w:ascii="Times New Roman" w:cs="Times New Roman" w:eastAsia="Times New Roman" w:hAnsi="Times New Roman"/>
          <w:sz w:val="12"/>
          <w:szCs w:val="12"/>
          <w:color w:val="auto"/>
        </w:rPr>
        <w:t>6.7</w:t>
      </w:r>
      <w:r>
        <w:rPr>
          <w:sz w:val="20"/>
          <w:szCs w:val="20"/>
          <w:color w:val="auto"/>
        </w:rPr>
        <w:tab/>
      </w:r>
      <w:r>
        <w:rPr>
          <w:rFonts w:ascii="Times New Roman" w:cs="Times New Roman" w:eastAsia="Times New Roman" w:hAnsi="Times New Roman"/>
          <w:sz w:val="12"/>
          <w:szCs w:val="12"/>
          <w:color w:val="auto"/>
        </w:rPr>
        <w:t>Satisfactory completion of the Finance Parties' compliance and due diligence requirements in connection with the "know your customer" process or similar identification procedures in relation to the transactions contemplated by the Finance Documents.</w:t>
      </w:r>
    </w:p>
    <w:p>
      <w:pPr>
        <w:spacing w:after="0" w:line="111"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171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435" w:right="299" w:bottom="1440" w:gutter="0" w:footer="0" w:header="0"/>
        </w:sectPr>
      </w:pPr>
    </w:p>
    <w:bookmarkStart w:id="558" w:name="page559"/>
    <w:bookmarkEnd w:id="558"/>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B</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CONDITIONS PRECEDENT TO UTILISATION OF THE LOAN</w:t>
      </w:r>
    </w:p>
    <w:p>
      <w:pPr>
        <w:spacing w:after="0" w:line="150" w:lineRule="exact"/>
        <w:rPr>
          <w:sz w:val="20"/>
          <w:szCs w:val="20"/>
          <w:color w:val="auto"/>
        </w:rPr>
      </w:pPr>
    </w:p>
    <w:p>
      <w:pPr>
        <w:ind w:left="428" w:hanging="428"/>
        <w:spacing w:after="0"/>
        <w:tabs>
          <w:tab w:leader="none" w:pos="428" w:val="left"/>
        </w:tabs>
        <w:numPr>
          <w:ilvl w:val="0"/>
          <w:numId w:val="1026"/>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Borrowers</w:t>
      </w:r>
    </w:p>
    <w:p>
      <w:pPr>
        <w:spacing w:after="0" w:line="152" w:lineRule="exact"/>
        <w:rPr>
          <w:sz w:val="20"/>
          <w:szCs w:val="20"/>
          <w:color w:val="auto"/>
        </w:rPr>
      </w:pPr>
    </w:p>
    <w:p>
      <w:pPr>
        <w:ind w:left="428"/>
        <w:spacing w:after="0" w:line="283" w:lineRule="auto"/>
        <w:rPr>
          <w:sz w:val="20"/>
          <w:szCs w:val="20"/>
          <w:color w:val="auto"/>
        </w:rPr>
      </w:pPr>
      <w:r>
        <w:rPr>
          <w:rFonts w:ascii="Times New Roman" w:cs="Times New Roman" w:eastAsia="Times New Roman" w:hAnsi="Times New Roman"/>
          <w:sz w:val="12"/>
          <w:szCs w:val="12"/>
          <w:color w:val="auto"/>
        </w:rPr>
        <w:t>A certificate of an authorised signatory of each Obligor certifying that each copy document which it is required to provide under this Part B of Schedule 2 (</w:t>
      </w:r>
      <w:r>
        <w:rPr>
          <w:rFonts w:ascii="Times New Roman" w:cs="Times New Roman" w:eastAsia="Times New Roman" w:hAnsi="Times New Roman"/>
          <w:sz w:val="12"/>
          <w:szCs w:val="12"/>
          <w:i w:val="1"/>
          <w:iCs w:val="1"/>
          <w:color w:val="auto"/>
        </w:rPr>
        <w:t>Conditions Precedent</w:t>
      </w:r>
      <w:r>
        <w:rPr>
          <w:rFonts w:ascii="Times New Roman" w:cs="Times New Roman" w:eastAsia="Times New Roman" w:hAnsi="Times New Roman"/>
          <w:sz w:val="12"/>
          <w:szCs w:val="12"/>
          <w:color w:val="auto"/>
        </w:rPr>
        <w:t>) is correct, complete and in full force and effect as at the Utilisation Date.</w:t>
      </w:r>
    </w:p>
    <w:p>
      <w:pPr>
        <w:spacing w:after="0" w:line="105" w:lineRule="exact"/>
        <w:rPr>
          <w:sz w:val="20"/>
          <w:szCs w:val="20"/>
          <w:color w:val="auto"/>
        </w:rPr>
      </w:pPr>
    </w:p>
    <w:p>
      <w:pPr>
        <w:ind w:left="428" w:hanging="428"/>
        <w:spacing w:after="0"/>
        <w:tabs>
          <w:tab w:leader="none" w:pos="428" w:val="left"/>
        </w:tabs>
        <w:numPr>
          <w:ilvl w:val="0"/>
          <w:numId w:val="1027"/>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Release of Existing Security</w:t>
      </w:r>
    </w:p>
    <w:p>
      <w:pPr>
        <w:spacing w:after="0" w:line="154" w:lineRule="exact"/>
        <w:rPr>
          <w:sz w:val="20"/>
          <w:szCs w:val="20"/>
          <w:color w:val="auto"/>
        </w:rPr>
      </w:pPr>
    </w:p>
    <w:p>
      <w:pPr>
        <w:ind w:left="428" w:right="20"/>
        <w:spacing w:after="0" w:line="279" w:lineRule="auto"/>
        <w:rPr>
          <w:sz w:val="20"/>
          <w:szCs w:val="20"/>
          <w:color w:val="auto"/>
        </w:rPr>
      </w:pPr>
      <w:r>
        <w:rPr>
          <w:rFonts w:ascii="Times New Roman" w:cs="Times New Roman" w:eastAsia="Times New Roman" w:hAnsi="Times New Roman"/>
          <w:sz w:val="12"/>
          <w:szCs w:val="12"/>
          <w:color w:val="auto"/>
        </w:rPr>
        <w:t>An original of each Deed of Release relating to an Obligor and a Ship and of each document to be delivered under or pursuant to it, together with evidence satisfactory to the Facility Agent of its due execution by the parties to it.</w:t>
      </w:r>
    </w:p>
    <w:p>
      <w:pPr>
        <w:spacing w:after="0" w:line="107" w:lineRule="exact"/>
        <w:rPr>
          <w:sz w:val="20"/>
          <w:szCs w:val="20"/>
          <w:color w:val="auto"/>
        </w:rPr>
      </w:pPr>
    </w:p>
    <w:p>
      <w:pPr>
        <w:ind w:left="428" w:hanging="428"/>
        <w:spacing w:after="0"/>
        <w:tabs>
          <w:tab w:leader="none" w:pos="428" w:val="left"/>
        </w:tabs>
        <w:numPr>
          <w:ilvl w:val="0"/>
          <w:numId w:val="1028"/>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Ship and other security</w:t>
      </w:r>
    </w:p>
    <w:p>
      <w:pPr>
        <w:spacing w:after="0" w:line="154"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3.1</w:t>
      </w:r>
      <w:r>
        <w:rPr>
          <w:sz w:val="20"/>
          <w:szCs w:val="20"/>
          <w:color w:val="auto"/>
        </w:rPr>
        <w:tab/>
      </w:r>
      <w:r>
        <w:rPr>
          <w:rFonts w:ascii="Times New Roman" w:cs="Times New Roman" w:eastAsia="Times New Roman" w:hAnsi="Times New Roman"/>
          <w:sz w:val="12"/>
          <w:szCs w:val="12"/>
          <w:color w:val="auto"/>
        </w:rPr>
        <w:t>A duly executed original of the Mortgage, the General Assignment and the Charterparty Assignment (as applicable) in respect of a Ship and of each document to be delivered under or pursuant to each of them together with documentary evidence that the Mortgage has been duly registered as a valid first preferred or, as the case may, priority ship mortgage in accordance with the laws of the jurisdiction of its Approved Flag.</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3.2</w:t>
      </w:r>
      <w:r>
        <w:rPr>
          <w:sz w:val="20"/>
          <w:szCs w:val="20"/>
          <w:color w:val="auto"/>
        </w:rPr>
        <w:tab/>
      </w:r>
      <w:r>
        <w:rPr>
          <w:rFonts w:ascii="Times New Roman" w:cs="Times New Roman" w:eastAsia="Times New Roman" w:hAnsi="Times New Roman"/>
          <w:sz w:val="11"/>
          <w:szCs w:val="11"/>
          <w:color w:val="auto"/>
        </w:rPr>
        <w:t>Documentary evidence that a Ship:</w:t>
      </w:r>
    </w:p>
    <w:p>
      <w:pPr>
        <w:spacing w:after="0" w:line="150" w:lineRule="exact"/>
        <w:rPr>
          <w:sz w:val="20"/>
          <w:szCs w:val="20"/>
          <w:color w:val="auto"/>
        </w:rPr>
      </w:pPr>
    </w:p>
    <w:p>
      <w:pPr>
        <w:ind w:left="428" w:hanging="428"/>
        <w:spacing w:after="0"/>
        <w:tabs>
          <w:tab w:leader="none" w:pos="428"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definitively and permanently registered in the name of the relevant Borrower under the Approved Flag applicable to that Ship;</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 the absolute and unencumbered ownership of the relevant Borrower save as contemplated by the Finance Documents;</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maintains the Approved Classification with the Approved Classification Society free of all overdue recommendations and conditions of the Approved Classification Society;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2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is insured in accordance with the provisions of this Agreement and all requirements in this Agreement in respect of insurances have been complied with.</w:t>
      </w:r>
    </w:p>
    <w:p>
      <w:pPr>
        <w:spacing w:after="0" w:line="150"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3.3</w:t>
      </w:r>
      <w:r>
        <w:rPr>
          <w:sz w:val="20"/>
          <w:szCs w:val="20"/>
          <w:color w:val="auto"/>
        </w:rPr>
        <w:tab/>
      </w:r>
      <w:r>
        <w:rPr>
          <w:rFonts w:ascii="Times New Roman" w:cs="Times New Roman" w:eastAsia="Times New Roman" w:hAnsi="Times New Roman"/>
          <w:sz w:val="12"/>
          <w:szCs w:val="12"/>
          <w:color w:val="auto"/>
        </w:rPr>
        <w:t>Documents establishing that a Ship will, as from the Utilisation Date, be managed commercially by the Approved Commercial Manager and managed technically by the Approved Technical Manager on terms acceptable to the</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Facility Agent, together with:</w:t>
      </w:r>
    </w:p>
    <w:p>
      <w:pPr>
        <w:spacing w:after="0" w:line="139" w:lineRule="exact"/>
        <w:rPr>
          <w:sz w:val="20"/>
          <w:szCs w:val="20"/>
          <w:color w:val="auto"/>
        </w:rPr>
      </w:pPr>
    </w:p>
    <w:p>
      <w:pPr>
        <w:ind w:left="428" w:hanging="428"/>
        <w:spacing w:after="0"/>
        <w:tabs>
          <w:tab w:leader="none" w:pos="428" w:val="left"/>
        </w:tabs>
        <w:numPr>
          <w:ilvl w:val="0"/>
          <w:numId w:val="10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 Manager's Undertaking for each of the Approved Technical Manager and the Approved Commercial Manager in relation to a Ship; and</w:t>
      </w:r>
    </w:p>
    <w:p>
      <w:pPr>
        <w:spacing w:after="0" w:line="150" w:lineRule="exact"/>
        <w:rPr>
          <w:rFonts w:ascii="Times New Roman" w:cs="Times New Roman" w:eastAsia="Times New Roman" w:hAnsi="Times New Roman"/>
          <w:sz w:val="12"/>
          <w:szCs w:val="12"/>
          <w:color w:val="auto"/>
        </w:rPr>
      </w:pPr>
    </w:p>
    <w:p>
      <w:pPr>
        <w:ind w:left="428" w:right="20" w:hanging="428"/>
        <w:spacing w:after="0" w:line="279" w:lineRule="auto"/>
        <w:tabs>
          <w:tab w:leader="none" w:pos="428" w:val="left"/>
        </w:tabs>
        <w:numPr>
          <w:ilvl w:val="0"/>
          <w:numId w:val="103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copies of the Inventory of Hazardous Materials relating to the Ship, the Approved Technical Manager's Document of Compliance and of a Ship's Safety Management Certificate (together with any other details of the applicable Safety Management System which the Facility Agent requires) and of any other documents required under the ISM Code and the ISPS Code in relation to a Ship including, without limitation, an ISSC.</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3.4</w:t>
      </w:r>
      <w:r>
        <w:rPr>
          <w:sz w:val="20"/>
          <w:szCs w:val="20"/>
          <w:color w:val="auto"/>
        </w:rPr>
        <w:tab/>
      </w:r>
      <w:r>
        <w:rPr>
          <w:rFonts w:ascii="Times New Roman" w:cs="Times New Roman" w:eastAsia="Times New Roman" w:hAnsi="Times New Roman"/>
          <w:sz w:val="11"/>
          <w:szCs w:val="11"/>
          <w:color w:val="auto"/>
        </w:rPr>
        <w:t>If required by the Facility Agent, copies of all statutory documentation relating to the energy efficiency of each Ship (including, without limitation any IEEC and IMO DCS data).</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172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559" w:name="page560"/>
    <w:bookmarkEnd w:id="559"/>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3.5</w:t>
      </w:r>
      <w:r>
        <w:rPr>
          <w:sz w:val="20"/>
          <w:szCs w:val="20"/>
          <w:color w:val="auto"/>
        </w:rPr>
        <w:tab/>
      </w:r>
      <w:r>
        <w:rPr>
          <w:rFonts w:ascii="Times New Roman" w:cs="Times New Roman" w:eastAsia="Times New Roman" w:hAnsi="Times New Roman"/>
          <w:sz w:val="11"/>
          <w:szCs w:val="11"/>
          <w:color w:val="auto"/>
        </w:rPr>
        <w:t>At the cost of a Borrower, an opinion from an independent insurance consultant acceptable to the Facility Agent on such matters relating to the Insurances as the Facility Agent may require.</w:t>
      </w:r>
    </w:p>
    <w:p>
      <w:pPr>
        <w:spacing w:after="0" w:line="146" w:lineRule="exact"/>
        <w:rPr>
          <w:sz w:val="20"/>
          <w:szCs w:val="20"/>
          <w:color w:val="auto"/>
        </w:rPr>
      </w:pPr>
    </w:p>
    <w:p>
      <w:pPr>
        <w:ind w:left="428" w:hanging="428"/>
        <w:spacing w:after="0"/>
        <w:tabs>
          <w:tab w:leader="none" w:pos="428" w:val="left"/>
        </w:tabs>
        <w:numPr>
          <w:ilvl w:val="0"/>
          <w:numId w:val="103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Legal opinions</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Legal opinions of the legal advisers to the Facility Agent and the Security Agent in the jurisdiction of the Approved Flag of each Ship and such other relevant jurisdictions as the Facility Agent may require.</w:t>
      </w:r>
    </w:p>
    <w:p>
      <w:pPr>
        <w:spacing w:after="0" w:line="146" w:lineRule="exact"/>
        <w:rPr>
          <w:sz w:val="20"/>
          <w:szCs w:val="20"/>
          <w:color w:val="auto"/>
        </w:rPr>
      </w:pPr>
    </w:p>
    <w:p>
      <w:pPr>
        <w:ind w:left="428" w:hanging="428"/>
        <w:spacing w:after="0"/>
        <w:tabs>
          <w:tab w:leader="none" w:pos="428" w:val="left"/>
        </w:tabs>
        <w:numPr>
          <w:ilvl w:val="0"/>
          <w:numId w:val="103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Other documents and evidence</w:t>
      </w:r>
    </w:p>
    <w:p>
      <w:pPr>
        <w:spacing w:after="0" w:line="152" w:lineRule="exact"/>
        <w:rPr>
          <w:sz w:val="20"/>
          <w:szCs w:val="20"/>
          <w:color w:val="auto"/>
        </w:rPr>
      </w:pPr>
    </w:p>
    <w:p>
      <w:pPr>
        <w:ind w:left="428" w:hanging="422"/>
        <w:spacing w:after="0" w:line="283" w:lineRule="auto"/>
        <w:tabs>
          <w:tab w:leader="none" w:pos="408" w:val="left"/>
        </w:tabs>
        <w:rPr>
          <w:sz w:val="20"/>
          <w:szCs w:val="20"/>
          <w:color w:val="auto"/>
        </w:rPr>
      </w:pPr>
      <w:r>
        <w:rPr>
          <w:rFonts w:ascii="Times New Roman" w:cs="Times New Roman" w:eastAsia="Times New Roman" w:hAnsi="Times New Roman"/>
          <w:sz w:val="12"/>
          <w:szCs w:val="12"/>
          <w:color w:val="auto"/>
        </w:rPr>
        <w:t>5.1</w:t>
      </w:r>
      <w:r>
        <w:rPr>
          <w:sz w:val="20"/>
          <w:szCs w:val="20"/>
          <w:color w:val="auto"/>
        </w:rPr>
        <w:tab/>
      </w:r>
      <w:r>
        <w:rPr>
          <w:rFonts w:ascii="Times New Roman" w:cs="Times New Roman" w:eastAsia="Times New Roman" w:hAnsi="Times New Roman"/>
          <w:sz w:val="12"/>
          <w:szCs w:val="12"/>
          <w:color w:val="auto"/>
        </w:rPr>
        <w:t>Evidence that the fees, costs and expenses then due from the Borrowers pursuant to Clause 12 (</w:t>
      </w:r>
      <w:r>
        <w:rPr>
          <w:rFonts w:ascii="Times New Roman" w:cs="Times New Roman" w:eastAsia="Times New Roman" w:hAnsi="Times New Roman"/>
          <w:sz w:val="12"/>
          <w:szCs w:val="12"/>
          <w:i w:val="1"/>
          <w:iCs w:val="1"/>
          <w:color w:val="auto"/>
        </w:rPr>
        <w:t>Fees</w:t>
      </w:r>
      <w:r>
        <w:rPr>
          <w:rFonts w:ascii="Times New Roman" w:cs="Times New Roman" w:eastAsia="Times New Roman" w:hAnsi="Times New Roman"/>
          <w:sz w:val="12"/>
          <w:szCs w:val="12"/>
          <w:color w:val="auto"/>
        </w:rPr>
        <w:t>) and Clause 17 (</w:t>
      </w:r>
      <w:r>
        <w:rPr>
          <w:rFonts w:ascii="Times New Roman" w:cs="Times New Roman" w:eastAsia="Times New Roman" w:hAnsi="Times New Roman"/>
          <w:sz w:val="12"/>
          <w:szCs w:val="12"/>
          <w:i w:val="1"/>
          <w:iCs w:val="1"/>
          <w:color w:val="auto"/>
        </w:rPr>
        <w:t>Costs and Expenses</w:t>
      </w:r>
      <w:r>
        <w:rPr>
          <w:rFonts w:ascii="Times New Roman" w:cs="Times New Roman" w:eastAsia="Times New Roman" w:hAnsi="Times New Roman"/>
          <w:sz w:val="12"/>
          <w:szCs w:val="12"/>
          <w:color w:val="auto"/>
        </w:rPr>
        <w:t>) have been paid or will be paid by the Utilisation Date (or at any such later date as the Facility Agent may agree to, acting on the authorisation of the Majority Lenders).</w:t>
      </w:r>
    </w:p>
    <w:p>
      <w:pPr>
        <w:spacing w:after="0" w:line="109" w:lineRule="exact"/>
        <w:rPr>
          <w:sz w:val="20"/>
          <w:szCs w:val="20"/>
          <w:color w:val="auto"/>
        </w:rPr>
      </w:pPr>
    </w:p>
    <w:p>
      <w:pPr>
        <w:ind w:left="428" w:hanging="422"/>
        <w:spacing w:after="0" w:line="279" w:lineRule="auto"/>
        <w:tabs>
          <w:tab w:leader="none" w:pos="408" w:val="left"/>
        </w:tabs>
        <w:rPr>
          <w:sz w:val="20"/>
          <w:szCs w:val="20"/>
          <w:color w:val="auto"/>
        </w:rPr>
      </w:pPr>
      <w:r>
        <w:rPr>
          <w:rFonts w:ascii="Times New Roman" w:cs="Times New Roman" w:eastAsia="Times New Roman" w:hAnsi="Times New Roman"/>
          <w:sz w:val="12"/>
          <w:szCs w:val="12"/>
          <w:color w:val="auto"/>
        </w:rPr>
        <w:t>5.2</w:t>
      </w:r>
      <w:r>
        <w:rPr>
          <w:sz w:val="20"/>
          <w:szCs w:val="20"/>
          <w:color w:val="auto"/>
        </w:rPr>
        <w:tab/>
      </w:r>
      <w:r>
        <w:rPr>
          <w:rFonts w:ascii="Times New Roman" w:cs="Times New Roman" w:eastAsia="Times New Roman" w:hAnsi="Times New Roman"/>
          <w:sz w:val="12"/>
          <w:szCs w:val="12"/>
          <w:color w:val="auto"/>
        </w:rPr>
        <w:t>A copy of any other Authorisation or other document, opinion or assurance which the Lenders consider to be necessary or desirable (if they have notified the Borrowers accordingly) in connection with the entry into and performance of the transactions contemplated by any Transaction Document referred to in paragraph 3 (</w:t>
      </w:r>
      <w:r>
        <w:rPr>
          <w:rFonts w:ascii="Times New Roman" w:cs="Times New Roman" w:eastAsia="Times New Roman" w:hAnsi="Times New Roman"/>
          <w:sz w:val="12"/>
          <w:szCs w:val="12"/>
          <w:i w:val="1"/>
          <w:iCs w:val="1"/>
          <w:color w:val="auto"/>
        </w:rPr>
        <w:t>Ship and other security</w:t>
      </w:r>
      <w:r>
        <w:rPr>
          <w:rFonts w:ascii="Times New Roman" w:cs="Times New Roman" w:eastAsia="Times New Roman" w:hAnsi="Times New Roman"/>
          <w:sz w:val="12"/>
          <w:szCs w:val="12"/>
          <w:color w:val="auto"/>
        </w:rPr>
        <w:t>) above or for the validity and enforceability of any such Transaction Document.</w:t>
      </w:r>
    </w:p>
    <w:p>
      <w:pPr>
        <w:spacing w:after="0" w:line="111" w:lineRule="exact"/>
        <w:rPr>
          <w:sz w:val="20"/>
          <w:szCs w:val="20"/>
          <w:color w:val="auto"/>
        </w:rPr>
      </w:pPr>
    </w:p>
    <w:p>
      <w:pPr>
        <w:ind w:left="8"/>
        <w:spacing w:after="0"/>
        <w:tabs>
          <w:tab w:leader="none" w:pos="408" w:val="left"/>
        </w:tabs>
        <w:rPr>
          <w:sz w:val="20"/>
          <w:szCs w:val="20"/>
          <w:color w:val="auto"/>
        </w:rPr>
      </w:pPr>
      <w:r>
        <w:rPr>
          <w:rFonts w:ascii="Times New Roman" w:cs="Times New Roman" w:eastAsia="Times New Roman" w:hAnsi="Times New Roman"/>
          <w:sz w:val="12"/>
          <w:szCs w:val="12"/>
          <w:color w:val="auto"/>
        </w:rPr>
        <w:t>5.3</w:t>
      </w:r>
      <w:r>
        <w:rPr>
          <w:sz w:val="20"/>
          <w:szCs w:val="20"/>
          <w:color w:val="auto"/>
        </w:rPr>
        <w:tab/>
      </w:r>
      <w:r>
        <w:rPr>
          <w:rFonts w:ascii="Times New Roman" w:cs="Times New Roman" w:eastAsia="Times New Roman" w:hAnsi="Times New Roman"/>
          <w:sz w:val="11"/>
          <w:szCs w:val="11"/>
          <w:color w:val="auto"/>
        </w:rPr>
        <w:t>Upon the Facility Agent's request each Ship's EEXI Technical File.</w:t>
      </w:r>
    </w:p>
    <w:p>
      <w:pPr>
        <w:spacing w:after="0" w:line="150" w:lineRule="exact"/>
        <w:rPr>
          <w:sz w:val="20"/>
          <w:szCs w:val="20"/>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Each of the documents specified in paragraphs 1.2, 1.3 and 1.5 of Part A shall be notarised or legalised by a competent authority acceptable to the Facility Agent and every other copy document delivered under this Schedule shall be certified as a true and up to date copy by the secretary (or equivalent officer) of the relevant Borrower.</w:t>
      </w:r>
    </w:p>
    <w:p>
      <w:pPr>
        <w:spacing w:after="0" w:line="111"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173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60" w:name="page561"/>
    <w:bookmarkEnd w:id="560"/>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3</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REQUESTS</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A</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UTILISATION REQUEST</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ZEUS ONE MARINE LLC</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HEPHAESTUS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PERICLES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55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57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58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59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60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61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62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63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64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65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66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72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73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74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75 LLC</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UBS AG</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ZEUS ONE MARINE LLC, HEPHAESTUS MARINE LLC, PERICLES MARINE LLC, GLOBAL SHIP LEASE 55 LLC, GLOBAL SHIP LEASE 57 LLC, GLOBAL SHIP LEASE 58 LLC, GLOBAL SHIP LEASE 59 LLC, GLOBAL SHIP LEASE 60 LLC, GLOBAL SHIP LEASE 61 LLC, GLOBAL SHIP LEASE 62 LLC, GLOBAL SHIP LEASE 63 LLC, GLOBAL SHIP LEASE 64 LLC, GLOBAL SHIP LEASE 65 LLC, GLOBAL SHIP LEASE 66 LLC, GLOBAL SHIP LEASE 72 LLC, GLOBAL SHIP LEASE 73 LLC, GLOBAL SHIP LEASE 74 LLC and GLOBAL SHIP LEASE 75 LLC – US$85,000,000 Facility Agreement dated [●] 2025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8" w:hanging="428"/>
        <w:spacing w:after="0"/>
        <w:tabs>
          <w:tab w:leader="none" w:pos="428" w:val="left"/>
        </w:tabs>
        <w:numPr>
          <w:ilvl w:val="0"/>
          <w:numId w:val="10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the Utilisation Request. Terms defined in the Agreement have the same meaning in this Utilisation Request unless given a different meaning in this Utilisation Request.</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wish to borrow the Loan on the following terms:</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Proposed Utilisation Date: [●] (or, if that is not a Business Day, the next Business Day)</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 or, if less, the Available Facility</w:t>
      </w:r>
    </w:p>
    <w:p>
      <w:pPr>
        <w:spacing w:after="0" w:line="150"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Interest Period: [●]</w:t>
      </w:r>
    </w:p>
    <w:p>
      <w:pPr>
        <w:spacing w:after="0" w:line="150"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174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561" w:name="page562"/>
    <w:bookmarkEnd w:id="561"/>
    <w:p>
      <w:pPr>
        <w:ind w:left="428" w:right="3880" w:hanging="428"/>
        <w:spacing w:after="0" w:line="500" w:lineRule="auto"/>
        <w:tabs>
          <w:tab w:leader="none" w:pos="426" w:val="left"/>
        </w:tabs>
        <w:numPr>
          <w:ilvl w:val="0"/>
          <w:numId w:val="10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You are authorised and requested to deduct from the Loan prior to funds being remitted the following amounts set out against the following items: Deductible Items $</w:t>
      </w:r>
    </w:p>
    <w:p>
      <w:pPr>
        <w:spacing w:after="0" w:line="1" w:lineRule="exact"/>
        <w:rPr>
          <w:rFonts w:ascii="Times New Roman" w:cs="Times New Roman" w:eastAsia="Times New Roman" w:hAnsi="Times New Roman"/>
          <w:sz w:val="12"/>
          <w:szCs w:val="12"/>
          <w:color w:val="auto"/>
        </w:rPr>
      </w:pPr>
    </w:p>
    <w:p>
      <w:pPr>
        <w:ind w:left="42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Arrangement fee $850,000</w:t>
      </w:r>
    </w:p>
    <w:p>
      <w:pPr>
        <w:spacing w:after="0" w:line="200" w:lineRule="exact"/>
        <w:rPr>
          <w:sz w:val="20"/>
          <w:szCs w:val="20"/>
          <w:color w:val="auto"/>
        </w:rPr>
      </w:pPr>
    </w:p>
    <w:p>
      <w:pPr>
        <w:spacing w:after="0" w:line="236" w:lineRule="exact"/>
        <w:rPr>
          <w:sz w:val="20"/>
          <w:szCs w:val="20"/>
          <w:color w:val="auto"/>
        </w:rPr>
      </w:pPr>
    </w:p>
    <w:p>
      <w:pPr>
        <w:ind w:left="428" w:hanging="428"/>
        <w:spacing w:after="0" w:line="283" w:lineRule="auto"/>
        <w:tabs>
          <w:tab w:leader="none" w:pos="428" w:val="left"/>
        </w:tabs>
        <w:numPr>
          <w:ilvl w:val="0"/>
          <w:numId w:val="10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 that each condition specified in Clause 4.1 (</w:t>
      </w:r>
      <w:r>
        <w:rPr>
          <w:rFonts w:ascii="Times New Roman" w:cs="Times New Roman" w:eastAsia="Times New Roman" w:hAnsi="Times New Roman"/>
          <w:sz w:val="12"/>
          <w:szCs w:val="12"/>
          <w:i w:val="1"/>
          <w:iCs w:val="1"/>
          <w:color w:val="auto"/>
        </w:rPr>
        <w:t>Initial conditions precedent</w:t>
      </w:r>
      <w:r>
        <w:rPr>
          <w:rFonts w:ascii="Times New Roman" w:cs="Times New Roman" w:eastAsia="Times New Roman" w:hAnsi="Times New Roman"/>
          <w:sz w:val="12"/>
          <w:szCs w:val="12"/>
          <w:color w:val="auto"/>
        </w:rPr>
        <w:t>) and Clause 4.2 (</w:t>
      </w:r>
      <w:r>
        <w:rPr>
          <w:rFonts w:ascii="Times New Roman" w:cs="Times New Roman" w:eastAsia="Times New Roman" w:hAnsi="Times New Roman"/>
          <w:sz w:val="12"/>
          <w:szCs w:val="12"/>
          <w:i w:val="1"/>
          <w:iCs w:val="1"/>
          <w:color w:val="auto"/>
        </w:rPr>
        <w:t>Further conditions precedent</w:t>
      </w:r>
      <w:r>
        <w:rPr>
          <w:rFonts w:ascii="Times New Roman" w:cs="Times New Roman" w:eastAsia="Times New Roman" w:hAnsi="Times New Roman"/>
          <w:sz w:val="12"/>
          <w:szCs w:val="12"/>
          <w:color w:val="auto"/>
        </w:rPr>
        <w:t>) of the Agreement as they relate to the Loan to which this Utilisation Request refers is satisfied on the date of this Utilisation Request.</w:t>
      </w:r>
    </w:p>
    <w:p>
      <w:pPr>
        <w:spacing w:after="0" w:line="109" w:lineRule="exact"/>
        <w:rPr>
          <w:sz w:val="20"/>
          <w:szCs w:val="20"/>
          <w:color w:val="auto"/>
        </w:rPr>
      </w:pPr>
    </w:p>
    <w:p>
      <w:pPr>
        <w:ind w:left="428" w:hanging="428"/>
        <w:spacing w:after="0"/>
        <w:tabs>
          <w:tab w:leader="none" w:pos="428" w:val="left"/>
        </w:tabs>
        <w:numPr>
          <w:ilvl w:val="0"/>
          <w:numId w:val="10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net proceeds of the Loan should be credited to [account].</w:t>
      </w:r>
    </w:p>
    <w:p>
      <w:pPr>
        <w:spacing w:after="0" w:line="150" w:lineRule="exact"/>
        <w:rPr>
          <w:rFonts w:ascii="Times New Roman" w:cs="Times New Roman" w:eastAsia="Times New Roman" w:hAnsi="Times New Roman"/>
          <w:sz w:val="12"/>
          <w:szCs w:val="12"/>
          <w:color w:val="auto"/>
        </w:rPr>
      </w:pPr>
    </w:p>
    <w:p>
      <w:pPr>
        <w:ind w:left="8" w:right="9000"/>
        <w:spacing w:after="0" w:line="530"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 This Utilisation Request is irrevocable. Yours faithfully</w:t>
      </w: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Zeus One Marine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Hephaeustus Marine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Pericles Marine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Global Ship Lease 55 LLC</w:t>
      </w:r>
    </w:p>
    <w:p>
      <w:pPr>
        <w:spacing w:after="0" w:line="139"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175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5" w:right="299" w:bottom="1440" w:gutter="0" w:footer="0" w:header="0"/>
        </w:sectPr>
      </w:pPr>
    </w:p>
    <w:bookmarkStart w:id="562" w:name="page563"/>
    <w:bookmarkEnd w:id="562"/>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57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58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59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60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61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62 LLC</w:t>
      </w:r>
    </w:p>
    <w:p>
      <w:pPr>
        <w:spacing w:after="0" w:line="139"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176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10" w:right="29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63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64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65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66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72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73 LLC</w:t>
      </w:r>
    </w:p>
    <w:p>
      <w:pPr>
        <w:spacing w:after="0" w:line="139"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177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11" w:right="299" w:bottom="1440" w:gutter="0" w:footer="0" w:header="0"/>
        </w:sectPr>
      </w:pPr>
    </w:p>
    <w:bookmarkStart w:id="564" w:name="page565"/>
    <w:bookmarkEnd w:id="564"/>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74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75 LLC</w:t>
      </w:r>
    </w:p>
    <w:p>
      <w:pPr>
        <w:spacing w:after="0" w:line="139"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178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010" w:right="299" w:bottom="1440" w:gutter="0" w:footer="0" w:header="0"/>
        </w:sectPr>
      </w:pPr>
    </w:p>
    <w:bookmarkStart w:id="565" w:name="page566"/>
    <w:bookmarkEnd w:id="565"/>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B</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SELECTION NOTICE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ZEUS ONE MARINE LLC</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HEPHAESTUS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PERICLES MARINE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55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57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58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59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60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61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62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63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64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65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66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72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73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74 LLC</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GLOBAL SHIP LEASE 75 LLC</w:t>
      </w:r>
    </w:p>
    <w:p>
      <w:pPr>
        <w:spacing w:after="0" w:line="13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UBS AG</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ZEUS ONE MARINE LLC, HEPHAESTUS MARINE LLC, PERICLES MARINE LLC, GLOBAL SHIP LEASE 55 LLC, GLOBAL SHIP LEASE 57 LLC, GLOBAL SHIP LEASE 58 LLC, GLOBAL SHIP LEASE 59 LLC, GLOBAL SHIP LEASE 60 LLC, GLOBAL SHIP LEASE 61 LLC, GLOBAL SHIP LEASE 62 LLC, GLOBAL SHIP LEASE 63 LLC, GLOBAL SHIP LEASE 64 LLC, GLOBAL SHIP LEASE 65 LLC, GLOBAL SHIP LEASE 66 LLC, GLOBAL SHIP LEASE 72 LLC, GLOBAL SHIP LEASE 73 LLC, GLOBAL SHIP LEASE 74 LLC and GLOBAL SHIP LEASE 75 LLC – US$85,000,000 Facility Agreement dated [●] 2025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8" w:hanging="428"/>
        <w:spacing w:after="0"/>
        <w:tabs>
          <w:tab w:leader="none" w:pos="428" w:val="left"/>
        </w:tabs>
        <w:numPr>
          <w:ilvl w:val="0"/>
          <w:numId w:val="103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Selection Notice. Terms defined in the Agreement have the same meaning in this Selection Notice unless given a different meaning in this Selection Notice.</w:t>
      </w:r>
    </w:p>
    <w:p>
      <w:pPr>
        <w:spacing w:after="0" w:line="150" w:lineRule="exact"/>
        <w:rPr>
          <w:sz w:val="20"/>
          <w:szCs w:val="20"/>
          <w:color w:val="auto"/>
        </w:rPr>
      </w:pPr>
    </w:p>
    <w:p>
      <w:pPr>
        <w:ind w:left="428" w:hanging="428"/>
        <w:spacing w:after="0" w:line="279" w:lineRule="auto"/>
        <w:tabs>
          <w:tab w:leader="none" w:pos="428" w:val="left"/>
        </w:tabs>
        <w:numPr>
          <w:ilvl w:val="0"/>
          <w:numId w:val="10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request [that the next Interest Period for the Loan be [●]] OR [an Interest Period for a part of the Loan in an amount equal to [●] (which is the amount of the Repayment Instalment next due) ending on [●] (which is the Repayment Date relating to that Repayment Instalment) and that the Interest Period for the remaining part of the Loan shall be [●]].</w:t>
      </w:r>
    </w:p>
    <w:p>
      <w:pPr>
        <w:spacing w:after="0" w:line="111" w:lineRule="exact"/>
        <w:rPr>
          <w:sz w:val="20"/>
          <w:szCs w:val="20"/>
          <w:color w:val="auto"/>
        </w:rPr>
      </w:pPr>
    </w:p>
    <w:p>
      <w:pPr>
        <w:ind w:left="8" w:right="9140" w:hanging="8"/>
        <w:spacing w:after="0" w:line="530" w:lineRule="auto"/>
        <w:tabs>
          <w:tab w:leader="none" w:pos="431" w:val="left"/>
        </w:tabs>
        <w:numPr>
          <w:ilvl w:val="0"/>
          <w:numId w:val="10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Selection Notice is irrevocable. Yours faithfully</w:t>
      </w:r>
    </w:p>
    <w:p>
      <w:pPr>
        <w:spacing w:after="0" w:line="200" w:lineRule="exact"/>
        <w:rPr>
          <w:sz w:val="20"/>
          <w:szCs w:val="20"/>
          <w:color w:val="auto"/>
        </w:rPr>
      </w:pPr>
    </w:p>
    <w:p>
      <w:pPr>
        <w:spacing w:after="0" w:line="34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Zeus One Marine LLC</w:t>
      </w:r>
    </w:p>
    <w:p>
      <w:pPr>
        <w:spacing w:after="0" w:line="200" w:lineRule="exact"/>
        <w:rPr>
          <w:sz w:val="20"/>
          <w:szCs w:val="20"/>
          <w:color w:val="auto"/>
        </w:rPr>
      </w:pPr>
    </w:p>
    <w:p>
      <w:pPr>
        <w:spacing w:after="0" w:line="227"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179</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66" w:name="page567"/>
    <w:bookmarkEnd w:id="566"/>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Hephaeustus Marine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Pericles Marine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55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57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58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59 LLC</w:t>
      </w:r>
    </w:p>
    <w:p>
      <w:pPr>
        <w:spacing w:after="0" w:line="200" w:lineRule="exact"/>
        <w:rPr>
          <w:sz w:val="20"/>
          <w:szCs w:val="20"/>
          <w:color w:val="auto"/>
        </w:rPr>
      </w:pPr>
    </w:p>
    <w:p>
      <w:pPr>
        <w:spacing w:after="0" w:line="227"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180</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67" w:name="page568"/>
    <w:bookmarkEnd w:id="567"/>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60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61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62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63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64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65 LLC</w:t>
      </w:r>
    </w:p>
    <w:p>
      <w:pPr>
        <w:spacing w:after="0" w:line="200" w:lineRule="exact"/>
        <w:rPr>
          <w:sz w:val="20"/>
          <w:szCs w:val="20"/>
          <w:color w:val="auto"/>
        </w:rPr>
      </w:pPr>
    </w:p>
    <w:p>
      <w:pPr>
        <w:spacing w:after="0" w:line="227"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181</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723" w:right="299" w:bottom="1440" w:gutter="0" w:footer="0" w:header="0"/>
        </w:sectPr>
      </w:pPr>
    </w:p>
    <w:bookmarkStart w:id="568" w:name="page569"/>
    <w:bookmarkEnd w:id="568"/>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66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72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73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74 LLC</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authorised signatory for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Global Ship Lease 75 LLC</w:t>
      </w:r>
    </w:p>
    <w:p>
      <w:pPr>
        <w:spacing w:after="0" w:line="139"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182</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06" w:right="299" w:bottom="1440" w:gutter="0" w:footer="0" w:header="0"/>
        </w:sectPr>
      </w:pPr>
    </w:p>
    <w:bookmarkStart w:id="569" w:name="page570"/>
    <w:bookmarkEnd w:id="569"/>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4</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TRANSFER CERTIFICATE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UBS AG as Facility Agent</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[the Existing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and [the New Lender]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ZEUS ONE MARINE LLC, HEPHAESTUS MARINE LLC, PERICLES MARINE LLC, GLOBAL SHIP LEASE 55 LLC, GLOBAL SHIP LEASE 57 LLC, GLOBAL SHIP LEASE 58 LLC, GLOBAL SHIP LEASE 59 LLC, GLOBAL SHIP LEASE 60 LLC, GLOBAL SHIP LEASE 61 LLC, GLOBAL SHIP LEASE 62 LLC, GLOBAL SHIP LEASE 63 LLC, GLOBAL SHIP LEASE 64 LLC, GLOBAL SHIP LEASE 65 LLC, GLOBAL SHIP LEASE 66 LLC, GLOBAL SHIP LEASE 72 LLC, GLOBAL SHIP LEASE 73 LLC, GLOBAL SHIP LEASE 74 LLC and GLOBAL SHIP LEASE 75 LLC – US$85,000,000 Facility Agreement dated [●] 2025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8" w:hanging="428"/>
        <w:spacing w:after="0"/>
        <w:tabs>
          <w:tab w:leader="none" w:pos="428" w:val="left"/>
        </w:tabs>
        <w:numPr>
          <w:ilvl w:val="0"/>
          <w:numId w:val="10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Transfer Certificate. Terms defined in the Agreement have the same meaning in this Transfer Certificate unless given a different meaning in this Transfer Certificate.</w:t>
      </w:r>
    </w:p>
    <w:p>
      <w:pPr>
        <w:spacing w:after="0" w:line="14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refer to Clause 30.5 (</w:t>
      </w:r>
      <w:r>
        <w:rPr>
          <w:rFonts w:ascii="Times New Roman" w:cs="Times New Roman" w:eastAsia="Times New Roman" w:hAnsi="Times New Roman"/>
          <w:sz w:val="11"/>
          <w:szCs w:val="11"/>
          <w:i w:val="1"/>
          <w:iCs w:val="1"/>
          <w:color w:val="auto"/>
        </w:rPr>
        <w:t>Procedure for transfer</w:t>
      </w:r>
      <w:r>
        <w:rPr>
          <w:rFonts w:ascii="Times New Roman" w:cs="Times New Roman" w:eastAsia="Times New Roman" w:hAnsi="Times New Roman"/>
          <w:sz w:val="11"/>
          <w:szCs w:val="11"/>
          <w:color w:val="auto"/>
        </w:rPr>
        <w:t>) of the Agreement:</w:t>
      </w:r>
    </w:p>
    <w:p>
      <w:pPr>
        <w:spacing w:after="0" w:line="152" w:lineRule="exact"/>
        <w:rPr>
          <w:sz w:val="20"/>
          <w:szCs w:val="20"/>
          <w:color w:val="auto"/>
        </w:rPr>
      </w:pPr>
    </w:p>
    <w:p>
      <w:pPr>
        <w:ind w:left="428" w:hanging="428"/>
        <w:spacing w:after="0" w:line="279" w:lineRule="auto"/>
        <w:tabs>
          <w:tab w:leader="none" w:pos="428" w:val="left"/>
        </w:tabs>
        <w:numPr>
          <w:ilvl w:val="0"/>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and the New Lender agree to the Existing Lender transferring to the New Lender by novation all of the Existing Lender's rights and obligations under the Agreement and the other Finance Documents which relate to that portion of the Existing Lender's Commitment and participation in the Loan under the Agreement as specified in the Schedule in accordance with Clause 30.5 (</w:t>
      </w:r>
      <w:r>
        <w:rPr>
          <w:rFonts w:ascii="Times New Roman" w:cs="Times New Roman" w:eastAsia="Times New Roman" w:hAnsi="Times New Roman"/>
          <w:sz w:val="12"/>
          <w:szCs w:val="12"/>
          <w:i w:val="1"/>
          <w:iCs w:val="1"/>
          <w:color w:val="auto"/>
        </w:rPr>
        <w:t>Procedure for transfer</w:t>
      </w:r>
      <w:r>
        <w:rPr>
          <w:rFonts w:ascii="Times New Roman" w:cs="Times New Roman" w:eastAsia="Times New Roman" w:hAnsi="Times New Roman"/>
          <w:sz w:val="12"/>
          <w:szCs w:val="12"/>
          <w:color w:val="auto"/>
        </w:rPr>
        <w:t>) of the Agreement.</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is [●].</w:t>
      </w:r>
    </w:p>
    <w:p>
      <w:pPr>
        <w:spacing w:after="0" w:line="148"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Office and address, fax number and attention details for notices of the New Lender for the purposes of Clause 39.2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of the Agreement are set out in the Schedule.</w:t>
      </w:r>
    </w:p>
    <w:p>
      <w:pPr>
        <w:spacing w:after="0" w:line="150" w:lineRule="exact"/>
        <w:rPr>
          <w:sz w:val="20"/>
          <w:szCs w:val="20"/>
          <w:color w:val="auto"/>
        </w:rPr>
      </w:pPr>
    </w:p>
    <w:p>
      <w:pPr>
        <w:ind w:left="428" w:hanging="428"/>
        <w:spacing w:after="0"/>
        <w:tabs>
          <w:tab w:leader="none" w:pos="428" w:val="left"/>
        </w:tabs>
        <w:numPr>
          <w:ilvl w:val="0"/>
          <w:numId w:val="10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expressly acknowledges the limitations on the Existing Lender's obligations set out in paragraph (c) of Clause 30.4 (</w:t>
      </w:r>
      <w:r>
        <w:rPr>
          <w:rFonts w:ascii="Times New Roman" w:cs="Times New Roman" w:eastAsia="Times New Roman" w:hAnsi="Times New Roman"/>
          <w:sz w:val="12"/>
          <w:szCs w:val="12"/>
          <w:i w:val="1"/>
          <w:iCs w:val="1"/>
          <w:color w:val="auto"/>
        </w:rPr>
        <w:t>Limitation of responsibility of Existing Lenders</w:t>
      </w:r>
      <w:r>
        <w:rPr>
          <w:rFonts w:ascii="Times New Roman" w:cs="Times New Roman" w:eastAsia="Times New Roman" w:hAnsi="Times New Roman"/>
          <w:sz w:val="12"/>
          <w:szCs w:val="12"/>
          <w:color w:val="auto"/>
        </w:rPr>
        <w:t>) of the Agreement.</w:t>
      </w:r>
    </w:p>
    <w:p>
      <w:pPr>
        <w:spacing w:after="0" w:line="152"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w:t>
      </w:r>
      <w:r>
        <w:rPr>
          <w:rFonts w:ascii="Times New Roman" w:cs="Times New Roman" w:eastAsia="Times New Roman" w:hAnsi="Times New Roman"/>
          <w:sz w:val="11"/>
          <w:szCs w:val="11"/>
          <w:color w:val="auto"/>
        </w:rPr>
        <w:t>This Transfer Certificate may be executed in any number of counterparts and this has the same effect as if the signatures on the counterparts were on a single copy of this Transfer Certificate.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5</w:t>
      </w:r>
      <w:r>
        <w:rPr>
          <w:rFonts w:ascii="Times New Roman" w:cs="Times New Roman" w:eastAsia="Times New Roman" w:hAnsi="Times New Roman"/>
          <w:sz w:val="11"/>
          <w:szCs w:val="11"/>
          <w:color w:val="auto"/>
        </w:rPr>
        <w:t>This Transfer Certificate and any non-contractual obligations arising out of or in connection with it are governed by English law.</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6</w:t>
      </w:r>
      <w:r>
        <w:rPr>
          <w:rFonts w:ascii="Times New Roman" w:cs="Times New Roman" w:eastAsia="Times New Roman" w:hAnsi="Times New Roman"/>
          <w:sz w:val="11"/>
          <w:szCs w:val="11"/>
          <w:color w:val="auto"/>
        </w:rPr>
        <w:t>This Transfer Certificate has been entered into on the date stated at the beginning of this Transfer Certificate.</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Note: The execution of this Transfer Certificate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8"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183</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1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70" w:name="page571"/>
    <w:bookmarkEnd w:id="570"/>
    <w:p>
      <w:pPr>
        <w:jc w:val="center"/>
        <w:spacing w:after="0"/>
        <w:rPr>
          <w:sz w:val="20"/>
          <w:szCs w:val="20"/>
          <w:color w:val="auto"/>
        </w:rPr>
      </w:pPr>
      <w:r>
        <w:rPr>
          <w:rFonts w:ascii="Times New Roman" w:cs="Times New Roman" w:eastAsia="Times New Roman" w:hAnsi="Times New Roman"/>
          <w:sz w:val="12"/>
          <w:szCs w:val="12"/>
          <w:b w:val="1"/>
          <w:bCs w:val="1"/>
          <w:color w:val="auto"/>
        </w:rPr>
        <w:t>THE SCHEDULE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Commitment/rights and obligations to be transferred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insert relevant details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[Facility Office address, fax number and attention details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for notices and account details for payments.]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 By: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Transfer Certificate is accepted by the Facility Agent and the Transfer Date is confirmed as [●].</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UBS AG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w:t>
      </w:r>
    </w:p>
    <w:p>
      <w:pPr>
        <w:spacing w:after="0" w:line="150"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184</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4" w:right="299" w:bottom="1440" w:gutter="0" w:footer="0" w:header="0"/>
        </w:sectPr>
      </w:pPr>
    </w:p>
    <w:bookmarkStart w:id="571" w:name="page572"/>
    <w:bookmarkEnd w:id="571"/>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5</w:t>
      </w:r>
    </w:p>
    <w:p>
      <w:pPr>
        <w:spacing w:after="0" w:line="29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ASSIGNMENT AGREEMENT</w:t>
      </w:r>
    </w:p>
    <w:p>
      <w:pPr>
        <w:spacing w:after="0" w:line="154"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To: UBS AG as Facility Agent and Zeus One Marine LLC, Hephaestus Marine LLC, Pericles Marine LLC, Global Ship Lease 55 LLC, Global Ship Lease 57 LLC, Global Ship Lease 58 LLC, Global Ship Lease 59 LLC, Global Ship Lease 60 LLC, Global Ship Lease 61 LLC, Global Ship Lease 62 LLC, Global Ship Lease 63 LLC, Global Ship Lease 64 LLC, Global Ship Lease 65 LLC, Global Ship Lease 66 LLC, Global Ship Lease 72 LLC, Global Ship Lease 73 LLC, Global Ship Lease 74 LLC and Global Ship Lease 75 LLC as Borrowers, for and on behalf of each Transaction Obligor</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[the Existing Lender] (the "</w:t>
      </w:r>
      <w:r>
        <w:rPr>
          <w:rFonts w:ascii="Times New Roman" w:cs="Times New Roman" w:eastAsia="Times New Roman" w:hAnsi="Times New Roman"/>
          <w:sz w:val="12"/>
          <w:szCs w:val="12"/>
          <w:b w:val="1"/>
          <w:bCs w:val="1"/>
          <w:color w:val="auto"/>
        </w:rPr>
        <w:t>Existing Lender</w:t>
      </w:r>
      <w:r>
        <w:rPr>
          <w:rFonts w:ascii="Times New Roman" w:cs="Times New Roman" w:eastAsia="Times New Roman" w:hAnsi="Times New Roman"/>
          <w:sz w:val="12"/>
          <w:szCs w:val="12"/>
          <w:color w:val="auto"/>
        </w:rPr>
        <w:t>") and [the New Lender] (the "</w:t>
      </w:r>
      <w:r>
        <w:rPr>
          <w:rFonts w:ascii="Times New Roman" w:cs="Times New Roman" w:eastAsia="Times New Roman" w:hAnsi="Times New Roman"/>
          <w:sz w:val="12"/>
          <w:szCs w:val="12"/>
          <w:b w:val="1"/>
          <w:bCs w:val="1"/>
          <w:color w:val="auto"/>
        </w:rPr>
        <w:t>New Lender</w:t>
      </w:r>
      <w:r>
        <w:rPr>
          <w:rFonts w:ascii="Times New Roman" w:cs="Times New Roman" w:eastAsia="Times New Roman" w:hAnsi="Times New Roman"/>
          <w:sz w:val="12"/>
          <w:szCs w:val="12"/>
          <w:color w:val="auto"/>
        </w:rPr>
        <w:t>")</w:t>
      </w:r>
    </w:p>
    <w:p>
      <w:pPr>
        <w:spacing w:after="0" w:line="1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ZEUS ONE MARINE LLC, HEPHAESTUS MARINE LLC, PERICLES MARINE LLC, GLOBAL SHIP LEASE 55 LLC, GLOBAL SHIP LEASE 57 LLC, GLOBAL SHIP LEASE 58 LLC, GLOBAL SHIP LEASE 59 LLC, GLOBAL SHIP LEASE 60 LLC, GLOBAL SHIP LEASE 61 LLC, GLOBAL SHIP LEASE 62 LLC, GLOBAL SHIP LEASE 63 LLC, GLOBAL SHIP LEASE 64 LLC, GLOBAL SHIP LEASE 65 LLC, GLOBAL SHIP LEASE 66 LLC, GLOBAL SHIP LEASE 72 LLC, GLOBAL SHIP LEASE 73 LLC, GLOBAL SHIP LEASE 74 LLC and GLOBAL SHIP LEASE 75 LLC – US$85,000,000 Facility Agreement dated [●] 2025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8" w:hanging="428"/>
        <w:spacing w:after="0"/>
        <w:tabs>
          <w:tab w:leader="none" w:pos="428" w:val="left"/>
        </w:tabs>
        <w:numPr>
          <w:ilvl w:val="0"/>
          <w:numId w:val="104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an Assignment Agreement. Terms defined in the Agreement have the same meaning in this Assignment Agreement unless given a different meaning in this Assignment Agreement.</w:t>
      </w:r>
    </w:p>
    <w:p>
      <w:pPr>
        <w:spacing w:after="0" w:line="148"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refer to Clause 30.6 (</w:t>
      </w:r>
      <w:r>
        <w:rPr>
          <w:rFonts w:ascii="Times New Roman" w:cs="Times New Roman" w:eastAsia="Times New Roman" w:hAnsi="Times New Roman"/>
          <w:sz w:val="11"/>
          <w:szCs w:val="11"/>
          <w:i w:val="1"/>
          <w:iCs w:val="1"/>
          <w:color w:val="auto"/>
        </w:rPr>
        <w:t>Procedure for assignment</w:t>
      </w:r>
      <w:r>
        <w:rPr>
          <w:rFonts w:ascii="Times New Roman" w:cs="Times New Roman" w:eastAsia="Times New Roman" w:hAnsi="Times New Roman"/>
          <w:sz w:val="11"/>
          <w:szCs w:val="11"/>
          <w:color w:val="auto"/>
        </w:rPr>
        <w:t>) of the Agreement:</w:t>
      </w:r>
    </w:p>
    <w:p>
      <w:pPr>
        <w:spacing w:after="0" w:line="152" w:lineRule="exact"/>
        <w:rPr>
          <w:sz w:val="20"/>
          <w:szCs w:val="20"/>
          <w:color w:val="auto"/>
        </w:rPr>
      </w:pPr>
    </w:p>
    <w:p>
      <w:pPr>
        <w:ind w:left="428" w:hanging="428"/>
        <w:spacing w:after="0" w:line="279" w:lineRule="auto"/>
        <w:tabs>
          <w:tab w:leader="none" w:pos="428" w:val="left"/>
        </w:tabs>
        <w:numPr>
          <w:ilvl w:val="0"/>
          <w:numId w:val="10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assigns absolutely to the New Lender all the rights of the Existing Lender under the Agreement, the other Finance Documents and in respect of the Transaction Security which correspond to that portion of the Existing Lender's Commitment and participations in the Loan under the Agreement as specified in the Schedule;</w:t>
      </w:r>
    </w:p>
    <w:p>
      <w:pPr>
        <w:spacing w:after="0" w:line="111"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0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Existing Lender is released from all the obligations of the Existing Lender which correspond to that portion of the Existing Lender's Commitments and participations in the Loan under the Agreement specified in the Schedule;</w:t>
      </w:r>
    </w:p>
    <w:p>
      <w:pPr>
        <w:spacing w:after="0" w:line="111"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becomes a Party as a Lender and is bound by obligations equivalent to those from which the Existing Lender is released under paragraph (b) above;</w:t>
      </w:r>
    </w:p>
    <w:p>
      <w:pPr>
        <w:spacing w:after="0" w:line="150" w:lineRule="exact"/>
        <w:rPr>
          <w:rFonts w:ascii="Times New Roman" w:cs="Times New Roman" w:eastAsia="Times New Roman" w:hAnsi="Times New Roman"/>
          <w:sz w:val="12"/>
          <w:szCs w:val="12"/>
          <w:color w:val="auto"/>
        </w:rPr>
      </w:pPr>
    </w:p>
    <w:p>
      <w:pPr>
        <w:ind w:left="428" w:hanging="428"/>
        <w:spacing w:after="0" w:line="279" w:lineRule="auto"/>
        <w:tabs>
          <w:tab w:leader="none" w:pos="428" w:val="left"/>
        </w:tabs>
        <w:numPr>
          <w:ilvl w:val="0"/>
          <w:numId w:val="10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rights and interests (present, future or contingent) which the Existing Lender has under or by virtue of the Finance Documents are assigned to the New Lender absolutely, free of any defects in the Existing Lender's title and of any rights or equities which the Borrowers or any other Transaction Obligor had against the Existing Lender.</w:t>
      </w:r>
    </w:p>
    <w:p>
      <w:pPr>
        <w:spacing w:after="0" w:line="111" w:lineRule="exact"/>
        <w:rPr>
          <w:sz w:val="20"/>
          <w:szCs w:val="20"/>
          <w:color w:val="auto"/>
        </w:rPr>
      </w:pPr>
    </w:p>
    <w:p>
      <w:pPr>
        <w:ind w:left="428" w:hanging="428"/>
        <w:spacing w:after="0"/>
        <w:tabs>
          <w:tab w:leader="none" w:pos="428" w:val="left"/>
        </w:tabs>
        <w:numPr>
          <w:ilvl w:val="0"/>
          <w:numId w:val="10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proposed Transfer Date is [●].</w:t>
      </w:r>
    </w:p>
    <w:p>
      <w:pPr>
        <w:spacing w:after="0" w:line="150" w:lineRule="exact"/>
        <w:rPr>
          <w:sz w:val="20"/>
          <w:szCs w:val="20"/>
          <w:color w:val="auto"/>
        </w:rPr>
      </w:pPr>
    </w:p>
    <w:p>
      <w:pPr>
        <w:ind w:left="428" w:hanging="428"/>
        <w:spacing w:after="0"/>
        <w:tabs>
          <w:tab w:leader="none" w:pos="428" w:val="left"/>
        </w:tabs>
        <w:numPr>
          <w:ilvl w:val="0"/>
          <w:numId w:val="10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the Transfer Date the New Lender becomes Party to the Finance Documents as a Lender.</w:t>
      </w:r>
    </w:p>
    <w:p>
      <w:pPr>
        <w:spacing w:after="0" w:line="148" w:lineRule="exact"/>
        <w:rPr>
          <w:sz w:val="20"/>
          <w:szCs w:val="20"/>
          <w:color w:val="auto"/>
        </w:rPr>
      </w:pPr>
    </w:p>
    <w:p>
      <w:pPr>
        <w:ind w:left="428" w:hanging="428"/>
        <w:spacing w:after="0"/>
        <w:tabs>
          <w:tab w:leader="none" w:pos="428" w:val="left"/>
        </w:tabs>
        <w:numPr>
          <w:ilvl w:val="0"/>
          <w:numId w:val="10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Facility Office and address, fax, number and attention details for notices of the New Lender for the purposes of Clause 39.2 (</w:t>
      </w:r>
      <w:r>
        <w:rPr>
          <w:rFonts w:ascii="Times New Roman" w:cs="Times New Roman" w:eastAsia="Times New Roman" w:hAnsi="Times New Roman"/>
          <w:sz w:val="12"/>
          <w:szCs w:val="12"/>
          <w:i w:val="1"/>
          <w:iCs w:val="1"/>
          <w:color w:val="auto"/>
        </w:rPr>
        <w:t>Addresses</w:t>
      </w:r>
      <w:r>
        <w:rPr>
          <w:rFonts w:ascii="Times New Roman" w:cs="Times New Roman" w:eastAsia="Times New Roman" w:hAnsi="Times New Roman"/>
          <w:sz w:val="12"/>
          <w:szCs w:val="12"/>
          <w:color w:val="auto"/>
        </w:rPr>
        <w:t>) of the Agreement are set out in the Schedule.</w:t>
      </w:r>
    </w:p>
    <w:p>
      <w:pPr>
        <w:spacing w:after="0" w:line="152"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185</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5" w:right="299" w:bottom="1440" w:gutter="0" w:footer="0" w:header="0"/>
        </w:sectPr>
      </w:pPr>
    </w:p>
    <w:bookmarkStart w:id="572" w:name="page573"/>
    <w:bookmarkEnd w:id="572"/>
    <w:p>
      <w:pPr>
        <w:ind w:left="428" w:hanging="428"/>
        <w:spacing w:after="0"/>
        <w:tabs>
          <w:tab w:leader="none" w:pos="428" w:val="left"/>
        </w:tabs>
        <w:numPr>
          <w:ilvl w:val="0"/>
          <w:numId w:val="10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New Lender expressly acknowledges the limitations on the Existing Lender's obligations set out in paragraph (c) of Clause 30.4 (</w:t>
      </w:r>
      <w:r>
        <w:rPr>
          <w:rFonts w:ascii="Times New Roman" w:cs="Times New Roman" w:eastAsia="Times New Roman" w:hAnsi="Times New Roman"/>
          <w:sz w:val="12"/>
          <w:szCs w:val="12"/>
          <w:i w:val="1"/>
          <w:iCs w:val="1"/>
          <w:color w:val="auto"/>
        </w:rPr>
        <w:t>Limitation of responsibility of Existing Lenders</w:t>
      </w:r>
      <w:r>
        <w:rPr>
          <w:rFonts w:ascii="Times New Roman" w:cs="Times New Roman" w:eastAsia="Times New Roman" w:hAnsi="Times New Roman"/>
          <w:sz w:val="12"/>
          <w:szCs w:val="12"/>
          <w:color w:val="auto"/>
        </w:rPr>
        <w:t>) of the Agreement.</w:t>
      </w:r>
    </w:p>
    <w:p>
      <w:pPr>
        <w:spacing w:after="0" w:line="150" w:lineRule="exact"/>
        <w:rPr>
          <w:sz w:val="20"/>
          <w:szCs w:val="20"/>
          <w:color w:val="auto"/>
        </w:rPr>
      </w:pPr>
    </w:p>
    <w:p>
      <w:pPr>
        <w:ind w:left="428" w:hanging="428"/>
        <w:spacing w:after="0" w:line="283" w:lineRule="auto"/>
        <w:tabs>
          <w:tab w:leader="none" w:pos="428" w:val="left"/>
        </w:tabs>
        <w:numPr>
          <w:ilvl w:val="0"/>
          <w:numId w:val="104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Assignment Agreement acts as notice to the Facility Agent (on behalf of each Finance Party) and, upon delivery in accordance with Clause 30.7 (</w:t>
      </w:r>
      <w:r>
        <w:rPr>
          <w:rFonts w:ascii="Times New Roman" w:cs="Times New Roman" w:eastAsia="Times New Roman" w:hAnsi="Times New Roman"/>
          <w:sz w:val="12"/>
          <w:szCs w:val="12"/>
          <w:i w:val="1"/>
          <w:iCs w:val="1"/>
          <w:color w:val="auto"/>
        </w:rPr>
        <w:t>Copy of Transfer Certificate or Assignment Agreement to Borrowers</w:t>
      </w:r>
      <w:r>
        <w:rPr>
          <w:rFonts w:ascii="Times New Roman" w:cs="Times New Roman" w:eastAsia="Times New Roman" w:hAnsi="Times New Roman"/>
          <w:sz w:val="12"/>
          <w:szCs w:val="12"/>
          <w:color w:val="auto"/>
        </w:rPr>
        <w:t>) of the Agreement, to the Borrowers (on behalf of each Transaction Obligor) of the assignment referred to in this Assignment Agreement.</w:t>
      </w:r>
    </w:p>
    <w:p>
      <w:pPr>
        <w:spacing w:after="0" w:line="109" w:lineRule="exact"/>
        <w:rPr>
          <w:sz w:val="20"/>
          <w:szCs w:val="20"/>
          <w:color w:val="auto"/>
        </w:rPr>
      </w:pPr>
    </w:p>
    <w:p>
      <w:pPr>
        <w:ind w:left="428" w:hanging="428"/>
        <w:spacing w:after="0"/>
        <w:tabs>
          <w:tab w:leader="none" w:pos="428" w:val="left"/>
        </w:tabs>
        <w:numPr>
          <w:ilvl w:val="0"/>
          <w:numId w:val="105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Assignment Agreement may be executed in any number of counterparts and this has the same effect as if the signatures on the counterparts were on a single copy of this Assignment Agreement.</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9</w:t>
      </w:r>
      <w:r>
        <w:rPr>
          <w:rFonts w:ascii="Times New Roman" w:cs="Times New Roman" w:eastAsia="Times New Roman" w:hAnsi="Times New Roman"/>
          <w:sz w:val="11"/>
          <w:szCs w:val="11"/>
          <w:color w:val="auto"/>
        </w:rPr>
        <w:t>This Assignment Agreement and any non-contractual obligations arising out of or in connection with it are governed by English law.</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10</w:t>
      </w:r>
      <w:r>
        <w:rPr>
          <w:rFonts w:ascii="Times New Roman" w:cs="Times New Roman" w:eastAsia="Times New Roman" w:hAnsi="Times New Roman"/>
          <w:sz w:val="11"/>
          <w:szCs w:val="11"/>
          <w:color w:val="auto"/>
        </w:rPr>
        <w:t>This Assignment Agreement has been entered into on the date stated at the beginning of this Assignment Agreement.</w:t>
      </w:r>
    </w:p>
    <w:p>
      <w:pPr>
        <w:spacing w:after="0" w:line="146"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2"/>
          <w:szCs w:val="12"/>
          <w:b w:val="1"/>
          <w:bCs w:val="1"/>
          <w:color w:val="auto"/>
        </w:rPr>
        <w:t>Note: The execution of this Assignment Agreement may not transfer a proportionate share of the Existing Lender's interest in the Transaction Security in all jurisdictions. It is the responsibility of the New Lender to ascertain whether any other documents or other formalities are required to perfect a transfer of such a share in the Existing Lender's Transaction Security in any jurisdiction and, if so, to arrange for execution of those documents and completion of those formalities.</w:t>
      </w:r>
    </w:p>
    <w:p>
      <w:pPr>
        <w:spacing w:after="0" w:line="118"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186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432" w:right="299" w:bottom="1440" w:gutter="0" w:footer="0" w:header="0"/>
        </w:sectPr>
      </w:pPr>
    </w:p>
    <w:bookmarkStart w:id="573" w:name="page574"/>
    <w:bookmarkEnd w:id="573"/>
    <w:p>
      <w:pPr>
        <w:jc w:val="center"/>
        <w:spacing w:after="0"/>
        <w:rPr>
          <w:sz w:val="20"/>
          <w:szCs w:val="20"/>
          <w:color w:val="auto"/>
        </w:rPr>
      </w:pPr>
      <w:r>
        <w:rPr>
          <w:rFonts w:ascii="Times New Roman" w:cs="Times New Roman" w:eastAsia="Times New Roman" w:hAnsi="Times New Roman"/>
          <w:sz w:val="12"/>
          <w:szCs w:val="12"/>
          <w:b w:val="1"/>
          <w:bCs w:val="1"/>
          <w:color w:val="auto"/>
        </w:rPr>
        <w:t>THE SCHEDULE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Commitment rights and obligations to be transferred by assignment, release and accession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i w:val="1"/>
          <w:iCs w:val="1"/>
          <w:color w:val="auto"/>
        </w:rPr>
        <w:t>insert relevant details</w:t>
      </w:r>
      <w:r>
        <w:rPr>
          <w:rFonts w:ascii="Times New Roman" w:cs="Times New Roman" w:eastAsia="Times New Roman" w:hAnsi="Times New Roman"/>
          <w:sz w:val="12"/>
          <w:szCs w:val="12"/>
          <w:color w:val="auto"/>
        </w:rPr>
        <w:t>]</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[Facility office address, fax number and attention details for notices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and account details for payments]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[Existing Lender] [New Lender]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 By: [●]</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This Assignment Agreement is accepted by the Facility Agent and the Transfer Date is confirmed as [●].</w:t>
      </w:r>
    </w:p>
    <w:p>
      <w:pPr>
        <w:spacing w:after="0" w:line="150"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auto"/>
        </w:rPr>
        <w:t>Signature of this Assignment Agreement by the Facility Agent constitutes confirmation by the Facility Agent of receipt of notice of the assignment referred to herein, which notice the Facility Agent receives on behalf of each Finance Party.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UBS AG</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w:t>
      </w:r>
    </w:p>
    <w:p>
      <w:pPr>
        <w:spacing w:after="0" w:line="150"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187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5" w:right="299" w:bottom="1440" w:gutter="0" w:footer="0" w:header="0"/>
        </w:sectPr>
      </w:pPr>
    </w:p>
    <w:bookmarkStart w:id="574" w:name="page575"/>
    <w:bookmarkEnd w:id="574"/>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6</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OF COMPLIANCE CERTIFICATE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To: UBS AG as Facility Agent</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From: Global Ship Lease, Inc.</w:t>
      </w:r>
    </w:p>
    <w:p>
      <w:pPr>
        <w:spacing w:after="0" w:line="1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Dated: [●]</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Dear Sirs</w:t>
      </w:r>
    </w:p>
    <w:p>
      <w:pPr>
        <w:spacing w:after="0" w:line="146"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2"/>
          <w:szCs w:val="12"/>
          <w:b w:val="1"/>
          <w:bCs w:val="1"/>
          <w:color w:val="auto"/>
        </w:rPr>
        <w:t xml:space="preserve">ZEUS ONE MARINE LLC, HEPHAESTUS MARINE LLC, PERICLES MARINE LLC, GLOBAL SHIP LEASE 55 LLC, GLOBAL SHIP LEASE 57 LLC, GLOBAL SHIP LEASE 58 LLC, GLOBAL SHIP LEASE 59 LLC, GLOBAL SHIP LEASE 60 LLC, GLOBAL SHIP LEASE 61 LLC, GLOBAL SHIP LEASE 62 LLC, GLOBAL SHIP LEASE 63 LLC, GLOBAL SHIP LEASE 64 LLC, GLOBAL SHIP LEASE 65 LLC, GLOBAL SHIP LEASE 66 LLC, GLOBAL SHIP LEASE 72 LLC, GLOBAL SHIP LEASE 73 LLC, GLOBAL SHIP LEASE 74 LLC and GLOBAL SHIP LEASE 75 LLC – US$85,000,000 Facility Agreement dated [●] 2025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 xml:space="preserve">the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Agreement</w:t>
      </w:r>
      <w:r>
        <w:rPr>
          <w:rFonts w:ascii="Times New Roman" w:cs="Times New Roman" w:eastAsia="Times New Roman" w:hAnsi="Times New Roman"/>
          <w:sz w:val="12"/>
          <w:szCs w:val="12"/>
          <w:color w:val="auto"/>
        </w:rPr>
        <w:t>")</w:t>
      </w:r>
    </w:p>
    <w:p>
      <w:pPr>
        <w:spacing w:after="0" w:line="121" w:lineRule="exact"/>
        <w:rPr>
          <w:sz w:val="20"/>
          <w:szCs w:val="20"/>
          <w:color w:val="auto"/>
        </w:rPr>
      </w:pPr>
    </w:p>
    <w:p>
      <w:pPr>
        <w:ind w:left="428" w:hanging="428"/>
        <w:spacing w:after="0"/>
        <w:tabs>
          <w:tab w:leader="none" w:pos="428" w:val="left"/>
        </w:tabs>
        <w:numPr>
          <w:ilvl w:val="0"/>
          <w:numId w:val="105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50"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2</w:t>
      </w:r>
      <w:r>
        <w:rPr>
          <w:rFonts w:ascii="Times New Roman" w:cs="Times New Roman" w:eastAsia="Times New Roman" w:hAnsi="Times New Roman"/>
          <w:sz w:val="11"/>
          <w:szCs w:val="11"/>
          <w:color w:val="auto"/>
        </w:rPr>
        <w:t>We confirm that:</w:t>
      </w:r>
    </w:p>
    <w:p>
      <w:pPr>
        <w:spacing w:after="0" w:line="150" w:lineRule="exact"/>
        <w:rPr>
          <w:sz w:val="20"/>
          <w:szCs w:val="20"/>
          <w:color w:val="auto"/>
        </w:rPr>
      </w:pPr>
    </w:p>
    <w:p>
      <w:pPr>
        <w:ind w:left="428" w:hanging="428"/>
        <w:spacing w:after="0"/>
        <w:tabs>
          <w:tab w:leader="none" w:pos="428" w:val="left"/>
        </w:tabs>
        <w:numPr>
          <w:ilvl w:val="0"/>
          <w:numId w:val="10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Minimum Corporate Liquidity is $[●]; and</w:t>
      </w:r>
    </w:p>
    <w:p>
      <w:pPr>
        <w:spacing w:after="0" w:line="150" w:lineRule="exact"/>
        <w:rPr>
          <w:rFonts w:ascii="Times New Roman" w:cs="Times New Roman" w:eastAsia="Times New Roman" w:hAnsi="Times New Roman"/>
          <w:sz w:val="12"/>
          <w:szCs w:val="12"/>
          <w:color w:val="auto"/>
        </w:rPr>
      </w:pPr>
    </w:p>
    <w:p>
      <w:pPr>
        <w:ind w:left="428" w:hanging="428"/>
        <w:spacing w:after="0"/>
        <w:tabs>
          <w:tab w:leader="none" w:pos="428" w:val="left"/>
        </w:tabs>
        <w:numPr>
          <w:ilvl w:val="0"/>
          <w:numId w:val="105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Security Cover Ratio is [●] per cent.</w:t>
      </w:r>
    </w:p>
    <w:p>
      <w:pPr>
        <w:spacing w:after="0" w:line="150" w:lineRule="exact"/>
        <w:rPr>
          <w:sz w:val="20"/>
          <w:szCs w:val="20"/>
          <w:color w:val="auto"/>
        </w:rPr>
      </w:pPr>
    </w:p>
    <w:p>
      <w:pPr>
        <w:ind w:left="428" w:hanging="428"/>
        <w:spacing w:after="0"/>
        <w:tabs>
          <w:tab w:leader="none" w:pos="428" w:val="left"/>
        </w:tabs>
        <w:numPr>
          <w:ilvl w:val="0"/>
          <w:numId w:val="105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confirm that no Default is continuing.]</w:t>
      </w:r>
    </w:p>
    <w:p>
      <w:pPr>
        <w:spacing w:after="0" w:line="29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Signed: ________________________</w:t>
      </w:r>
    </w:p>
    <w:p>
      <w:pPr>
        <w:spacing w:after="0" w:line="17"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of</w:t>
      </w:r>
    </w:p>
    <w:p>
      <w:pPr>
        <w:spacing w:after="0" w:line="6"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b w:val="1"/>
          <w:bCs w:val="1"/>
          <w:color w:val="auto"/>
        </w:rPr>
        <w:t>GLOBAL SHIP LEASE, INC.</w:t>
      </w:r>
    </w:p>
    <w:p>
      <w:pPr>
        <w:spacing w:after="0" w:line="67"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188</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575" w:name="page576"/>
    <w:bookmarkEnd w:id="575"/>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SCHEDULE 7</w:t>
      </w:r>
    </w:p>
    <w:p>
      <w:pPr>
        <w:spacing w:after="0" w:line="1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DETAILS OF THE SHIPS</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48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Ship name</w:t>
            </w:r>
          </w:p>
        </w:tc>
        <w:tc>
          <w:tcPr>
            <w:tcW w:w="16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1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Type</w:t>
            </w:r>
          </w:p>
        </w:tc>
        <w:tc>
          <w:tcPr>
            <w:tcW w:w="126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IMO Number</w:t>
            </w:r>
          </w:p>
        </w:tc>
        <w:tc>
          <w:tcPr>
            <w:tcW w:w="11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Approved Flag</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Approved Classification</w:t>
            </w:r>
          </w:p>
        </w:tc>
        <w:tc>
          <w:tcPr>
            <w:tcW w:w="35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Approved Classification</w:t>
            </w:r>
          </w:p>
        </w:tc>
      </w:tr>
      <w:tr>
        <w:trPr>
          <w:trHeight w:val="159"/>
        </w:trPr>
        <w:tc>
          <w:tcPr>
            <w:tcW w:w="1480" w:type="dxa"/>
            <w:vAlign w:val="bottom"/>
            <w:tcBorders>
              <w:left w:val="single" w:sz="8" w:color="auto"/>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of the Borrower</w:t>
            </w:r>
          </w:p>
        </w:tc>
        <w:tc>
          <w:tcPr>
            <w:tcW w:w="10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Society</w:t>
            </w:r>
          </w:p>
        </w:tc>
        <w:tc>
          <w:tcPr>
            <w:tcW w:w="3500" w:type="dxa"/>
            <w:vAlign w:val="bottom"/>
            <w:tcBorders>
              <w:right w:val="single" w:sz="8" w:color="auto"/>
            </w:tcBorders>
          </w:tcPr>
          <w:p>
            <w:pPr>
              <w:spacing w:after="0"/>
              <w:rPr>
                <w:sz w:val="13"/>
                <w:szCs w:val="13"/>
                <w:color w:val="auto"/>
              </w:rPr>
            </w:pPr>
          </w:p>
        </w:tc>
      </w:tr>
      <w:tr>
        <w:trPr>
          <w:trHeight w:val="144"/>
        </w:trPr>
        <w:tc>
          <w:tcPr>
            <w:tcW w:w="1480" w:type="dxa"/>
            <w:vAlign w:val="bottom"/>
            <w:tcBorders>
              <w:left w:val="single" w:sz="8" w:color="auto"/>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spacing w:after="0"/>
              <w:rPr>
                <w:sz w:val="12"/>
                <w:szCs w:val="12"/>
                <w:color w:val="auto"/>
              </w:rPr>
            </w:pPr>
          </w:p>
        </w:tc>
      </w:tr>
      <w:tr>
        <w:trPr>
          <w:trHeight w:val="120"/>
        </w:trPr>
        <w:tc>
          <w:tcPr>
            <w:tcW w:w="1480" w:type="dxa"/>
            <w:vAlign w:val="bottom"/>
            <w:tcBorders>
              <w:left w:val="single" w:sz="8" w:color="auto"/>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Orca I (</w:t>
            </w:r>
            <w:r>
              <w:rPr>
                <w:rFonts w:ascii="Times New Roman" w:cs="Times New Roman" w:eastAsia="Times New Roman" w:hAnsi="Times New Roman"/>
                <w:sz w:val="12"/>
                <w:szCs w:val="12"/>
                <w:i w:val="1"/>
                <w:iCs w:val="1"/>
                <w:color w:val="auto"/>
              </w:rPr>
              <w:t>that may be reflagged</w:t>
            </w:r>
          </w:p>
        </w:tc>
        <w:tc>
          <w:tcPr>
            <w:tcW w:w="160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Zeus One Marine LLC</w:t>
            </w:r>
          </w:p>
        </w:tc>
        <w:tc>
          <w:tcPr>
            <w:tcW w:w="100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9318113</w:t>
            </w:r>
          </w:p>
        </w:tc>
        <w:tc>
          <w:tcPr>
            <w:tcW w:w="112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Panama</w:t>
            </w:r>
          </w:p>
        </w:tc>
        <w:tc>
          <w:tcPr>
            <w:tcW w:w="134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0" w:lineRule="exact"/>
              <w:rPr>
                <w:sz w:val="20"/>
                <w:szCs w:val="20"/>
                <w:color w:val="auto"/>
              </w:rPr>
            </w:pPr>
            <w:r>
              <w:rPr>
                <w:rFonts w:ascii="Times New Roman" w:cs="Times New Roman" w:eastAsia="Times New Roman" w:hAnsi="Times New Roman"/>
                <w:sz w:val="12"/>
                <w:szCs w:val="12"/>
                <w:color w:val="auto"/>
              </w:rPr>
              <w:t>I X HULL X MACH, Container Ship, Unrestricted Navigation X</w:t>
            </w:r>
          </w:p>
        </w:tc>
      </w:tr>
      <w:tr>
        <w:trPr>
          <w:trHeight w:val="146"/>
        </w:trPr>
        <w:tc>
          <w:tcPr>
            <w:tcW w:w="148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i w:val="1"/>
                <w:iCs w:val="1"/>
                <w:color w:val="auto"/>
              </w:rPr>
              <w:t>to Liberia</w:t>
            </w:r>
            <w:r>
              <w:rPr>
                <w:rFonts w:ascii="Times New Roman" w:cs="Times New Roman" w:eastAsia="Times New Roman" w:hAnsi="Times New Roman"/>
                <w:sz w:val="12"/>
                <w:szCs w:val="12"/>
                <w:color w:val="auto"/>
              </w:rPr>
              <w:t>)</w:t>
            </w:r>
          </w:p>
        </w:tc>
        <w:tc>
          <w:tcPr>
            <w:tcW w:w="16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VeriSTAR-HULL, X AUT-UMS, X AUT-PORT, MON-SHAFT,</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 LASHING, SDS</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Dolphin II</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Hephaestus Marine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9318125</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Panama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I X HULL X MACH, Container Ship, Unrestricted Navigation X</w:t>
            </w:r>
          </w:p>
        </w:tc>
      </w:tr>
      <w:tr>
        <w:trPr>
          <w:trHeight w:val="144"/>
        </w:trPr>
        <w:tc>
          <w:tcPr>
            <w:tcW w:w="148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VeriSTAR-HULL, X AUT-UMS, X AUT-PORT, MON-SHAFT,</w:t>
            </w:r>
          </w:p>
        </w:tc>
      </w:tr>
      <w:tr>
        <w:trPr>
          <w:trHeight w:val="155"/>
        </w:trPr>
        <w:tc>
          <w:tcPr>
            <w:tcW w:w="1480" w:type="dxa"/>
            <w:vAlign w:val="bottom"/>
            <w:tcBorders>
              <w:left w:val="single" w:sz="8" w:color="auto"/>
              <w:right w:val="single" w:sz="8" w:color="auto"/>
            </w:tcBorders>
          </w:tcPr>
          <w:p>
            <w:pPr>
              <w:spacing w:after="0"/>
              <w:rPr>
                <w:sz w:val="13"/>
                <w:szCs w:val="13"/>
                <w:color w:val="auto"/>
              </w:rPr>
            </w:pPr>
          </w:p>
        </w:tc>
        <w:tc>
          <w:tcPr>
            <w:tcW w:w="160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12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tcPr>
          <w:p>
            <w:pPr>
              <w:spacing w:after="0"/>
              <w:rPr>
                <w:sz w:val="13"/>
                <w:szCs w:val="13"/>
                <w:color w:val="auto"/>
              </w:rPr>
            </w:pPr>
          </w:p>
        </w:tc>
        <w:tc>
          <w:tcPr>
            <w:tcW w:w="1340" w:type="dxa"/>
            <w:vAlign w:val="bottom"/>
            <w:tcBorders>
              <w:right w:val="single" w:sz="8" w:color="auto"/>
            </w:tcBorders>
          </w:tcPr>
          <w:p>
            <w:pPr>
              <w:spacing w:after="0"/>
              <w:rPr>
                <w:sz w:val="13"/>
                <w:szCs w:val="13"/>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 LASHING, SDS</w:t>
            </w:r>
          </w:p>
        </w:tc>
      </w:tr>
      <w:tr>
        <w:trPr>
          <w:trHeight w:val="144"/>
        </w:trPr>
        <w:tc>
          <w:tcPr>
            <w:tcW w:w="1480" w:type="dxa"/>
            <w:vAlign w:val="bottom"/>
            <w:tcBorders>
              <w:left w:val="single" w:sz="8" w:color="auto"/>
              <w:bottom w:val="single" w:sz="8" w:color="auto"/>
              <w:right w:val="single" w:sz="8" w:color="auto"/>
            </w:tcBorders>
          </w:tcPr>
          <w:p>
            <w:pPr>
              <w:spacing w:after="0"/>
              <w:rPr>
                <w:sz w:val="12"/>
                <w:szCs w:val="12"/>
                <w:color w:val="auto"/>
              </w:rPr>
            </w:pPr>
          </w:p>
        </w:tc>
        <w:tc>
          <w:tcPr>
            <w:tcW w:w="160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1120" w:type="dxa"/>
            <w:vAlign w:val="bottom"/>
            <w:tcBorders>
              <w:bottom w:val="single" w:sz="8" w:color="auto"/>
              <w:right w:val="single" w:sz="8" w:color="auto"/>
            </w:tcBorders>
          </w:tcPr>
          <w:p>
            <w:pPr>
              <w:spacing w:after="0"/>
              <w:rPr>
                <w:sz w:val="12"/>
                <w:szCs w:val="12"/>
                <w:color w:val="auto"/>
              </w:rPr>
            </w:pPr>
          </w:p>
        </w:tc>
        <w:tc>
          <w:tcPr>
            <w:tcW w:w="1340" w:type="dxa"/>
            <w:vAlign w:val="bottom"/>
            <w:tcBorders>
              <w:bottom w:val="single" w:sz="8" w:color="auto"/>
              <w:right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spacing w:after="0"/>
              <w:rPr>
                <w:sz w:val="12"/>
                <w:szCs w:val="12"/>
                <w:color w:val="auto"/>
              </w:rPr>
            </w:pP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Athena</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Pericles Marine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9275361</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Panama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 MON-SHAFT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Susan</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55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9349617</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 MON-SHAFT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Rossi</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57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9565338</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44"/>
        </w:trPr>
        <w:tc>
          <w:tcPr>
            <w:tcW w:w="148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w w:val="99"/>
              </w:rPr>
              <w:t>DANGEROUS GOODS; ICE CLASS ID; INWATERSURVEY; MON-</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Alice</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58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9509164</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AUT-CCS; ICE</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CLASS ID; INWATERSURVEY; MON-SHAFT; PMS; TAS</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Melina</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59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9509152</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AUT-CCS;</w:t>
            </w:r>
          </w:p>
        </w:tc>
      </w:tr>
      <w:tr>
        <w:trPr>
          <w:trHeight w:val="144"/>
        </w:trPr>
        <w:tc>
          <w:tcPr>
            <w:tcW w:w="148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DANGEROUS GOODS; GREEN PLUS; ICE CLASS ID;</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 MON-SHAFT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Eleftheria</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60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9509140</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w w:val="99"/>
              </w:rPr>
              <w:t>C X Container Ship; Unrestricted Navigation, X AUT-UMS; BWM-E –</w:t>
            </w:r>
          </w:p>
        </w:tc>
      </w:tr>
      <w:tr>
        <w:trPr>
          <w:trHeight w:val="144"/>
        </w:trPr>
        <w:tc>
          <w:tcPr>
            <w:tcW w:w="1480" w:type="dxa"/>
            <w:vAlign w:val="bottom"/>
            <w:tcBorders>
              <w:left w:val="single" w:sz="8" w:color="auto"/>
              <w:right w:val="single" w:sz="8" w:color="auto"/>
            </w:tcBorders>
          </w:tcPr>
          <w:p>
            <w:pPr>
              <w:spacing w:after="0"/>
              <w:rPr>
                <w:sz w:val="12"/>
                <w:szCs w:val="12"/>
                <w:color w:val="auto"/>
              </w:rPr>
            </w:pPr>
          </w:p>
        </w:tc>
        <w:tc>
          <w:tcPr>
            <w:tcW w:w="160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1260" w:type="dxa"/>
            <w:vAlign w:val="bottom"/>
            <w:tcBorders>
              <w:right w:val="single" w:sz="8" w:color="auto"/>
            </w:tcBorders>
          </w:tcPr>
          <w:p>
            <w:pPr>
              <w:spacing w:after="0"/>
              <w:rPr>
                <w:sz w:val="12"/>
                <w:szCs w:val="12"/>
                <w:color w:val="auto"/>
              </w:rPr>
            </w:pPr>
          </w:p>
        </w:tc>
        <w:tc>
          <w:tcPr>
            <w:tcW w:w="1120" w:type="dxa"/>
            <w:vAlign w:val="bottom"/>
            <w:tcBorders>
              <w:right w:val="single" w:sz="8" w:color="auto"/>
            </w:tcBorders>
          </w:tcPr>
          <w:p>
            <w:pPr>
              <w:spacing w:after="0"/>
              <w:rPr>
                <w:sz w:val="12"/>
                <w:szCs w:val="12"/>
                <w:color w:val="auto"/>
              </w:rPr>
            </w:pPr>
          </w:p>
        </w:tc>
        <w:tc>
          <w:tcPr>
            <w:tcW w:w="1340" w:type="dxa"/>
            <w:vAlign w:val="bottom"/>
            <w:tcBorders>
              <w:right w:val="single" w:sz="8" w:color="auto"/>
            </w:tcBorders>
          </w:tcPr>
          <w:p>
            <w:pPr>
              <w:spacing w:after="0"/>
              <w:rPr>
                <w:sz w:val="12"/>
                <w:szCs w:val="12"/>
                <w:color w:val="auto"/>
              </w:rPr>
            </w:pPr>
          </w:p>
        </w:tc>
        <w:tc>
          <w:tcPr>
            <w:tcW w:w="35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dilution; BWM-E – sequential; ICE CLASS ID; INWATERSURVEY;</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MON-SHAFT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Mercer</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61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9337274</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Mamitsa</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62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9338084</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Lalo</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63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9330525</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Elizabeth</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64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9308429</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 BWM-T;</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 MON-SHAFT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Chloe</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65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9506382</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INWATERSURVEY;</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MON-SHAFT</w:t>
            </w:r>
          </w:p>
        </w:tc>
      </w:tr>
      <w:tr>
        <w:trPr>
          <w:trHeight w:val="122"/>
        </w:trPr>
        <w:tc>
          <w:tcPr>
            <w:tcW w:w="1480" w:type="dxa"/>
            <w:vAlign w:val="bottom"/>
            <w:tcBorders>
              <w:left w:val="single" w:sz="8" w:color="auto"/>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GSL Maren</w:t>
            </w:r>
          </w:p>
        </w:tc>
        <w:tc>
          <w:tcPr>
            <w:tcW w:w="16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Global Ship Lease 66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9504592</w:t>
            </w:r>
          </w:p>
        </w:tc>
        <w:tc>
          <w:tcPr>
            <w:tcW w:w="112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 X Container Ship; Unrestricted Navigation, X AUT-UMS;</w:t>
            </w:r>
          </w:p>
        </w:tc>
      </w:tr>
      <w:tr>
        <w:trPr>
          <w:trHeight w:val="155"/>
        </w:trPr>
        <w:tc>
          <w:tcPr>
            <w:tcW w:w="1480" w:type="dxa"/>
            <w:vAlign w:val="bottom"/>
            <w:tcBorders>
              <w:left w:val="single" w:sz="8" w:color="auto"/>
              <w:bottom w:val="single" w:sz="8" w:color="auto"/>
              <w:right w:val="single" w:sz="8" w:color="auto"/>
            </w:tcBorders>
          </w:tcPr>
          <w:p>
            <w:pPr>
              <w:spacing w:after="0"/>
              <w:rPr>
                <w:sz w:val="13"/>
                <w:szCs w:val="13"/>
                <w:color w:val="auto"/>
              </w:rPr>
            </w:pPr>
          </w:p>
        </w:tc>
        <w:tc>
          <w:tcPr>
            <w:tcW w:w="1600" w:type="dxa"/>
            <w:vAlign w:val="bottom"/>
            <w:tcBorders>
              <w:bottom w:val="single" w:sz="8" w:color="auto"/>
              <w:right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spacing w:after="0"/>
              <w:rPr>
                <w:sz w:val="13"/>
                <w:szCs w:val="13"/>
                <w:color w:val="auto"/>
              </w:rPr>
            </w:pPr>
          </w:p>
        </w:tc>
        <w:tc>
          <w:tcPr>
            <w:tcW w:w="1260" w:type="dxa"/>
            <w:vAlign w:val="bottom"/>
            <w:tcBorders>
              <w:bottom w:val="single" w:sz="8" w:color="auto"/>
              <w:right w:val="single" w:sz="8" w:color="auto"/>
            </w:tcBorders>
          </w:tcPr>
          <w:p>
            <w:pPr>
              <w:spacing w:after="0"/>
              <w:rPr>
                <w:sz w:val="13"/>
                <w:szCs w:val="13"/>
                <w:color w:val="auto"/>
              </w:rPr>
            </w:pPr>
          </w:p>
        </w:tc>
        <w:tc>
          <w:tcPr>
            <w:tcW w:w="1120" w:type="dxa"/>
            <w:vAlign w:val="bottom"/>
            <w:tcBorders>
              <w:bottom w:val="single" w:sz="8" w:color="auto"/>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35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INWATERSURVEY;</w:t>
            </w:r>
          </w:p>
        </w:tc>
      </w:tr>
      <w:tr>
        <w:trPr>
          <w:trHeight w:val="205"/>
        </w:trPr>
        <w:tc>
          <w:tcPr>
            <w:tcW w:w="14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189</w:t>
            </w:r>
          </w:p>
        </w:tc>
        <w:tc>
          <w:tcPr>
            <w:tcW w:w="134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2"/>
                <w:szCs w:val="12"/>
                <w:color w:val="auto"/>
                <w:w w:val="96"/>
              </w:rPr>
              <w:t>EUROPE/78117511v9</w:t>
            </w:r>
          </w:p>
        </w:tc>
      </w:tr>
    </w:tbl>
    <w:p>
      <w:pPr>
        <w:sectPr>
          <w:pgSz w:w="11900" w:h="16838" w:orient="portrait"/>
          <w:cols w:equalWidth="0" w:num="1">
            <w:col w:w="11300"/>
          </w:cols>
          <w:pgMar w:left="300" w:top="574" w:right="299" w:bottom="1440" w:gutter="0" w:footer="0" w:header="0"/>
        </w:sectPr>
      </w:pPr>
    </w:p>
    <w:bookmarkStart w:id="576" w:name="page577"/>
    <w:bookmarkEnd w:id="57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42"/>
        </w:trPr>
        <w:tc>
          <w:tcPr>
            <w:tcW w:w="1480" w:type="dxa"/>
            <w:vAlign w:val="bottom"/>
            <w:tcBorders>
              <w:top w:val="single" w:sz="8" w:color="auto"/>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GSL Alexandra</w:t>
            </w:r>
          </w:p>
        </w:tc>
        <w:tc>
          <w:tcPr>
            <w:tcW w:w="160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Global Ship Lease 72 LLC</w:t>
            </w:r>
          </w:p>
        </w:tc>
        <w:tc>
          <w:tcPr>
            <w:tcW w:w="10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top w:val="single" w:sz="8" w:color="auto"/>
              <w:right w:val="single" w:sz="8" w:color="auto"/>
            </w:tcBorders>
            <w:vMerge w:val="restart"/>
          </w:tcPr>
          <w:p>
            <w:pPr>
              <w:jc w:val="right"/>
              <w:ind w:right="780"/>
              <w:spacing w:after="0"/>
              <w:rPr>
                <w:sz w:val="20"/>
                <w:szCs w:val="20"/>
                <w:color w:val="auto"/>
              </w:rPr>
            </w:pPr>
            <w:r>
              <w:rPr>
                <w:rFonts w:ascii="Times New Roman" w:cs="Times New Roman" w:eastAsia="Times New Roman" w:hAnsi="Times New Roman"/>
                <w:sz w:val="12"/>
                <w:szCs w:val="12"/>
                <w:color w:val="auto"/>
                <w:w w:val="95"/>
              </w:rPr>
              <w:t>9260457</w:t>
            </w:r>
          </w:p>
        </w:tc>
        <w:tc>
          <w:tcPr>
            <w:tcW w:w="11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2"/>
                <w:szCs w:val="12"/>
                <w:color w:val="auto"/>
                <w:w w:val="98"/>
              </w:rPr>
              <w:t>C X Container Ship; Unrestricted Navigation, X AUT-CCS; AUT-UMS;</w:t>
            </w:r>
          </w:p>
        </w:tc>
        <w:tc>
          <w:tcPr>
            <w:tcW w:w="0" w:type="dxa"/>
            <w:vAlign w:val="bottom"/>
          </w:tcPr>
          <w:p>
            <w:pPr>
              <w:spacing w:after="0"/>
              <w:rPr>
                <w:sz w:val="1"/>
                <w:szCs w:val="1"/>
                <w:color w:val="auto"/>
              </w:rPr>
            </w:pPr>
          </w:p>
        </w:tc>
      </w:tr>
      <w:tr>
        <w:trPr>
          <w:trHeight w:val="83"/>
        </w:trPr>
        <w:tc>
          <w:tcPr>
            <w:tcW w:w="14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INWATERSURVEY; MON-SHAFT; X SYS-NEQ-1</w:t>
            </w:r>
          </w:p>
        </w:tc>
        <w:tc>
          <w:tcPr>
            <w:tcW w:w="0" w:type="dxa"/>
            <w:vAlign w:val="bottom"/>
          </w:tcPr>
          <w:p>
            <w:pPr>
              <w:spacing w:after="0"/>
              <w:rPr>
                <w:sz w:val="1"/>
                <w:szCs w:val="1"/>
                <w:color w:val="auto"/>
              </w:rPr>
            </w:pPr>
          </w:p>
        </w:tc>
      </w:tr>
      <w:tr>
        <w:trPr>
          <w:trHeight w:val="72"/>
        </w:trPr>
        <w:tc>
          <w:tcPr>
            <w:tcW w:w="148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GSL Sofia</w:t>
            </w:r>
          </w:p>
        </w:tc>
        <w:tc>
          <w:tcPr>
            <w:tcW w:w="16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Global Ship Lease 73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vMerge w:val="restart"/>
          </w:tcPr>
          <w:p>
            <w:pPr>
              <w:jc w:val="right"/>
              <w:ind w:right="780"/>
              <w:spacing w:after="0"/>
              <w:rPr>
                <w:sz w:val="20"/>
                <w:szCs w:val="20"/>
                <w:color w:val="auto"/>
              </w:rPr>
            </w:pPr>
            <w:r>
              <w:rPr>
                <w:rFonts w:ascii="Times New Roman" w:cs="Times New Roman" w:eastAsia="Times New Roman" w:hAnsi="Times New Roman"/>
                <w:sz w:val="12"/>
                <w:szCs w:val="12"/>
                <w:color w:val="auto"/>
                <w:w w:val="95"/>
              </w:rPr>
              <w:t>9260421</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w w:val="98"/>
              </w:rPr>
              <w:t>C X Container Ship; Unrestricted Navigation, X AUT-CCS; AUT-UMS;</w:t>
            </w:r>
          </w:p>
        </w:tc>
        <w:tc>
          <w:tcPr>
            <w:tcW w:w="0" w:type="dxa"/>
            <w:vAlign w:val="bottom"/>
          </w:tcPr>
          <w:p>
            <w:pPr>
              <w:spacing w:after="0"/>
              <w:rPr>
                <w:sz w:val="1"/>
                <w:szCs w:val="1"/>
                <w:color w:val="auto"/>
              </w:rPr>
            </w:pPr>
          </w:p>
        </w:tc>
      </w:tr>
      <w:tr>
        <w:trPr>
          <w:trHeight w:val="83"/>
        </w:trPr>
        <w:tc>
          <w:tcPr>
            <w:tcW w:w="14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INWATERSURVEY; MON-SHAFT; X SYS-NEQ-1</w:t>
            </w:r>
          </w:p>
        </w:tc>
        <w:tc>
          <w:tcPr>
            <w:tcW w:w="0" w:type="dxa"/>
            <w:vAlign w:val="bottom"/>
          </w:tcPr>
          <w:p>
            <w:pPr>
              <w:spacing w:after="0"/>
              <w:rPr>
                <w:sz w:val="1"/>
                <w:szCs w:val="1"/>
                <w:color w:val="auto"/>
              </w:rPr>
            </w:pPr>
          </w:p>
        </w:tc>
      </w:tr>
      <w:tr>
        <w:trPr>
          <w:trHeight w:val="72"/>
        </w:trPr>
        <w:tc>
          <w:tcPr>
            <w:tcW w:w="148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GSL Effie</w:t>
            </w:r>
          </w:p>
        </w:tc>
        <w:tc>
          <w:tcPr>
            <w:tcW w:w="16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Global Ship Lease 74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vMerge w:val="restart"/>
          </w:tcPr>
          <w:p>
            <w:pPr>
              <w:jc w:val="right"/>
              <w:ind w:right="780"/>
              <w:spacing w:after="0"/>
              <w:rPr>
                <w:sz w:val="20"/>
                <w:szCs w:val="20"/>
                <w:color w:val="auto"/>
              </w:rPr>
            </w:pPr>
            <w:r>
              <w:rPr>
                <w:rFonts w:ascii="Times New Roman" w:cs="Times New Roman" w:eastAsia="Times New Roman" w:hAnsi="Times New Roman"/>
                <w:sz w:val="12"/>
                <w:szCs w:val="12"/>
                <w:color w:val="auto"/>
                <w:w w:val="95"/>
              </w:rPr>
              <w:t>9260433</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w w:val="98"/>
              </w:rPr>
              <w:t>C X Container Ship; Unrestricted Navigation, X AUT-CCS; AUT-UMS;</w:t>
            </w:r>
          </w:p>
        </w:tc>
        <w:tc>
          <w:tcPr>
            <w:tcW w:w="0" w:type="dxa"/>
            <w:vAlign w:val="bottom"/>
          </w:tcPr>
          <w:p>
            <w:pPr>
              <w:spacing w:after="0"/>
              <w:rPr>
                <w:sz w:val="1"/>
                <w:szCs w:val="1"/>
                <w:color w:val="auto"/>
              </w:rPr>
            </w:pPr>
          </w:p>
        </w:tc>
      </w:tr>
      <w:tr>
        <w:trPr>
          <w:trHeight w:val="83"/>
        </w:trPr>
        <w:tc>
          <w:tcPr>
            <w:tcW w:w="14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INWATERSURVEY; MON-SHAFT; X SYS-NEQ-1</w:t>
            </w:r>
          </w:p>
        </w:tc>
        <w:tc>
          <w:tcPr>
            <w:tcW w:w="0" w:type="dxa"/>
            <w:vAlign w:val="bottom"/>
          </w:tcPr>
          <w:p>
            <w:pPr>
              <w:spacing w:after="0"/>
              <w:rPr>
                <w:sz w:val="1"/>
                <w:szCs w:val="1"/>
                <w:color w:val="auto"/>
              </w:rPr>
            </w:pPr>
          </w:p>
        </w:tc>
      </w:tr>
      <w:tr>
        <w:trPr>
          <w:trHeight w:val="72"/>
        </w:trPr>
        <w:tc>
          <w:tcPr>
            <w:tcW w:w="148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480" w:type="dxa"/>
            <w:vAlign w:val="bottom"/>
            <w:tcBorders>
              <w:left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GSL Lydia</w:t>
            </w:r>
          </w:p>
        </w:tc>
        <w:tc>
          <w:tcPr>
            <w:tcW w:w="16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Global Ship Lease 75 LLC</w:t>
            </w:r>
          </w:p>
        </w:tc>
        <w:tc>
          <w:tcPr>
            <w:tcW w:w="10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Container ship</w:t>
            </w:r>
          </w:p>
        </w:tc>
        <w:tc>
          <w:tcPr>
            <w:tcW w:w="1260" w:type="dxa"/>
            <w:vAlign w:val="bottom"/>
            <w:tcBorders>
              <w:right w:val="single" w:sz="8" w:color="auto"/>
            </w:tcBorders>
            <w:vMerge w:val="restart"/>
          </w:tcPr>
          <w:p>
            <w:pPr>
              <w:jc w:val="right"/>
              <w:ind w:right="780"/>
              <w:spacing w:after="0"/>
              <w:rPr>
                <w:sz w:val="20"/>
                <w:szCs w:val="20"/>
                <w:color w:val="auto"/>
              </w:rPr>
            </w:pPr>
            <w:r>
              <w:rPr>
                <w:rFonts w:ascii="Times New Roman" w:cs="Times New Roman" w:eastAsia="Times New Roman" w:hAnsi="Times New Roman"/>
                <w:sz w:val="12"/>
                <w:szCs w:val="12"/>
                <w:color w:val="auto"/>
                <w:w w:val="95"/>
              </w:rPr>
              <w:t>9260419</w:t>
            </w:r>
          </w:p>
        </w:tc>
        <w:tc>
          <w:tcPr>
            <w:tcW w:w="11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Liberia</w:t>
            </w:r>
          </w:p>
        </w:tc>
        <w:tc>
          <w:tcPr>
            <w:tcW w:w="134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Rina Services</w:t>
            </w:r>
          </w:p>
        </w:tc>
        <w:tc>
          <w:tcPr>
            <w:tcW w:w="3500" w:type="dxa"/>
            <w:vAlign w:val="bottom"/>
            <w:tcBorders>
              <w:right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w w:val="98"/>
              </w:rPr>
              <w:t>C X Container Ship; Unrestricted Navigation, X AUT-CCS; AUT-UMS;</w:t>
            </w:r>
          </w:p>
        </w:tc>
        <w:tc>
          <w:tcPr>
            <w:tcW w:w="0" w:type="dxa"/>
            <w:vAlign w:val="bottom"/>
          </w:tcPr>
          <w:p>
            <w:pPr>
              <w:spacing w:after="0"/>
              <w:rPr>
                <w:sz w:val="1"/>
                <w:szCs w:val="1"/>
                <w:color w:val="auto"/>
              </w:rPr>
            </w:pPr>
          </w:p>
        </w:tc>
      </w:tr>
      <w:tr>
        <w:trPr>
          <w:trHeight w:val="83"/>
        </w:trPr>
        <w:tc>
          <w:tcPr>
            <w:tcW w:w="1480" w:type="dxa"/>
            <w:vAlign w:val="bottom"/>
            <w:tcBorders>
              <w:left w:val="single" w:sz="8" w:color="auto"/>
              <w:right w:val="single" w:sz="8" w:color="auto"/>
            </w:tcBorders>
            <w:vMerge w:val="continue"/>
          </w:tcPr>
          <w:p>
            <w:pPr>
              <w:spacing w:after="0"/>
              <w:rPr>
                <w:sz w:val="7"/>
                <w:szCs w:val="7"/>
                <w:color w:val="auto"/>
              </w:rPr>
            </w:pPr>
          </w:p>
        </w:tc>
        <w:tc>
          <w:tcPr>
            <w:tcW w:w="160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tcPr>
          <w:p>
            <w:pPr>
              <w:spacing w:after="0"/>
              <w:rPr>
                <w:sz w:val="7"/>
                <w:szCs w:val="7"/>
                <w:color w:val="auto"/>
              </w:rPr>
            </w:pPr>
          </w:p>
        </w:tc>
        <w:tc>
          <w:tcPr>
            <w:tcW w:w="350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2"/>
                <w:szCs w:val="12"/>
                <w:color w:val="auto"/>
              </w:rPr>
              <w:t>INWATERSURVEY; MON-SHAFT; X SYS-NEQ-1</w:t>
            </w:r>
          </w:p>
        </w:tc>
        <w:tc>
          <w:tcPr>
            <w:tcW w:w="0" w:type="dxa"/>
            <w:vAlign w:val="bottom"/>
          </w:tcPr>
          <w:p>
            <w:pPr>
              <w:spacing w:after="0"/>
              <w:rPr>
                <w:sz w:val="1"/>
                <w:szCs w:val="1"/>
                <w:color w:val="auto"/>
              </w:rPr>
            </w:pPr>
          </w:p>
        </w:tc>
      </w:tr>
      <w:tr>
        <w:trPr>
          <w:trHeight w:val="72"/>
        </w:trPr>
        <w:tc>
          <w:tcPr>
            <w:tcW w:w="1480" w:type="dxa"/>
            <w:vAlign w:val="bottom"/>
            <w:tcBorders>
              <w:left w:val="single" w:sz="8" w:color="auto"/>
              <w:bottom w:val="single" w:sz="8" w:color="auto"/>
              <w:right w:val="single" w:sz="8" w:color="auto"/>
            </w:tcBorders>
          </w:tcPr>
          <w:p>
            <w:pPr>
              <w:spacing w:after="0"/>
              <w:rPr>
                <w:sz w:val="6"/>
                <w:szCs w:val="6"/>
                <w:color w:val="auto"/>
              </w:rPr>
            </w:pPr>
          </w:p>
        </w:tc>
        <w:tc>
          <w:tcPr>
            <w:tcW w:w="1600" w:type="dxa"/>
            <w:vAlign w:val="bottom"/>
            <w:tcBorders>
              <w:bottom w:val="single" w:sz="8" w:color="auto"/>
              <w:right w:val="single" w:sz="8" w:color="auto"/>
            </w:tcBorders>
          </w:tcPr>
          <w:p>
            <w:pPr>
              <w:spacing w:after="0"/>
              <w:rPr>
                <w:sz w:val="6"/>
                <w:szCs w:val="6"/>
                <w:color w:val="auto"/>
              </w:rPr>
            </w:pPr>
          </w:p>
        </w:tc>
        <w:tc>
          <w:tcPr>
            <w:tcW w:w="1000" w:type="dxa"/>
            <w:vAlign w:val="bottom"/>
            <w:tcBorders>
              <w:bottom w:val="single" w:sz="8" w:color="auto"/>
              <w:right w:val="single" w:sz="8" w:color="auto"/>
            </w:tcBorders>
          </w:tcPr>
          <w:p>
            <w:pPr>
              <w:spacing w:after="0"/>
              <w:rPr>
                <w:sz w:val="6"/>
                <w:szCs w:val="6"/>
                <w:color w:val="auto"/>
              </w:rPr>
            </w:pPr>
          </w:p>
        </w:tc>
        <w:tc>
          <w:tcPr>
            <w:tcW w:w="1260" w:type="dxa"/>
            <w:vAlign w:val="bottom"/>
            <w:tcBorders>
              <w:bottom w:val="single" w:sz="8" w:color="auto"/>
              <w:right w:val="single" w:sz="8" w:color="auto"/>
            </w:tcBorders>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1340" w:type="dxa"/>
            <w:vAlign w:val="bottom"/>
            <w:tcBorders>
              <w:bottom w:val="single" w:sz="8" w:color="auto"/>
              <w:right w:val="single" w:sz="8" w:color="auto"/>
            </w:tcBorders>
          </w:tcPr>
          <w:p>
            <w:pPr>
              <w:spacing w:after="0"/>
              <w:rPr>
                <w:sz w:val="6"/>
                <w:szCs w:val="6"/>
                <w:color w:val="auto"/>
              </w:rPr>
            </w:pPr>
          </w:p>
        </w:tc>
        <w:tc>
          <w:tcPr>
            <w:tcW w:w="3500" w:type="dxa"/>
            <w:vAlign w:val="bottom"/>
            <w:tcBorders>
              <w:bottom w:val="single" w:sz="8" w:color="auto"/>
              <w:right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21"/>
        </w:trPr>
        <w:tc>
          <w:tcPr>
            <w:tcW w:w="1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660"/>
              <w:spacing w:after="0"/>
              <w:rPr>
                <w:sz w:val="20"/>
                <w:szCs w:val="20"/>
                <w:color w:val="auto"/>
              </w:rPr>
            </w:pPr>
            <w:r>
              <w:rPr>
                <w:rFonts w:ascii="Times New Roman" w:cs="Times New Roman" w:eastAsia="Times New Roman" w:hAnsi="Times New Roman"/>
                <w:sz w:val="12"/>
                <w:szCs w:val="12"/>
                <w:color w:val="auto"/>
              </w:rPr>
              <w:t>190</w:t>
            </w:r>
          </w:p>
        </w:tc>
        <w:tc>
          <w:tcPr>
            <w:tcW w:w="13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ind w:left="2400"/>
              <w:spacing w:after="0"/>
              <w:rPr>
                <w:sz w:val="20"/>
                <w:szCs w:val="20"/>
                <w:color w:val="auto"/>
              </w:rPr>
            </w:pPr>
            <w:r>
              <w:rPr>
                <w:rFonts w:ascii="Times New Roman" w:cs="Times New Roman" w:eastAsia="Times New Roman" w:hAnsi="Times New Roman"/>
                <w:sz w:val="12"/>
                <w:szCs w:val="12"/>
                <w:color w:val="auto"/>
                <w:w w:val="96"/>
              </w:rPr>
              <w:t>EUROPE/78117511v9</w:t>
            </w:r>
          </w:p>
        </w:tc>
        <w:tc>
          <w:tcPr>
            <w:tcW w:w="0" w:type="dxa"/>
            <w:vAlign w:val="bottom"/>
          </w:tcPr>
          <w:p>
            <w:pPr>
              <w:spacing w:after="0"/>
              <w:rPr>
                <w:sz w:val="1"/>
                <w:szCs w:val="1"/>
                <w:color w:val="auto"/>
              </w:rPr>
            </w:pPr>
          </w:p>
        </w:tc>
      </w:tr>
    </w:tbl>
    <w:p>
      <w:pPr>
        <w:sectPr>
          <w:pgSz w:w="11900" w:h="16838" w:orient="portrait"/>
          <w:cols w:equalWidth="0" w:num="1">
            <w:col w:w="11300"/>
          </w:cols>
          <w:pgMar w:left="300" w:top="569" w:right="299" w:bottom="1440" w:gutter="0" w:footer="0" w:header="0"/>
        </w:sectPr>
      </w:pPr>
    </w:p>
    <w:bookmarkStart w:id="577" w:name="page578"/>
    <w:bookmarkEnd w:id="577"/>
    <w:p>
      <w:pPr>
        <w:jc w:val="center"/>
        <w:spacing w:after="0"/>
        <w:rPr>
          <w:sz w:val="20"/>
          <w:szCs w:val="20"/>
          <w:color w:val="auto"/>
        </w:rPr>
      </w:pPr>
      <w:r>
        <w:rPr>
          <w:rFonts w:ascii="Times New Roman" w:cs="Times New Roman" w:eastAsia="Times New Roman" w:hAnsi="Times New Roman"/>
          <w:sz w:val="12"/>
          <w:szCs w:val="12"/>
          <w:b w:val="1"/>
          <w:bCs w:val="1"/>
          <w:color w:val="auto"/>
        </w:rPr>
        <w:t>SCHEDULE 8</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TIMETABLES</w:t>
      </w:r>
    </w:p>
    <w:p>
      <w:pPr>
        <w:sectPr>
          <w:pgSz w:w="11900" w:h="16838" w:orient="portrait"/>
          <w:cols w:equalWidth="0" w:num="1">
            <w:col w:w="11300"/>
          </w:cols>
          <w:pgMar w:left="300" w:top="574" w:right="299" w:bottom="1440" w:gutter="0" w:footer="0" w:header="0"/>
        </w:sectPr>
      </w:pPr>
    </w:p>
    <w:p>
      <w:pPr>
        <w:spacing w:after="0" w:line="164" w:lineRule="exact"/>
        <w:rPr>
          <w:sz w:val="20"/>
          <w:szCs w:val="20"/>
          <w:color w:val="auto"/>
        </w:rPr>
      </w:pPr>
    </w:p>
    <w:p>
      <w:pPr>
        <w:ind w:right="40"/>
        <w:spacing w:after="0" w:line="283" w:lineRule="auto"/>
        <w:rPr>
          <w:sz w:val="20"/>
          <w:szCs w:val="20"/>
          <w:color w:val="auto"/>
        </w:rPr>
      </w:pPr>
      <w:r>
        <w:rPr>
          <w:rFonts w:ascii="Times New Roman" w:cs="Times New Roman" w:eastAsia="Times New Roman" w:hAnsi="Times New Roman"/>
          <w:sz w:val="12"/>
          <w:szCs w:val="12"/>
          <w:color w:val="auto"/>
        </w:rPr>
        <w:t>Delivery of a duly completed Utilisation Request (Clause 5.1 (</w:t>
      </w:r>
      <w:r>
        <w:rPr>
          <w:rFonts w:ascii="Times New Roman" w:cs="Times New Roman" w:eastAsia="Times New Roman" w:hAnsi="Times New Roman"/>
          <w:sz w:val="12"/>
          <w:szCs w:val="12"/>
          <w:i w:val="1"/>
          <w:iCs w:val="1"/>
          <w:color w:val="auto"/>
        </w:rPr>
        <w:t>Delivery of a Utilisation Request</w:t>
      </w:r>
      <w:r>
        <w:rPr>
          <w:rFonts w:ascii="Times New Roman" w:cs="Times New Roman" w:eastAsia="Times New Roman" w:hAnsi="Times New Roman"/>
          <w:sz w:val="12"/>
          <w:szCs w:val="12"/>
          <w:color w:val="auto"/>
        </w:rPr>
        <w:t>)) or a Selection Notice (Clause 10.1 (</w:t>
      </w:r>
      <w:r>
        <w:rPr>
          <w:rFonts w:ascii="Times New Roman" w:cs="Times New Roman" w:eastAsia="Times New Roman" w:hAnsi="Times New Roman"/>
          <w:sz w:val="12"/>
          <w:szCs w:val="12"/>
          <w:i w:val="1"/>
          <w:iCs w:val="1"/>
          <w:color w:val="auto"/>
        </w:rPr>
        <w:t>Selection of Interest</w:t>
      </w:r>
      <w:r>
        <w:rPr>
          <w:rFonts w:ascii="Times New Roman" w:cs="Times New Roman" w:eastAsia="Times New Roman" w:hAnsi="Times New Roman"/>
          <w:sz w:val="12"/>
          <w:szCs w:val="12"/>
          <w:color w:val="auto"/>
        </w:rPr>
        <w:t xml:space="preserve"> Periods))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Agent notifies the Lenders of the Loan in accordance with Clause 5.4 (</w:t>
      </w:r>
      <w:r>
        <w:rPr>
          <w:rFonts w:ascii="Times New Roman" w:cs="Times New Roman" w:eastAsia="Times New Roman" w:hAnsi="Times New Roman"/>
          <w:sz w:val="12"/>
          <w:szCs w:val="12"/>
          <w:i w:val="1"/>
          <w:iCs w:val="1"/>
          <w:color w:val="auto"/>
        </w:rPr>
        <w:t>Lenders' participation</w:t>
      </w:r>
      <w:r>
        <w:rPr>
          <w:rFonts w:ascii="Times New Roman" w:cs="Times New Roman" w:eastAsia="Times New Roman" w:hAnsi="Times New Roman"/>
          <w:sz w:val="12"/>
          <w:szCs w:val="12"/>
          <w:color w:val="auto"/>
        </w:rPr>
        <w:t>)</w:t>
      </w:r>
    </w:p>
    <w:p>
      <w:pPr>
        <w:spacing w:after="0" w:line="22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2"/>
          <w:szCs w:val="12"/>
          <w:color w:val="auto"/>
        </w:rPr>
        <w:t>Five Business Days before the intended Utilisation Date (Clause 5.1 (</w:t>
      </w:r>
      <w:r>
        <w:rPr>
          <w:rFonts w:ascii="Times New Roman" w:cs="Times New Roman" w:eastAsia="Times New Roman" w:hAnsi="Times New Roman"/>
          <w:sz w:val="12"/>
          <w:szCs w:val="12"/>
          <w:i w:val="1"/>
          <w:iCs w:val="1"/>
          <w:color w:val="auto"/>
        </w:rPr>
        <w:t>Delivery of a Utilisation Request</w:t>
      </w:r>
      <w:r>
        <w:rPr>
          <w:rFonts w:ascii="Times New Roman" w:cs="Times New Roman" w:eastAsia="Times New Roman" w:hAnsi="Times New Roman"/>
          <w:sz w:val="12"/>
          <w:szCs w:val="12"/>
          <w:color w:val="auto"/>
        </w:rPr>
        <w:t>)) or by no later than 11 a.m. Swiss time three Business Days before the expiry of the preceding Interest Period (Clause 10.1 (</w:t>
      </w:r>
      <w:r>
        <w:rPr>
          <w:rFonts w:ascii="Times New Roman" w:cs="Times New Roman" w:eastAsia="Times New Roman" w:hAnsi="Times New Roman"/>
          <w:sz w:val="12"/>
          <w:szCs w:val="12"/>
          <w:i w:val="1"/>
          <w:iCs w:val="1"/>
          <w:color w:val="auto"/>
        </w:rPr>
        <w:t>Selection of Interest Periods</w:t>
      </w:r>
      <w:r>
        <w:rPr>
          <w:rFonts w:ascii="Times New Roman" w:cs="Times New Roman" w:eastAsia="Times New Roman" w:hAnsi="Times New Roman"/>
          <w:sz w:val="12"/>
          <w:szCs w:val="12"/>
          <w:color w:val="auto"/>
        </w:rPr>
        <w: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Two Business Days before the intended Utilisation Date.</w:t>
      </w: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EUROPE/78117511v9</w:t>
      </w:r>
    </w:p>
    <w:p>
      <w:pPr>
        <w:sectPr>
          <w:pgSz w:w="11900" w:h="16838" w:orient="portrait"/>
          <w:cols w:equalWidth="0" w:num="2">
            <w:col w:w="5740" w:space="320"/>
            <w:col w:w="5240"/>
          </w:cols>
          <w:pgMar w:left="300" w:top="574" w:right="299" w:bottom="1440" w:gutter="0" w:footer="0" w:header="0"/>
          <w:type w:val="continuous"/>
        </w:sectPr>
      </w:pPr>
    </w:p>
    <w:bookmarkStart w:id="578" w:name="page579"/>
    <w:bookmarkEnd w:id="578"/>
    <w:tbl>
      <w:tblPr>
        <w:tblLayout w:type="fixed"/>
        <w:tblInd w:w="0" w:type="dxa"/>
        <w:tblCellMar>
          <w:top w:w="0" w:type="dxa"/>
          <w:left w:w="0" w:type="dxa"/>
          <w:bottom w:w="0" w:type="dxa"/>
          <w:right w:w="0" w:type="dxa"/>
        </w:tblCellMar>
      </w:tblPr>
      <w:tr>
        <w:trPr>
          <w:trHeight w:val="159"/>
        </w:trPr>
        <w:tc>
          <w:tcPr>
            <w:tcW w:w="4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20" w:type="dxa"/>
            <w:vAlign w:val="bottom"/>
          </w:tcPr>
          <w:p>
            <w:pPr>
              <w:jc w:val="center"/>
              <w:ind w:right="3860"/>
              <w:spacing w:after="0"/>
              <w:rPr>
                <w:sz w:val="20"/>
                <w:szCs w:val="20"/>
                <w:color w:val="auto"/>
              </w:rPr>
            </w:pPr>
            <w:r>
              <w:rPr>
                <w:rFonts w:ascii="Times New Roman" w:cs="Times New Roman" w:eastAsia="Times New Roman" w:hAnsi="Times New Roman"/>
                <w:sz w:val="12"/>
                <w:szCs w:val="12"/>
                <w:b w:val="1"/>
                <w:bCs w:val="1"/>
                <w:color w:val="auto"/>
              </w:rPr>
              <w:t>SCHEDULE 9</w:t>
            </w:r>
          </w:p>
        </w:tc>
        <w:tc>
          <w:tcPr>
            <w:tcW w:w="1240" w:type="dxa"/>
            <w:vAlign w:val="bottom"/>
          </w:tcPr>
          <w:p>
            <w:pPr>
              <w:spacing w:after="0"/>
              <w:rPr>
                <w:sz w:val="13"/>
                <w:szCs w:val="13"/>
                <w:color w:val="auto"/>
              </w:rPr>
            </w:pPr>
          </w:p>
        </w:tc>
      </w:tr>
      <w:tr>
        <w:trPr>
          <w:trHeight w:val="432"/>
        </w:trPr>
        <w:tc>
          <w:tcPr>
            <w:tcW w:w="4700" w:type="dxa"/>
            <w:vAlign w:val="bottom"/>
          </w:tcPr>
          <w:p>
            <w:pPr>
              <w:spacing w:after="0"/>
              <w:rPr>
                <w:sz w:val="24"/>
                <w:szCs w:val="24"/>
                <w:color w:val="auto"/>
              </w:rPr>
            </w:pPr>
          </w:p>
        </w:tc>
        <w:tc>
          <w:tcPr>
            <w:tcW w:w="5360" w:type="dxa"/>
            <w:vAlign w:val="bottom"/>
            <w:gridSpan w:val="2"/>
          </w:tcPr>
          <w:p>
            <w:pPr>
              <w:jc w:val="center"/>
              <w:ind w:right="3400"/>
              <w:spacing w:after="0"/>
              <w:rPr>
                <w:sz w:val="20"/>
                <w:szCs w:val="20"/>
                <w:color w:val="auto"/>
              </w:rPr>
            </w:pPr>
            <w:r>
              <w:rPr>
                <w:rFonts w:ascii="Times New Roman" w:cs="Times New Roman" w:eastAsia="Times New Roman" w:hAnsi="Times New Roman"/>
                <w:sz w:val="12"/>
                <w:szCs w:val="12"/>
                <w:b w:val="1"/>
                <w:bCs w:val="1"/>
                <w:color w:val="auto"/>
                <w:w w:val="99"/>
              </w:rPr>
              <w:t>RISK FREE RATE TERMS</w:t>
            </w:r>
          </w:p>
        </w:tc>
        <w:tc>
          <w:tcPr>
            <w:tcW w:w="1240" w:type="dxa"/>
            <w:vAlign w:val="bottom"/>
          </w:tcPr>
          <w:p>
            <w:pPr>
              <w:spacing w:after="0"/>
              <w:rPr>
                <w:sz w:val="24"/>
                <w:szCs w:val="24"/>
                <w:color w:val="auto"/>
              </w:rPr>
            </w:pPr>
          </w:p>
        </w:tc>
      </w:tr>
      <w:tr>
        <w:trPr>
          <w:trHeight w:val="288"/>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Cost of funds as a fallback</w:t>
            </w:r>
          </w:p>
        </w:tc>
        <w:tc>
          <w:tcPr>
            <w:tcW w:w="53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Cost of funds will not apply as a fallback.</w:t>
            </w:r>
          </w:p>
        </w:tc>
        <w:tc>
          <w:tcPr>
            <w:tcW w:w="1240" w:type="dxa"/>
            <w:vAlign w:val="bottom"/>
          </w:tcPr>
          <w:p>
            <w:pPr>
              <w:spacing w:after="0"/>
              <w:rPr>
                <w:sz w:val="24"/>
                <w:szCs w:val="24"/>
                <w:color w:val="auto"/>
              </w:rPr>
            </w:pPr>
          </w:p>
        </w:tc>
      </w:tr>
      <w:tr>
        <w:trPr>
          <w:trHeight w:val="576"/>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i w:val="1"/>
                <w:iCs w:val="1"/>
                <w:color w:val="auto"/>
              </w:rPr>
              <w:t>Definitions</w:t>
            </w:r>
          </w:p>
        </w:tc>
        <w:tc>
          <w:tcPr>
            <w:tcW w:w="44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88"/>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Additional Business Days:</w:t>
            </w:r>
          </w:p>
        </w:tc>
        <w:tc>
          <w:tcPr>
            <w:tcW w:w="53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An RFR Banking Day.</w:t>
            </w:r>
          </w:p>
        </w:tc>
        <w:tc>
          <w:tcPr>
            <w:tcW w:w="1240" w:type="dxa"/>
            <w:vAlign w:val="bottom"/>
          </w:tcPr>
          <w:p>
            <w:pPr>
              <w:spacing w:after="0"/>
              <w:rPr>
                <w:sz w:val="24"/>
                <w:szCs w:val="24"/>
                <w:color w:val="auto"/>
              </w:rPr>
            </w:pPr>
          </w:p>
        </w:tc>
      </w:tr>
      <w:tr>
        <w:trPr>
          <w:trHeight w:val="286"/>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Forward Rate Break Costs:</w:t>
            </w:r>
          </w:p>
        </w:tc>
        <w:tc>
          <w:tcPr>
            <w:tcW w:w="6600" w:type="dxa"/>
            <w:vAlign w:val="bottom"/>
            <w:gridSpan w:val="3"/>
          </w:tcPr>
          <w:p>
            <w:pPr>
              <w:ind w:left="160"/>
              <w:spacing w:after="0"/>
              <w:rPr>
                <w:sz w:val="20"/>
                <w:szCs w:val="20"/>
                <w:color w:val="auto"/>
              </w:rPr>
            </w:pPr>
            <w:r>
              <w:rPr>
                <w:rFonts w:ascii="Times New Roman" w:cs="Times New Roman" w:eastAsia="Times New Roman" w:hAnsi="Times New Roman"/>
                <w:sz w:val="12"/>
                <w:szCs w:val="12"/>
                <w:color w:val="auto"/>
              </w:rPr>
              <w:t>For the purposes of Clause 11.2 (</w:t>
            </w:r>
            <w:r>
              <w:rPr>
                <w:rFonts w:ascii="Times New Roman" w:cs="Times New Roman" w:eastAsia="Times New Roman" w:hAnsi="Times New Roman"/>
                <w:sz w:val="12"/>
                <w:szCs w:val="12"/>
                <w:i w:val="1"/>
                <w:iCs w:val="1"/>
                <w:color w:val="auto"/>
              </w:rPr>
              <w:t>Break Costs</w:t>
            </w:r>
            <w:r>
              <w:rPr>
                <w:rFonts w:ascii="Times New Roman" w:cs="Times New Roman" w:eastAsia="Times New Roman" w:hAnsi="Times New Roman"/>
                <w:sz w:val="12"/>
                <w:szCs w:val="12"/>
                <w:color w:val="auto"/>
              </w:rPr>
              <w:t>), in relation to all or part of a Forward Rate Loan which is paid by the Borrowers on</w:t>
            </w:r>
          </w:p>
        </w:tc>
      </w:tr>
      <w:tr>
        <w:trPr>
          <w:trHeight w:val="155"/>
        </w:trPr>
        <w:tc>
          <w:tcPr>
            <w:tcW w:w="4700" w:type="dxa"/>
            <w:vAlign w:val="bottom"/>
          </w:tcPr>
          <w:p>
            <w:pPr>
              <w:spacing w:after="0"/>
              <w:rPr>
                <w:sz w:val="13"/>
                <w:szCs w:val="13"/>
                <w:color w:val="auto"/>
              </w:rPr>
            </w:pPr>
          </w:p>
        </w:tc>
        <w:tc>
          <w:tcPr>
            <w:tcW w:w="53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a day prior to the last day of an Interest Period for that Forward Rate Loan, the amount (if any) by which:</w:t>
            </w:r>
          </w:p>
        </w:tc>
        <w:tc>
          <w:tcPr>
            <w:tcW w:w="1240" w:type="dxa"/>
            <w:vAlign w:val="bottom"/>
          </w:tcPr>
          <w:p>
            <w:pPr>
              <w:spacing w:after="0"/>
              <w:rPr>
                <w:sz w:val="13"/>
                <w:szCs w:val="13"/>
                <w:color w:val="auto"/>
              </w:rPr>
            </w:pPr>
          </w:p>
        </w:tc>
      </w:tr>
      <w:tr>
        <w:trPr>
          <w:trHeight w:val="277"/>
        </w:trPr>
        <w:tc>
          <w:tcPr>
            <w:tcW w:w="47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w:t>
            </w:r>
          </w:p>
        </w:tc>
        <w:tc>
          <w:tcPr>
            <w:tcW w:w="6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the interest which a Lender should have received for the period from the date of receipt of all or any part of its</w:t>
            </w:r>
          </w:p>
        </w:tc>
      </w:tr>
      <w:tr>
        <w:trPr>
          <w:trHeight w:val="144"/>
        </w:trPr>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participation in that Forward Rate Loan or Unpaid Sum to the last day of the current Interest Period in respect of that</w:t>
            </w:r>
          </w:p>
        </w:tc>
      </w:tr>
      <w:tr>
        <w:trPr>
          <w:trHeight w:val="144"/>
        </w:trPr>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Forward Rate Loan or Unpaid Sum, had the principal amount or Unpaid Sum received been paid on the last day of that</w:t>
            </w:r>
          </w:p>
        </w:tc>
      </w:tr>
      <w:tr>
        <w:trPr>
          <w:trHeight w:val="155"/>
        </w:trPr>
        <w:tc>
          <w:tcPr>
            <w:tcW w:w="4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Interest Period;</w:t>
            </w:r>
          </w:p>
        </w:tc>
        <w:tc>
          <w:tcPr>
            <w:tcW w:w="1240" w:type="dxa"/>
            <w:vAlign w:val="bottom"/>
          </w:tcPr>
          <w:p>
            <w:pPr>
              <w:spacing w:after="0"/>
              <w:rPr>
                <w:sz w:val="13"/>
                <w:szCs w:val="13"/>
                <w:color w:val="auto"/>
              </w:rPr>
            </w:pPr>
          </w:p>
        </w:tc>
      </w:tr>
      <w:tr>
        <w:trPr>
          <w:trHeight w:val="288"/>
        </w:trPr>
        <w:tc>
          <w:tcPr>
            <w:tcW w:w="4700" w:type="dxa"/>
            <w:vAlign w:val="bottom"/>
          </w:tcPr>
          <w:p>
            <w:pPr>
              <w:spacing w:after="0"/>
              <w:rPr>
                <w:sz w:val="24"/>
                <w:szCs w:val="24"/>
                <w:color w:val="auto"/>
              </w:rPr>
            </w:pPr>
          </w:p>
        </w:tc>
        <w:tc>
          <w:tcPr>
            <w:tcW w:w="53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exceeds:</w:t>
            </w:r>
          </w:p>
        </w:tc>
        <w:tc>
          <w:tcPr>
            <w:tcW w:w="1240" w:type="dxa"/>
            <w:vAlign w:val="bottom"/>
          </w:tcPr>
          <w:p>
            <w:pPr>
              <w:spacing w:after="0"/>
              <w:rPr>
                <w:sz w:val="24"/>
                <w:szCs w:val="24"/>
                <w:color w:val="auto"/>
              </w:rPr>
            </w:pPr>
          </w:p>
        </w:tc>
      </w:tr>
      <w:tr>
        <w:trPr>
          <w:trHeight w:val="277"/>
        </w:trPr>
        <w:tc>
          <w:tcPr>
            <w:tcW w:w="4700" w:type="dxa"/>
            <w:vAlign w:val="bottom"/>
          </w:tcPr>
          <w:p>
            <w:pPr>
              <w:spacing w:after="0"/>
              <w:rPr>
                <w:sz w:val="24"/>
                <w:szCs w:val="24"/>
                <w:color w:val="auto"/>
              </w:rPr>
            </w:pPr>
          </w:p>
        </w:tc>
        <w:tc>
          <w:tcPr>
            <w:tcW w:w="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(b)</w:t>
            </w:r>
          </w:p>
        </w:tc>
        <w:tc>
          <w:tcPr>
            <w:tcW w:w="6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the amount which that Lender would be able to obtain by placing an amount equal to the principal amount or Unpaid</w:t>
            </w:r>
          </w:p>
        </w:tc>
      </w:tr>
      <w:tr>
        <w:trPr>
          <w:trHeight w:val="144"/>
        </w:trPr>
        <w:tc>
          <w:tcPr>
            <w:tcW w:w="47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1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Sum received by it on deposit with a leading bank for a period starting on the Business Day following receipt or recovery</w:t>
            </w:r>
          </w:p>
        </w:tc>
      </w:tr>
      <w:tr>
        <w:trPr>
          <w:trHeight w:val="155"/>
        </w:trPr>
        <w:tc>
          <w:tcPr>
            <w:tcW w:w="4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2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and ending on the last day of the current Interest Period.</w:t>
            </w:r>
          </w:p>
        </w:tc>
        <w:tc>
          <w:tcPr>
            <w:tcW w:w="1240" w:type="dxa"/>
            <w:vAlign w:val="bottom"/>
          </w:tcPr>
          <w:p>
            <w:pPr>
              <w:spacing w:after="0"/>
              <w:rPr>
                <w:sz w:val="13"/>
                <w:szCs w:val="13"/>
                <w:color w:val="auto"/>
              </w:rPr>
            </w:pPr>
          </w:p>
        </w:tc>
      </w:tr>
      <w:tr>
        <w:trPr>
          <w:trHeight w:val="288"/>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Compounded Rate Break Costs:</w:t>
            </w:r>
          </w:p>
        </w:tc>
        <w:tc>
          <w:tcPr>
            <w:tcW w:w="536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auto"/>
              </w:rPr>
              <w:t>None other than the fee specified in Clause 12.1 (</w:t>
            </w:r>
            <w:r>
              <w:rPr>
                <w:rFonts w:ascii="Times New Roman" w:cs="Times New Roman" w:eastAsia="Times New Roman" w:hAnsi="Times New Roman"/>
                <w:sz w:val="12"/>
                <w:szCs w:val="12"/>
                <w:i w:val="1"/>
                <w:iCs w:val="1"/>
                <w:color w:val="auto"/>
              </w:rPr>
              <w:t>Prepayment Fee</w:t>
            </w:r>
            <w:r>
              <w:rPr>
                <w:rFonts w:ascii="Times New Roman" w:cs="Times New Roman" w:eastAsia="Times New Roman" w:hAnsi="Times New Roman"/>
                <w:sz w:val="12"/>
                <w:szCs w:val="12"/>
                <w:color w:val="auto"/>
              </w:rPr>
              <w:t>).</w:t>
            </w:r>
          </w:p>
        </w:tc>
        <w:tc>
          <w:tcPr>
            <w:tcW w:w="1240" w:type="dxa"/>
            <w:vAlign w:val="bottom"/>
          </w:tcPr>
          <w:p>
            <w:pPr>
              <w:spacing w:after="0"/>
              <w:rPr>
                <w:sz w:val="24"/>
                <w:szCs w:val="24"/>
                <w:color w:val="auto"/>
              </w:rPr>
            </w:pPr>
          </w:p>
        </w:tc>
      </w:tr>
      <w:tr>
        <w:trPr>
          <w:trHeight w:val="565"/>
        </w:trPr>
        <w:tc>
          <w:tcPr>
            <w:tcW w:w="4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Business Day Conventions (definition of "month" and Clause 10.3 (</w:t>
            </w:r>
            <w:r>
              <w:rPr>
                <w:rFonts w:ascii="Times New Roman" w:cs="Times New Roman" w:eastAsia="Times New Roman" w:hAnsi="Times New Roman"/>
                <w:sz w:val="12"/>
                <w:szCs w:val="12"/>
                <w:b w:val="1"/>
                <w:bCs w:val="1"/>
                <w:i w:val="1"/>
                <w:iCs w:val="1"/>
                <w:color w:val="auto"/>
              </w:rPr>
              <w:t>Non-Business Days</w:t>
            </w:r>
            <w:r>
              <w:rPr>
                <w:rFonts w:ascii="Times New Roman" w:cs="Times New Roman" w:eastAsia="Times New Roman" w:hAnsi="Times New Roman"/>
                <w:sz w:val="12"/>
                <w:szCs w:val="12"/>
                <w:b w:val="1"/>
                <w:bCs w:val="1"/>
                <w:color w:val="auto"/>
              </w:rPr>
              <w:t>)):</w:t>
            </w:r>
          </w:p>
        </w:tc>
        <w:tc>
          <w:tcPr>
            <w:tcW w:w="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w:t>
            </w:r>
          </w:p>
        </w:tc>
        <w:tc>
          <w:tcPr>
            <w:tcW w:w="6160" w:type="dxa"/>
            <w:vAlign w:val="bottom"/>
            <w:gridSpan w:val="2"/>
          </w:tcPr>
          <w:p>
            <w:pPr>
              <w:jc w:val="right"/>
              <w:ind w:right="60"/>
              <w:spacing w:after="0"/>
              <w:rPr>
                <w:sz w:val="20"/>
                <w:szCs w:val="20"/>
                <w:color w:val="auto"/>
              </w:rPr>
            </w:pPr>
            <w:r>
              <w:rPr>
                <w:rFonts w:ascii="Times New Roman" w:cs="Times New Roman" w:eastAsia="Times New Roman" w:hAnsi="Times New Roman"/>
                <w:sz w:val="12"/>
                <w:szCs w:val="12"/>
                <w:color w:val="auto"/>
              </w:rPr>
              <w:t>If any period is expressed to accrue by reference to a month or any number of months then, in respect of the last</w:t>
            </w:r>
          </w:p>
        </w:tc>
      </w:tr>
      <w:tr>
        <w:trPr>
          <w:trHeight w:val="155"/>
        </w:trPr>
        <w:tc>
          <w:tcPr>
            <w:tcW w:w="4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92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month of that period:</w:t>
            </w:r>
          </w:p>
        </w:tc>
        <w:tc>
          <w:tcPr>
            <w:tcW w:w="1240" w:type="dxa"/>
            <w:vAlign w:val="bottom"/>
          </w:tcPr>
          <w:p>
            <w:pPr>
              <w:spacing w:after="0"/>
              <w:rPr>
                <w:sz w:val="13"/>
                <w:szCs w:val="13"/>
                <w:color w:val="auto"/>
              </w:rPr>
            </w:pPr>
          </w:p>
        </w:tc>
      </w:tr>
      <w:tr>
        <w:trPr>
          <w:trHeight w:val="360"/>
        </w:trPr>
        <w:tc>
          <w:tcPr>
            <w:tcW w:w="47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jc w:val="center"/>
              <w:ind w:right="3840"/>
              <w:spacing w:after="0"/>
              <w:rPr>
                <w:sz w:val="20"/>
                <w:szCs w:val="20"/>
                <w:color w:val="auto"/>
              </w:rPr>
            </w:pPr>
            <w:r>
              <w:rPr>
                <w:rFonts w:ascii="Times New Roman" w:cs="Times New Roman" w:eastAsia="Times New Roman" w:hAnsi="Times New Roman"/>
                <w:sz w:val="12"/>
                <w:szCs w:val="12"/>
                <w:color w:val="auto"/>
                <w:w w:val="99"/>
              </w:rPr>
              <w:t>192</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79" w:name="page580"/>
    <w:bookmarkEnd w:id="579"/>
    <w:p>
      <w:pPr>
        <w:jc w:val="both"/>
        <w:ind w:left="5720" w:right="20" w:hanging="434"/>
        <w:spacing w:after="0" w:line="265" w:lineRule="auto"/>
        <w:tabs>
          <w:tab w:leader="none" w:pos="6038" w:val="left"/>
        </w:tabs>
        <w:numPr>
          <w:ilvl w:val="0"/>
          <w:numId w:val="10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subject to sub-paragraph (iii)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18" w:lineRule="exact"/>
        <w:rPr>
          <w:rFonts w:ascii="Times New Roman" w:cs="Times New Roman" w:eastAsia="Times New Roman" w:hAnsi="Times New Roman"/>
          <w:sz w:val="12"/>
          <w:szCs w:val="12"/>
          <w:color w:val="auto"/>
        </w:rPr>
      </w:pPr>
    </w:p>
    <w:p>
      <w:pPr>
        <w:ind w:left="5720" w:right="20" w:hanging="434"/>
        <w:spacing w:after="0" w:line="279" w:lineRule="auto"/>
        <w:tabs>
          <w:tab w:leader="none" w:pos="5993" w:val="left"/>
        </w:tabs>
        <w:numPr>
          <w:ilvl w:val="0"/>
          <w:numId w:val="10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there is no numerically corresponding day in the calendar month in which that period is to end, that period shall end on the last Business Day in that calendar month; and</w:t>
      </w:r>
    </w:p>
    <w:p>
      <w:pPr>
        <w:spacing w:after="0" w:line="111" w:lineRule="exact"/>
        <w:rPr>
          <w:rFonts w:ascii="Times New Roman" w:cs="Times New Roman" w:eastAsia="Times New Roman" w:hAnsi="Times New Roman"/>
          <w:sz w:val="12"/>
          <w:szCs w:val="12"/>
          <w:color w:val="auto"/>
        </w:rPr>
      </w:pPr>
    </w:p>
    <w:p>
      <w:pPr>
        <w:ind w:left="5720" w:right="20" w:hanging="434"/>
        <w:spacing w:after="0" w:line="279" w:lineRule="auto"/>
        <w:tabs>
          <w:tab w:leader="none" w:pos="5957" w:val="left"/>
        </w:tabs>
        <w:numPr>
          <w:ilvl w:val="0"/>
          <w:numId w:val="105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Interest Period begins on the last Business Day of a calendar month, that Interest Period shall end on the last Business Day in the calendar month in which that Interest Period is to end.</w:t>
      </w:r>
    </w:p>
    <w:p>
      <w:pPr>
        <w:spacing w:after="0" w:line="111" w:lineRule="exact"/>
        <w:rPr>
          <w:sz w:val="20"/>
          <w:szCs w:val="20"/>
          <w:color w:val="auto"/>
        </w:rPr>
      </w:pPr>
    </w:p>
    <w:p>
      <w:pPr>
        <w:ind w:left="5280" w:right="20" w:hanging="419"/>
        <w:spacing w:after="0" w:line="279" w:lineRule="auto"/>
        <w:tabs>
          <w:tab w:leader="none" w:pos="5510" w:val="left"/>
        </w:tabs>
        <w:numPr>
          <w:ilvl w:val="0"/>
          <w:numId w:val="105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Central Bank Rate:</w:t>
            </w:r>
          </w:p>
        </w:tc>
        <w:tc>
          <w:tcPr>
            <w:tcW w:w="2200" w:type="dxa"/>
            <w:vAlign w:val="bottom"/>
          </w:tcPr>
          <w:p>
            <w:pPr>
              <w:ind w:left="1600"/>
              <w:spacing w:after="0"/>
              <w:rPr>
                <w:sz w:val="20"/>
                <w:szCs w:val="20"/>
                <w:color w:val="auto"/>
              </w:rPr>
            </w:pPr>
            <w:r>
              <w:rPr>
                <w:rFonts w:ascii="Times New Roman" w:cs="Times New Roman" w:eastAsia="Times New Roman" w:hAnsi="Times New Roman"/>
                <w:sz w:val="12"/>
                <w:szCs w:val="12"/>
                <w:color w:val="auto"/>
              </w:rPr>
              <w:t>(c)</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The short-term interest rate target set by the US Federal Open Market Committee as published by the Federal Reserve</w:t>
            </w:r>
          </w:p>
        </w:tc>
      </w:tr>
      <w:tr>
        <w:trPr>
          <w:trHeight w:val="155"/>
        </w:trPr>
        <w:tc>
          <w:tcPr>
            <w:tcW w:w="3260" w:type="dxa"/>
            <w:vAlign w:val="bottom"/>
          </w:tcPr>
          <w:p>
            <w:pPr>
              <w:spacing w:after="0"/>
              <w:rPr>
                <w:sz w:val="13"/>
                <w:szCs w:val="13"/>
                <w:color w:val="auto"/>
              </w:rPr>
            </w:pPr>
          </w:p>
        </w:tc>
        <w:tc>
          <w:tcPr>
            <w:tcW w:w="6080" w:type="dxa"/>
            <w:vAlign w:val="bottom"/>
            <w:gridSpan w:val="2"/>
          </w:tcPr>
          <w:p>
            <w:pPr>
              <w:ind w:left="2040"/>
              <w:spacing w:after="0"/>
              <w:rPr>
                <w:sz w:val="20"/>
                <w:szCs w:val="20"/>
                <w:color w:val="auto"/>
              </w:rPr>
            </w:pPr>
            <w:r>
              <w:rPr>
                <w:rFonts w:ascii="Times New Roman" w:cs="Times New Roman" w:eastAsia="Times New Roman" w:hAnsi="Times New Roman"/>
                <w:sz w:val="12"/>
                <w:szCs w:val="12"/>
                <w:color w:val="auto"/>
              </w:rPr>
              <w:t>Bank of New York from time to time; or</w:t>
            </w:r>
          </w:p>
        </w:tc>
        <w:tc>
          <w:tcPr>
            <w:tcW w:w="1960" w:type="dxa"/>
            <w:vAlign w:val="bottom"/>
          </w:tcPr>
          <w:p>
            <w:pPr>
              <w:spacing w:after="0"/>
              <w:rPr>
                <w:sz w:val="13"/>
                <w:szCs w:val="13"/>
                <w:color w:val="auto"/>
              </w:rPr>
            </w:pPr>
          </w:p>
        </w:tc>
      </w:tr>
      <w:tr>
        <w:trPr>
          <w:trHeight w:val="288"/>
        </w:trPr>
        <w:tc>
          <w:tcPr>
            <w:tcW w:w="3260" w:type="dxa"/>
            <w:vAlign w:val="bottom"/>
          </w:tcPr>
          <w:p>
            <w:pPr>
              <w:spacing w:after="0"/>
              <w:rPr>
                <w:sz w:val="24"/>
                <w:szCs w:val="24"/>
                <w:color w:val="auto"/>
              </w:rPr>
            </w:pPr>
          </w:p>
        </w:tc>
        <w:tc>
          <w:tcPr>
            <w:tcW w:w="2200" w:type="dxa"/>
            <w:vAlign w:val="bottom"/>
          </w:tcPr>
          <w:p>
            <w:pPr>
              <w:ind w:left="1600"/>
              <w:spacing w:after="0"/>
              <w:rPr>
                <w:sz w:val="20"/>
                <w:szCs w:val="20"/>
                <w:color w:val="auto"/>
              </w:rPr>
            </w:pPr>
            <w:r>
              <w:rPr>
                <w:rFonts w:ascii="Times New Roman" w:cs="Times New Roman" w:eastAsia="Times New Roman" w:hAnsi="Times New Roman"/>
                <w:sz w:val="12"/>
                <w:szCs w:val="12"/>
                <w:color w:val="auto"/>
              </w:rPr>
              <w:t>(d)</w:t>
            </w:r>
          </w:p>
        </w:tc>
        <w:tc>
          <w:tcPr>
            <w:tcW w:w="3880" w:type="dxa"/>
            <w:vAlign w:val="bottom"/>
          </w:tcPr>
          <w:p>
            <w:pPr>
              <w:jc w:val="right"/>
              <w:ind w:right="1020"/>
              <w:spacing w:after="0"/>
              <w:rPr>
                <w:sz w:val="20"/>
                <w:szCs w:val="20"/>
                <w:color w:val="auto"/>
              </w:rPr>
            </w:pPr>
            <w:r>
              <w:rPr>
                <w:rFonts w:ascii="Times New Roman" w:cs="Times New Roman" w:eastAsia="Times New Roman" w:hAnsi="Times New Roman"/>
                <w:sz w:val="12"/>
                <w:szCs w:val="12"/>
                <w:color w:val="auto"/>
              </w:rPr>
              <w:t>if that target is not a single figure, the arithmetic mean of:</w:t>
            </w:r>
          </w:p>
        </w:tc>
        <w:tc>
          <w:tcPr>
            <w:tcW w:w="1960" w:type="dxa"/>
            <w:vAlign w:val="bottom"/>
          </w:tcPr>
          <w:p>
            <w:pPr>
              <w:spacing w:after="0"/>
              <w:rPr>
                <w:sz w:val="24"/>
                <w:szCs w:val="24"/>
                <w:color w:val="auto"/>
              </w:rPr>
            </w:pPr>
          </w:p>
        </w:tc>
      </w:tr>
      <w:tr>
        <w:trPr>
          <w:trHeight w:val="277"/>
        </w:trPr>
        <w:tc>
          <w:tcPr>
            <w:tcW w:w="3260" w:type="dxa"/>
            <w:vAlign w:val="bottom"/>
          </w:tcPr>
          <w:p>
            <w:pPr>
              <w:spacing w:after="0"/>
              <w:rPr>
                <w:sz w:val="24"/>
                <w:szCs w:val="24"/>
                <w:color w:val="auto"/>
              </w:rPr>
            </w:pPr>
          </w:p>
        </w:tc>
        <w:tc>
          <w:tcPr>
            <w:tcW w:w="2200" w:type="dxa"/>
            <w:vAlign w:val="bottom"/>
          </w:tcPr>
          <w:p>
            <w:pPr>
              <w:ind w:left="2040"/>
              <w:spacing w:after="0"/>
              <w:rPr>
                <w:sz w:val="20"/>
                <w:szCs w:val="20"/>
                <w:color w:val="auto"/>
              </w:rPr>
            </w:pPr>
            <w:r>
              <w:rPr>
                <w:rFonts w:ascii="Times New Roman" w:cs="Times New Roman" w:eastAsia="Times New Roman" w:hAnsi="Times New Roman"/>
                <w:sz w:val="12"/>
                <w:szCs w:val="12"/>
                <w:color w:val="auto"/>
              </w:rPr>
              <w:t>(i)</w:t>
            </w:r>
          </w:p>
        </w:tc>
        <w:tc>
          <w:tcPr>
            <w:tcW w:w="584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the upper bound of the short-term interest rate target range set by the US Federal Open Market Committee and</w:t>
            </w:r>
          </w:p>
        </w:tc>
      </w:tr>
      <w:tr>
        <w:trPr>
          <w:trHeight w:val="155"/>
        </w:trPr>
        <w:tc>
          <w:tcPr>
            <w:tcW w:w="32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3880" w:type="dxa"/>
            <w:vAlign w:val="bottom"/>
          </w:tcPr>
          <w:p>
            <w:pPr>
              <w:jc w:val="right"/>
              <w:ind w:right="800"/>
              <w:spacing w:after="0"/>
              <w:rPr>
                <w:sz w:val="20"/>
                <w:szCs w:val="20"/>
                <w:color w:val="auto"/>
              </w:rPr>
            </w:pPr>
            <w:r>
              <w:rPr>
                <w:rFonts w:ascii="Times New Roman" w:cs="Times New Roman" w:eastAsia="Times New Roman" w:hAnsi="Times New Roman"/>
                <w:sz w:val="12"/>
                <w:szCs w:val="12"/>
                <w:color w:val="auto"/>
              </w:rPr>
              <w:t>published by the Federal Reserve Bank of New York; and</w:t>
            </w:r>
          </w:p>
        </w:tc>
        <w:tc>
          <w:tcPr>
            <w:tcW w:w="1960" w:type="dxa"/>
            <w:vAlign w:val="bottom"/>
          </w:tcPr>
          <w:p>
            <w:pPr>
              <w:spacing w:after="0"/>
              <w:rPr>
                <w:sz w:val="13"/>
                <w:szCs w:val="13"/>
                <w:color w:val="auto"/>
              </w:rPr>
            </w:pPr>
          </w:p>
        </w:tc>
      </w:tr>
      <w:tr>
        <w:trPr>
          <w:trHeight w:val="288"/>
        </w:trPr>
        <w:tc>
          <w:tcPr>
            <w:tcW w:w="3260" w:type="dxa"/>
            <w:vAlign w:val="bottom"/>
          </w:tcPr>
          <w:p>
            <w:pPr>
              <w:spacing w:after="0"/>
              <w:rPr>
                <w:sz w:val="24"/>
                <w:szCs w:val="24"/>
                <w:color w:val="auto"/>
              </w:rPr>
            </w:pPr>
          </w:p>
        </w:tc>
        <w:tc>
          <w:tcPr>
            <w:tcW w:w="2200" w:type="dxa"/>
            <w:vAlign w:val="bottom"/>
          </w:tcPr>
          <w:p>
            <w:pPr>
              <w:ind w:left="2040"/>
              <w:spacing w:after="0"/>
              <w:rPr>
                <w:sz w:val="20"/>
                <w:szCs w:val="20"/>
                <w:color w:val="auto"/>
              </w:rPr>
            </w:pPr>
            <w:r>
              <w:rPr>
                <w:rFonts w:ascii="Times New Roman" w:cs="Times New Roman" w:eastAsia="Times New Roman" w:hAnsi="Times New Roman"/>
                <w:sz w:val="12"/>
                <w:szCs w:val="12"/>
                <w:color w:val="auto"/>
                <w:w w:val="95"/>
              </w:rPr>
              <w:t>(ii)</w:t>
            </w:r>
          </w:p>
        </w:tc>
        <w:tc>
          <w:tcPr>
            <w:tcW w:w="3880" w:type="dxa"/>
            <w:vAlign w:val="bottom"/>
          </w:tcPr>
          <w:p>
            <w:pPr>
              <w:jc w:val="right"/>
              <w:ind w:right="1620"/>
              <w:spacing w:after="0"/>
              <w:rPr>
                <w:sz w:val="20"/>
                <w:szCs w:val="20"/>
                <w:color w:val="auto"/>
              </w:rPr>
            </w:pPr>
            <w:r>
              <w:rPr>
                <w:rFonts w:ascii="Times New Roman" w:cs="Times New Roman" w:eastAsia="Times New Roman" w:hAnsi="Times New Roman"/>
                <w:sz w:val="12"/>
                <w:szCs w:val="12"/>
                <w:color w:val="auto"/>
              </w:rPr>
              <w:t>the lower bound of that target range.</w:t>
            </w:r>
          </w:p>
        </w:tc>
        <w:tc>
          <w:tcPr>
            <w:tcW w:w="1960" w:type="dxa"/>
            <w:vAlign w:val="bottom"/>
          </w:tcPr>
          <w:p>
            <w:pPr>
              <w:spacing w:after="0"/>
              <w:rPr>
                <w:sz w:val="24"/>
                <w:szCs w:val="24"/>
                <w:color w:val="auto"/>
              </w:rPr>
            </w:pPr>
          </w:p>
        </w:tc>
      </w:tr>
      <w:tr>
        <w:trPr>
          <w:trHeight w:val="277"/>
        </w:trPr>
        <w:tc>
          <w:tcPr>
            <w:tcW w:w="32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Central Bank Rate Adjustment:</w:t>
            </w:r>
          </w:p>
        </w:tc>
        <w:tc>
          <w:tcPr>
            <w:tcW w:w="8040" w:type="dxa"/>
            <w:vAlign w:val="bottom"/>
            <w:gridSpan w:val="3"/>
          </w:tcPr>
          <w:p>
            <w:pPr>
              <w:ind w:left="1600"/>
              <w:spacing w:after="0"/>
              <w:rPr>
                <w:sz w:val="20"/>
                <w:szCs w:val="20"/>
                <w:color w:val="auto"/>
              </w:rPr>
            </w:pPr>
            <w:r>
              <w:rPr>
                <w:rFonts w:ascii="Times New Roman" w:cs="Times New Roman" w:eastAsia="Times New Roman" w:hAnsi="Times New Roman"/>
                <w:sz w:val="12"/>
                <w:szCs w:val="12"/>
                <w:color w:val="auto"/>
              </w:rPr>
              <w:t>In relation to the Central Bank Rate prevailing at close of business on any RFR Banking Day, the 20 per cent trimmed arithmetic</w:t>
            </w:r>
          </w:p>
        </w:tc>
      </w:tr>
      <w:tr>
        <w:trPr>
          <w:trHeight w:val="144"/>
        </w:trPr>
        <w:tc>
          <w:tcPr>
            <w:tcW w:w="3260" w:type="dxa"/>
            <w:vAlign w:val="bottom"/>
          </w:tcPr>
          <w:p>
            <w:pPr>
              <w:spacing w:after="0"/>
              <w:rPr>
                <w:sz w:val="12"/>
                <w:szCs w:val="12"/>
                <w:color w:val="auto"/>
              </w:rPr>
            </w:pPr>
          </w:p>
        </w:tc>
        <w:tc>
          <w:tcPr>
            <w:tcW w:w="8040" w:type="dxa"/>
            <w:vAlign w:val="bottom"/>
            <w:gridSpan w:val="3"/>
          </w:tcPr>
          <w:p>
            <w:pPr>
              <w:ind w:left="1600"/>
              <w:spacing w:after="0"/>
              <w:rPr>
                <w:sz w:val="20"/>
                <w:szCs w:val="20"/>
                <w:color w:val="auto"/>
              </w:rPr>
            </w:pPr>
            <w:r>
              <w:rPr>
                <w:rFonts w:ascii="Times New Roman" w:cs="Times New Roman" w:eastAsia="Times New Roman" w:hAnsi="Times New Roman"/>
                <w:sz w:val="12"/>
                <w:szCs w:val="12"/>
                <w:color w:val="auto"/>
              </w:rPr>
              <w:t>mean (calculated by the Facility Agent, or by any other Finance Party which agrees to do so in place of the Facility Agent) of the</w:t>
            </w:r>
          </w:p>
        </w:tc>
      </w:tr>
      <w:tr>
        <w:trPr>
          <w:trHeight w:val="155"/>
        </w:trPr>
        <w:tc>
          <w:tcPr>
            <w:tcW w:w="3260" w:type="dxa"/>
            <w:vAlign w:val="bottom"/>
          </w:tcPr>
          <w:p>
            <w:pPr>
              <w:spacing w:after="0"/>
              <w:rPr>
                <w:sz w:val="13"/>
                <w:szCs w:val="13"/>
                <w:color w:val="auto"/>
              </w:rPr>
            </w:pPr>
          </w:p>
        </w:tc>
        <w:tc>
          <w:tcPr>
            <w:tcW w:w="8040" w:type="dxa"/>
            <w:vAlign w:val="bottom"/>
            <w:gridSpan w:val="3"/>
          </w:tcPr>
          <w:p>
            <w:pPr>
              <w:ind w:left="1600"/>
              <w:spacing w:after="0"/>
              <w:rPr>
                <w:sz w:val="20"/>
                <w:szCs w:val="20"/>
                <w:color w:val="auto"/>
              </w:rPr>
            </w:pPr>
            <w:r>
              <w:rPr>
                <w:rFonts w:ascii="Times New Roman" w:cs="Times New Roman" w:eastAsia="Times New Roman" w:hAnsi="Times New Roman"/>
                <w:sz w:val="12"/>
                <w:szCs w:val="12"/>
                <w:color w:val="auto"/>
              </w:rPr>
              <w:t>Central Bank Rate Spreads for the five most immediately preceding RFR Banking Days for which the RFR is available.</w:t>
            </w:r>
          </w:p>
        </w:tc>
      </w:tr>
      <w:tr>
        <w:trPr>
          <w:trHeight w:val="360"/>
        </w:trPr>
        <w:tc>
          <w:tcPr>
            <w:tcW w:w="32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jc w:val="right"/>
              <w:ind w:right="3540"/>
              <w:spacing w:after="0"/>
              <w:rPr>
                <w:sz w:val="20"/>
                <w:szCs w:val="20"/>
                <w:color w:val="auto"/>
              </w:rPr>
            </w:pPr>
            <w:r>
              <w:rPr>
                <w:rFonts w:ascii="Times New Roman" w:cs="Times New Roman" w:eastAsia="Times New Roman" w:hAnsi="Times New Roman"/>
                <w:sz w:val="12"/>
                <w:szCs w:val="12"/>
                <w:color w:val="auto"/>
              </w:rPr>
              <w:t>193</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8" w:right="299" w:bottom="1440" w:gutter="0" w:footer="0" w:header="0"/>
        </w:sectPr>
      </w:pPr>
    </w:p>
    <w:bookmarkStart w:id="580" w:name="page581"/>
    <w:bookmarkEnd w:id="58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Central Bank Rate Spread:</w:t>
            </w:r>
          </w:p>
        </w:tc>
        <w:tc>
          <w:tcPr>
            <w:tcW w:w="6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In relation to any RFR Banking Day, the difference (expressed as a percentage rate per annum) calculated by the Facility Agent (or</w:t>
            </w:r>
          </w:p>
        </w:tc>
      </w:tr>
      <w:tr>
        <w:trPr>
          <w:trHeight w:val="155"/>
        </w:trPr>
        <w:tc>
          <w:tcPr>
            <w:tcW w:w="4800" w:type="dxa"/>
            <w:vAlign w:val="bottom"/>
          </w:tcPr>
          <w:p>
            <w:pPr>
              <w:spacing w:after="0"/>
              <w:rPr>
                <w:sz w:val="13"/>
                <w:szCs w:val="13"/>
                <w:color w:val="auto"/>
              </w:rPr>
            </w:pP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by any other Finance Party which agrees to do so in place of the Facility Agent) of:</w:t>
            </w:r>
          </w:p>
        </w:tc>
        <w:tc>
          <w:tcPr>
            <w:tcW w:w="1540" w:type="dxa"/>
            <w:vAlign w:val="bottom"/>
          </w:tcPr>
          <w:p>
            <w:pPr>
              <w:spacing w:after="0"/>
              <w:rPr>
                <w:sz w:val="13"/>
                <w:szCs w:val="13"/>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w:t>
            </w:r>
          </w:p>
        </w:tc>
        <w:tc>
          <w:tcPr>
            <w:tcW w:w="4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RFR for that RFR Banking Day; and</w:t>
            </w:r>
          </w:p>
        </w:tc>
        <w:tc>
          <w:tcPr>
            <w:tcW w:w="1540" w:type="dxa"/>
            <w:vAlign w:val="bottom"/>
          </w:tcPr>
          <w:p>
            <w:pPr>
              <w:spacing w:after="0"/>
              <w:rPr>
                <w:sz w:val="24"/>
                <w:szCs w:val="24"/>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4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Central Bank Rate prevailing at close of business on that RFR Banking Day.</w:t>
            </w:r>
          </w:p>
        </w:tc>
        <w:tc>
          <w:tcPr>
            <w:tcW w:w="1540" w:type="dxa"/>
            <w:vAlign w:val="bottom"/>
          </w:tcPr>
          <w:p>
            <w:pPr>
              <w:spacing w:after="0"/>
              <w:rPr>
                <w:sz w:val="24"/>
                <w:szCs w:val="24"/>
                <w:color w:val="auto"/>
              </w:rPr>
            </w:pPr>
          </w:p>
        </w:tc>
      </w:tr>
      <w:tr>
        <w:trPr>
          <w:trHeight w:val="288"/>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w:t>
            </w: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Daily Rate</w:t>
            </w:r>
            <w:r>
              <w:rPr>
                <w:rFonts w:ascii="Times New Roman" w:cs="Times New Roman" w:eastAsia="Times New Roman" w:hAnsi="Times New Roman"/>
                <w:sz w:val="12"/>
                <w:szCs w:val="12"/>
                <w:color w:val="auto"/>
              </w:rPr>
              <w:t>" for any RFR Banking Day is:</w:t>
            </w:r>
          </w:p>
        </w:tc>
        <w:tc>
          <w:tcPr>
            <w:tcW w:w="1540" w:type="dxa"/>
            <w:vAlign w:val="bottom"/>
          </w:tcPr>
          <w:p>
            <w:pPr>
              <w:spacing w:after="0"/>
              <w:rPr>
                <w:sz w:val="24"/>
                <w:szCs w:val="24"/>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(a)</w:t>
            </w:r>
          </w:p>
        </w:tc>
        <w:tc>
          <w:tcPr>
            <w:tcW w:w="4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the RFR for that RFR Banking Day; or</w:t>
            </w:r>
          </w:p>
        </w:tc>
        <w:tc>
          <w:tcPr>
            <w:tcW w:w="1540" w:type="dxa"/>
            <w:vAlign w:val="bottom"/>
          </w:tcPr>
          <w:p>
            <w:pPr>
              <w:spacing w:after="0"/>
              <w:rPr>
                <w:sz w:val="24"/>
                <w:szCs w:val="24"/>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(b)</w:t>
            </w:r>
          </w:p>
        </w:tc>
        <w:tc>
          <w:tcPr>
            <w:tcW w:w="5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if the RFR is not available for that RFR Banking Day, the percentage rate per annum which is the aggregate of:</w:t>
            </w:r>
          </w:p>
        </w:tc>
      </w:tr>
      <w:tr>
        <w:trPr>
          <w:trHeight w:val="288"/>
        </w:trPr>
        <w:tc>
          <w:tcPr>
            <w:tcW w:w="480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(i)</w:t>
            </w:r>
          </w:p>
        </w:tc>
        <w:tc>
          <w:tcPr>
            <w:tcW w:w="4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the Central Bank Rate for that RFR Banking Day; and</w:t>
            </w:r>
          </w:p>
        </w:tc>
        <w:tc>
          <w:tcPr>
            <w:tcW w:w="1540" w:type="dxa"/>
            <w:vAlign w:val="bottom"/>
          </w:tcPr>
          <w:p>
            <w:pPr>
              <w:spacing w:after="0"/>
              <w:rPr>
                <w:sz w:val="24"/>
                <w:szCs w:val="24"/>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(ii)</w:t>
            </w:r>
          </w:p>
        </w:tc>
        <w:tc>
          <w:tcPr>
            <w:tcW w:w="43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the applicable Central Bank Rate Adjustment; or</w:t>
            </w:r>
          </w:p>
        </w:tc>
        <w:tc>
          <w:tcPr>
            <w:tcW w:w="1540" w:type="dxa"/>
            <w:vAlign w:val="bottom"/>
          </w:tcPr>
          <w:p>
            <w:pPr>
              <w:spacing w:after="0"/>
              <w:rPr>
                <w:sz w:val="24"/>
                <w:szCs w:val="24"/>
                <w:color w:val="auto"/>
              </w:rPr>
            </w:pPr>
          </w:p>
        </w:tc>
      </w:tr>
      <w:tr>
        <w:trPr>
          <w:trHeight w:val="277"/>
        </w:trPr>
        <w:tc>
          <w:tcPr>
            <w:tcW w:w="4800" w:type="dxa"/>
            <w:vAlign w:val="bottom"/>
          </w:tcPr>
          <w:p>
            <w:pPr>
              <w:spacing w:after="0"/>
              <w:rPr>
                <w:sz w:val="24"/>
                <w:szCs w:val="2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(c)</w:t>
            </w:r>
          </w:p>
        </w:tc>
        <w:tc>
          <w:tcPr>
            <w:tcW w:w="5840" w:type="dxa"/>
            <w:vAlign w:val="bottom"/>
            <w:gridSpan w:val="2"/>
          </w:tcPr>
          <w:p>
            <w:pPr>
              <w:ind w:left="40"/>
              <w:spacing w:after="0"/>
              <w:rPr>
                <w:sz w:val="20"/>
                <w:szCs w:val="20"/>
                <w:color w:val="auto"/>
              </w:rPr>
            </w:pPr>
            <w:r>
              <w:rPr>
                <w:rFonts w:ascii="Times New Roman" w:cs="Times New Roman" w:eastAsia="Times New Roman" w:hAnsi="Times New Roman"/>
                <w:sz w:val="12"/>
                <w:szCs w:val="12"/>
                <w:color w:val="auto"/>
              </w:rPr>
              <w:t>if paragraph (a) above applies but the Central Bank Rate for that RFR Banking Day is not available, the percentage rate</w:t>
            </w:r>
          </w:p>
        </w:tc>
      </w:tr>
      <w:tr>
        <w:trPr>
          <w:trHeight w:val="155"/>
        </w:trPr>
        <w:tc>
          <w:tcPr>
            <w:tcW w:w="4800" w:type="dxa"/>
            <w:vAlign w:val="bottom"/>
          </w:tcPr>
          <w:p>
            <w:pPr>
              <w:spacing w:after="0"/>
              <w:rPr>
                <w:sz w:val="13"/>
                <w:szCs w:val="13"/>
                <w:color w:val="auto"/>
              </w:rPr>
            </w:pPr>
          </w:p>
        </w:tc>
        <w:tc>
          <w:tcPr>
            <w:tcW w:w="4960" w:type="dxa"/>
            <w:vAlign w:val="bottom"/>
            <w:gridSpan w:val="2"/>
          </w:tcPr>
          <w:p>
            <w:pPr>
              <w:ind w:left="500"/>
              <w:spacing w:after="0"/>
              <w:rPr>
                <w:sz w:val="20"/>
                <w:szCs w:val="20"/>
                <w:color w:val="auto"/>
              </w:rPr>
            </w:pPr>
            <w:r>
              <w:rPr>
                <w:rFonts w:ascii="Times New Roman" w:cs="Times New Roman" w:eastAsia="Times New Roman" w:hAnsi="Times New Roman"/>
                <w:sz w:val="12"/>
                <w:szCs w:val="12"/>
                <w:color w:val="auto"/>
              </w:rPr>
              <w:t>per annum which is the aggregate of:</w:t>
            </w:r>
          </w:p>
        </w:tc>
        <w:tc>
          <w:tcPr>
            <w:tcW w:w="1540" w:type="dxa"/>
            <w:vAlign w:val="bottom"/>
          </w:tcPr>
          <w:p>
            <w:pPr>
              <w:spacing w:after="0"/>
              <w:rPr>
                <w:sz w:val="13"/>
                <w:szCs w:val="13"/>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(i)</w:t>
            </w:r>
          </w:p>
        </w:tc>
        <w:tc>
          <w:tcPr>
            <w:tcW w:w="430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the most recent Central Bank Rate; and</w:t>
            </w:r>
          </w:p>
        </w:tc>
        <w:tc>
          <w:tcPr>
            <w:tcW w:w="1540" w:type="dxa"/>
            <w:vAlign w:val="bottom"/>
          </w:tcPr>
          <w:p>
            <w:pPr>
              <w:spacing w:after="0"/>
              <w:rPr>
                <w:sz w:val="24"/>
                <w:szCs w:val="24"/>
                <w:color w:val="auto"/>
              </w:rPr>
            </w:pPr>
          </w:p>
        </w:tc>
      </w:tr>
      <w:tr>
        <w:trPr>
          <w:trHeight w:val="288"/>
        </w:trPr>
        <w:tc>
          <w:tcPr>
            <w:tcW w:w="4800" w:type="dxa"/>
            <w:vAlign w:val="bottom"/>
          </w:tcPr>
          <w:p>
            <w:pPr>
              <w:spacing w:after="0"/>
              <w:rPr>
                <w:sz w:val="24"/>
                <w:szCs w:val="24"/>
                <w:color w:val="auto"/>
              </w:rPr>
            </w:pPr>
          </w:p>
        </w:tc>
        <w:tc>
          <w:tcPr>
            <w:tcW w:w="660" w:type="dxa"/>
            <w:vAlign w:val="bottom"/>
          </w:tcPr>
          <w:p>
            <w:pPr>
              <w:ind w:left="500"/>
              <w:spacing w:after="0"/>
              <w:rPr>
                <w:sz w:val="20"/>
                <w:szCs w:val="20"/>
                <w:color w:val="auto"/>
              </w:rPr>
            </w:pPr>
            <w:r>
              <w:rPr>
                <w:rFonts w:ascii="Times New Roman" w:cs="Times New Roman" w:eastAsia="Times New Roman" w:hAnsi="Times New Roman"/>
                <w:sz w:val="12"/>
                <w:szCs w:val="12"/>
                <w:color w:val="auto"/>
                <w:w w:val="95"/>
              </w:rPr>
              <w:t>(ii)</w:t>
            </w:r>
          </w:p>
        </w:tc>
        <w:tc>
          <w:tcPr>
            <w:tcW w:w="4300" w:type="dxa"/>
            <w:vAlign w:val="bottom"/>
          </w:tcPr>
          <w:p>
            <w:pPr>
              <w:ind w:left="460"/>
              <w:spacing w:after="0"/>
              <w:rPr>
                <w:sz w:val="20"/>
                <w:szCs w:val="20"/>
                <w:color w:val="auto"/>
              </w:rPr>
            </w:pPr>
            <w:r>
              <w:rPr>
                <w:rFonts w:ascii="Times New Roman" w:cs="Times New Roman" w:eastAsia="Times New Roman" w:hAnsi="Times New Roman"/>
                <w:sz w:val="12"/>
                <w:szCs w:val="12"/>
                <w:color w:val="auto"/>
              </w:rPr>
              <w:t>the applicable Central Bank Rate Adjustment,</w:t>
            </w:r>
          </w:p>
        </w:tc>
        <w:tc>
          <w:tcPr>
            <w:tcW w:w="1540" w:type="dxa"/>
            <w:vAlign w:val="bottom"/>
          </w:tcPr>
          <w:p>
            <w:pPr>
              <w:spacing w:after="0"/>
              <w:rPr>
                <w:sz w:val="24"/>
                <w:szCs w:val="24"/>
                <w:color w:val="auto"/>
              </w:rPr>
            </w:pPr>
          </w:p>
        </w:tc>
      </w:tr>
      <w:tr>
        <w:trPr>
          <w:trHeight w:val="277"/>
        </w:trPr>
        <w:tc>
          <w:tcPr>
            <w:tcW w:w="4800" w:type="dxa"/>
            <w:vAlign w:val="bottom"/>
          </w:tcPr>
          <w:p>
            <w:pPr>
              <w:spacing w:after="0"/>
              <w:rPr>
                <w:sz w:val="24"/>
                <w:szCs w:val="24"/>
                <w:color w:val="auto"/>
              </w:rPr>
            </w:pPr>
          </w:p>
        </w:tc>
        <w:tc>
          <w:tcPr>
            <w:tcW w:w="6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rounded, in either case, to five decimal places and if, in either case, that rate is less than zero, the Daily Rate shall be deemed to be</w:t>
            </w:r>
          </w:p>
        </w:tc>
      </w:tr>
      <w:tr>
        <w:trPr>
          <w:trHeight w:val="155"/>
        </w:trPr>
        <w:tc>
          <w:tcPr>
            <w:tcW w:w="480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zero.</w:t>
            </w:r>
          </w:p>
        </w:tc>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7"/>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Forward Rate</w:t>
            </w:r>
            <w:r>
              <w:rPr>
                <w:rFonts w:ascii="Times New Roman" w:cs="Times New Roman" w:eastAsia="Times New Roman" w:hAnsi="Times New Roman"/>
                <w:sz w:val="12"/>
                <w:szCs w:val="12"/>
                <w:color w:val="auto"/>
              </w:rPr>
              <w:t>:</w:t>
            </w:r>
          </w:p>
        </w:tc>
        <w:tc>
          <w:tcPr>
            <w:tcW w:w="6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The term SOFR reference rate administered by CME Group Benchmark Administration Limited (or any other person which takes</w:t>
            </w:r>
          </w:p>
        </w:tc>
      </w:tr>
      <w:tr>
        <w:trPr>
          <w:trHeight w:val="144"/>
        </w:trPr>
        <w:tc>
          <w:tcPr>
            <w:tcW w:w="4800" w:type="dxa"/>
            <w:vAlign w:val="bottom"/>
          </w:tcPr>
          <w:p>
            <w:pPr>
              <w:spacing w:after="0"/>
              <w:rPr>
                <w:sz w:val="12"/>
                <w:szCs w:val="12"/>
                <w:color w:val="auto"/>
              </w:rPr>
            </w:pPr>
          </w:p>
        </w:tc>
        <w:tc>
          <w:tcPr>
            <w:tcW w:w="6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over the administration of that rate) for the relevant period published (before any correction, recalculation or republication by the</w:t>
            </w:r>
          </w:p>
        </w:tc>
      </w:tr>
      <w:tr>
        <w:trPr>
          <w:trHeight w:val="155"/>
        </w:trPr>
        <w:tc>
          <w:tcPr>
            <w:tcW w:w="4800" w:type="dxa"/>
            <w:vAlign w:val="bottom"/>
          </w:tcPr>
          <w:p>
            <w:pPr>
              <w:spacing w:after="0"/>
              <w:rPr>
                <w:sz w:val="13"/>
                <w:szCs w:val="13"/>
                <w:color w:val="auto"/>
              </w:rPr>
            </w:pPr>
          </w:p>
        </w:tc>
        <w:tc>
          <w:tcPr>
            <w:tcW w:w="650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auto"/>
              </w:rPr>
              <w:t>administrator) by CME Group Benchmark Administration Limited (or any other person which takes over the publication of that rate).</w:t>
            </w:r>
          </w:p>
        </w:tc>
      </w:tr>
      <w:tr>
        <w:trPr>
          <w:trHeight w:val="288"/>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Interest Periods:</w:t>
            </w:r>
          </w:p>
        </w:tc>
        <w:tc>
          <w:tcPr>
            <w:tcW w:w="6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75"/>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Length of Interest Period in absence of selection paragraph (c) of Clause 10.1 (</w:t>
            </w:r>
            <w:r>
              <w:rPr>
                <w:rFonts w:ascii="Times New Roman" w:cs="Times New Roman" w:eastAsia="Times New Roman" w:hAnsi="Times New Roman"/>
                <w:sz w:val="12"/>
                <w:szCs w:val="12"/>
                <w:i w:val="1"/>
                <w:iCs w:val="1"/>
                <w:color w:val="auto"/>
              </w:rPr>
              <w:t>Selection of Interest</w:t>
            </w: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 months</w:t>
            </w:r>
          </w:p>
        </w:tc>
        <w:tc>
          <w:tcPr>
            <w:tcW w:w="43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7"/>
        </w:trPr>
        <w:tc>
          <w:tcPr>
            <w:tcW w:w="48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Periods</w:t>
            </w: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75"/>
        </w:trPr>
        <w:tc>
          <w:tcPr>
            <w:tcW w:w="4800" w:type="dxa"/>
            <w:vAlign w:val="bottom"/>
          </w:tcPr>
          <w:p>
            <w:pPr>
              <w:spacing w:after="0"/>
              <w:rPr>
                <w:sz w:val="20"/>
                <w:szCs w:val="20"/>
                <w:color w:val="auto"/>
              </w:rPr>
            </w:pPr>
            <w:r>
              <w:rPr>
                <w:rFonts w:ascii="Times New Roman" w:cs="Times New Roman" w:eastAsia="Times New Roman" w:hAnsi="Times New Roman"/>
                <w:sz w:val="12"/>
                <w:szCs w:val="12"/>
                <w:color w:val="auto"/>
              </w:rPr>
              <w:t>Periods capable of selection as Interest Periods (paragraph (d) of Clause 10.1 (</w:t>
            </w:r>
            <w:r>
              <w:rPr>
                <w:rFonts w:ascii="Times New Roman" w:cs="Times New Roman" w:eastAsia="Times New Roman" w:hAnsi="Times New Roman"/>
                <w:sz w:val="12"/>
                <w:szCs w:val="12"/>
                <w:i w:val="1"/>
                <w:iCs w:val="1"/>
                <w:color w:val="auto"/>
              </w:rPr>
              <w:t>Selection of Interest</w:t>
            </w:r>
          </w:p>
        </w:tc>
        <w:tc>
          <w:tcPr>
            <w:tcW w:w="66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3 months</w:t>
            </w:r>
          </w:p>
        </w:tc>
        <w:tc>
          <w:tcPr>
            <w:tcW w:w="43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157"/>
        </w:trPr>
        <w:tc>
          <w:tcPr>
            <w:tcW w:w="4800" w:type="dxa"/>
            <w:vAlign w:val="bottom"/>
          </w:tcPr>
          <w:p>
            <w:pPr>
              <w:spacing w:after="0"/>
              <w:rPr>
                <w:sz w:val="20"/>
                <w:szCs w:val="20"/>
                <w:color w:val="auto"/>
              </w:rPr>
            </w:pPr>
            <w:r>
              <w:rPr>
                <w:rFonts w:ascii="Times New Roman" w:cs="Times New Roman" w:eastAsia="Times New Roman" w:hAnsi="Times New Roman"/>
                <w:sz w:val="12"/>
                <w:szCs w:val="12"/>
                <w:i w:val="1"/>
                <w:iCs w:val="1"/>
                <w:color w:val="auto"/>
              </w:rPr>
              <w:t>Periods</w:t>
            </w:r>
            <w:r>
              <w:rPr>
                <w:rFonts w:ascii="Times New Roman" w:cs="Times New Roman" w:eastAsia="Times New Roman" w:hAnsi="Times New Roman"/>
                <w:sz w:val="12"/>
                <w:szCs w:val="12"/>
                <w:color w:val="auto"/>
              </w:rPr>
              <w:t>)):</w:t>
            </w:r>
          </w:p>
        </w:tc>
        <w:tc>
          <w:tcPr>
            <w:tcW w:w="66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288"/>
        </w:trPr>
        <w:tc>
          <w:tcPr>
            <w:tcW w:w="4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Lookback Period:</w:t>
            </w:r>
          </w:p>
        </w:tc>
        <w:tc>
          <w:tcPr>
            <w:tcW w:w="49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auto"/>
              </w:rPr>
              <w:t>Five RFR Banking Days.</w:t>
            </w:r>
          </w:p>
        </w:tc>
        <w:tc>
          <w:tcPr>
            <w:tcW w:w="1540" w:type="dxa"/>
            <w:vAlign w:val="bottom"/>
          </w:tcPr>
          <w:p>
            <w:pPr>
              <w:spacing w:after="0"/>
              <w:rPr>
                <w:sz w:val="24"/>
                <w:szCs w:val="24"/>
                <w:color w:val="auto"/>
              </w:rPr>
            </w:pPr>
          </w:p>
        </w:tc>
      </w:tr>
      <w:tr>
        <w:trPr>
          <w:trHeight w:val="360"/>
        </w:trPr>
        <w:tc>
          <w:tcPr>
            <w:tcW w:w="48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2"/>
                <w:szCs w:val="12"/>
                <w:color w:val="auto"/>
              </w:rPr>
              <w:t>194</w:t>
            </w: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2"/>
                <w:szCs w:val="12"/>
                <w:color w:val="auto"/>
                <w:w w:val="98"/>
              </w:rPr>
              <w:t>EUROPE/78117511v9</w:t>
            </w:r>
          </w:p>
        </w:tc>
      </w:tr>
    </w:tbl>
    <w:p>
      <w:pPr>
        <w:sectPr>
          <w:pgSz w:w="11900" w:h="16838" w:orient="portrait"/>
          <w:cols w:equalWidth="0" w:num="1">
            <w:col w:w="11300"/>
          </w:cols>
          <w:pgMar w:left="300" w:top="574" w:right="299" w:bottom="1440" w:gutter="0" w:footer="0" w:header="0"/>
        </w:sectPr>
      </w:pPr>
    </w:p>
    <w:bookmarkStart w:id="581" w:name="page582"/>
    <w:bookmarkEnd w:id="58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Relevant Market:</w:t>
            </w:r>
          </w:p>
        </w:tc>
        <w:tc>
          <w:tcPr>
            <w:tcW w:w="6680" w:type="dxa"/>
            <w:vAlign w:val="bottom"/>
            <w:gridSpan w:val="2"/>
          </w:tcPr>
          <w:p>
            <w:pPr>
              <w:ind w:left="1940"/>
              <w:spacing w:after="0"/>
              <w:rPr>
                <w:sz w:val="20"/>
                <w:szCs w:val="20"/>
                <w:color w:val="auto"/>
              </w:rPr>
            </w:pPr>
            <w:r>
              <w:rPr>
                <w:rFonts w:ascii="Times New Roman" w:cs="Times New Roman" w:eastAsia="Times New Roman" w:hAnsi="Times New Roman"/>
                <w:sz w:val="12"/>
                <w:szCs w:val="12"/>
                <w:color w:val="auto"/>
              </w:rPr>
              <w:t>The market for overnight cash borrowing collateralised by US Government securities.</w:t>
            </w:r>
          </w:p>
        </w:tc>
        <w:tc>
          <w:tcPr>
            <w:tcW w:w="1700" w:type="dxa"/>
            <w:vAlign w:val="bottom"/>
          </w:tcPr>
          <w:p>
            <w:pPr>
              <w:spacing w:after="0"/>
              <w:rPr>
                <w:sz w:val="13"/>
                <w:szCs w:val="13"/>
                <w:color w:val="auto"/>
              </w:rPr>
            </w:pPr>
          </w:p>
        </w:tc>
      </w:tr>
      <w:tr>
        <w:trPr>
          <w:trHeight w:val="277"/>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RFR:</w:t>
            </w:r>
          </w:p>
        </w:tc>
        <w:tc>
          <w:tcPr>
            <w:tcW w:w="8380" w:type="dxa"/>
            <w:vAlign w:val="bottom"/>
            <w:gridSpan w:val="3"/>
          </w:tcPr>
          <w:p>
            <w:pPr>
              <w:ind w:left="1940"/>
              <w:spacing w:after="0"/>
              <w:rPr>
                <w:sz w:val="20"/>
                <w:szCs w:val="20"/>
                <w:color w:val="auto"/>
              </w:rPr>
            </w:pPr>
            <w:r>
              <w:rPr>
                <w:rFonts w:ascii="Times New Roman" w:cs="Times New Roman" w:eastAsia="Times New Roman" w:hAnsi="Times New Roman"/>
                <w:sz w:val="12"/>
                <w:szCs w:val="12"/>
                <w:color w:val="auto"/>
              </w:rPr>
              <w:t>The secured overnight financing rate (SOFR) administered by the Federal Reserve Bank of New York (or any other person which</w:t>
            </w:r>
          </w:p>
        </w:tc>
      </w:tr>
      <w:tr>
        <w:trPr>
          <w:trHeight w:val="144"/>
        </w:trPr>
        <w:tc>
          <w:tcPr>
            <w:tcW w:w="2920" w:type="dxa"/>
            <w:vAlign w:val="bottom"/>
          </w:tcPr>
          <w:p>
            <w:pPr>
              <w:spacing w:after="0"/>
              <w:rPr>
                <w:sz w:val="12"/>
                <w:szCs w:val="12"/>
                <w:color w:val="auto"/>
              </w:rPr>
            </w:pPr>
          </w:p>
        </w:tc>
        <w:tc>
          <w:tcPr>
            <w:tcW w:w="8380" w:type="dxa"/>
            <w:vAlign w:val="bottom"/>
            <w:gridSpan w:val="3"/>
          </w:tcPr>
          <w:p>
            <w:pPr>
              <w:ind w:left="1940"/>
              <w:spacing w:after="0"/>
              <w:rPr>
                <w:sz w:val="20"/>
                <w:szCs w:val="20"/>
                <w:color w:val="auto"/>
              </w:rPr>
            </w:pPr>
            <w:r>
              <w:rPr>
                <w:rFonts w:ascii="Times New Roman" w:cs="Times New Roman" w:eastAsia="Times New Roman" w:hAnsi="Times New Roman"/>
                <w:sz w:val="12"/>
                <w:szCs w:val="12"/>
                <w:color w:val="auto"/>
              </w:rPr>
              <w:t>takes over the administration of that rate) published by the Federal Reserve Bank of New York (or any other person which takes over</w:t>
            </w:r>
          </w:p>
        </w:tc>
      </w:tr>
      <w:tr>
        <w:trPr>
          <w:trHeight w:val="155"/>
        </w:trPr>
        <w:tc>
          <w:tcPr>
            <w:tcW w:w="2920" w:type="dxa"/>
            <w:vAlign w:val="bottom"/>
          </w:tcPr>
          <w:p>
            <w:pPr>
              <w:spacing w:after="0"/>
              <w:rPr>
                <w:sz w:val="13"/>
                <w:szCs w:val="13"/>
                <w:color w:val="auto"/>
              </w:rPr>
            </w:pPr>
          </w:p>
        </w:tc>
        <w:tc>
          <w:tcPr>
            <w:tcW w:w="6680" w:type="dxa"/>
            <w:vAlign w:val="bottom"/>
            <w:gridSpan w:val="2"/>
          </w:tcPr>
          <w:p>
            <w:pPr>
              <w:ind w:left="1940"/>
              <w:spacing w:after="0"/>
              <w:rPr>
                <w:sz w:val="20"/>
                <w:szCs w:val="20"/>
                <w:color w:val="auto"/>
              </w:rPr>
            </w:pPr>
            <w:r>
              <w:rPr>
                <w:rFonts w:ascii="Times New Roman" w:cs="Times New Roman" w:eastAsia="Times New Roman" w:hAnsi="Times New Roman"/>
                <w:sz w:val="12"/>
                <w:szCs w:val="12"/>
                <w:color w:val="auto"/>
              </w:rPr>
              <w:t>the publication of that rate).</w:t>
            </w:r>
          </w:p>
        </w:tc>
        <w:tc>
          <w:tcPr>
            <w:tcW w:w="1700" w:type="dxa"/>
            <w:vAlign w:val="bottom"/>
          </w:tcPr>
          <w:p>
            <w:pPr>
              <w:spacing w:after="0"/>
              <w:rPr>
                <w:sz w:val="13"/>
                <w:szCs w:val="13"/>
                <w:color w:val="auto"/>
              </w:rPr>
            </w:pPr>
          </w:p>
        </w:tc>
      </w:tr>
      <w:tr>
        <w:trPr>
          <w:trHeight w:val="288"/>
        </w:trPr>
        <w:tc>
          <w:tcPr>
            <w:tcW w:w="29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RFR Banking Day:</w:t>
            </w:r>
          </w:p>
        </w:tc>
        <w:tc>
          <w:tcPr>
            <w:tcW w:w="6680" w:type="dxa"/>
            <w:vAlign w:val="bottom"/>
            <w:gridSpan w:val="2"/>
          </w:tcPr>
          <w:p>
            <w:pPr>
              <w:ind w:left="1940"/>
              <w:spacing w:after="0"/>
              <w:rPr>
                <w:sz w:val="20"/>
                <w:szCs w:val="20"/>
                <w:color w:val="auto"/>
              </w:rPr>
            </w:pPr>
            <w:r>
              <w:rPr>
                <w:rFonts w:ascii="Times New Roman" w:cs="Times New Roman" w:eastAsia="Times New Roman" w:hAnsi="Times New Roman"/>
                <w:sz w:val="12"/>
                <w:szCs w:val="12"/>
                <w:color w:val="auto"/>
              </w:rPr>
              <w:t>Any day other than:</w:t>
            </w:r>
          </w:p>
        </w:tc>
        <w:tc>
          <w:tcPr>
            <w:tcW w:w="1700" w:type="dxa"/>
            <w:vAlign w:val="bottom"/>
          </w:tcPr>
          <w:p>
            <w:pPr>
              <w:spacing w:after="0"/>
              <w:rPr>
                <w:sz w:val="24"/>
                <w:szCs w:val="24"/>
                <w:color w:val="auto"/>
              </w:rPr>
            </w:pPr>
          </w:p>
        </w:tc>
      </w:tr>
      <w:tr>
        <w:trPr>
          <w:trHeight w:val="288"/>
        </w:trPr>
        <w:tc>
          <w:tcPr>
            <w:tcW w:w="2920" w:type="dxa"/>
            <w:vAlign w:val="bottom"/>
          </w:tcPr>
          <w:p>
            <w:pPr>
              <w:spacing w:after="0"/>
              <w:rPr>
                <w:sz w:val="24"/>
                <w:szCs w:val="24"/>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2"/>
                <w:szCs w:val="12"/>
                <w:color w:val="auto"/>
              </w:rPr>
              <w:t>(a)</w:t>
            </w:r>
          </w:p>
        </w:tc>
        <w:tc>
          <w:tcPr>
            <w:tcW w:w="4460" w:type="dxa"/>
            <w:vAlign w:val="bottom"/>
          </w:tcPr>
          <w:p>
            <w:pPr>
              <w:jc w:val="right"/>
              <w:ind w:right="2800"/>
              <w:spacing w:after="0"/>
              <w:rPr>
                <w:sz w:val="20"/>
                <w:szCs w:val="20"/>
                <w:color w:val="auto"/>
              </w:rPr>
            </w:pPr>
            <w:r>
              <w:rPr>
                <w:rFonts w:ascii="Times New Roman" w:cs="Times New Roman" w:eastAsia="Times New Roman" w:hAnsi="Times New Roman"/>
                <w:sz w:val="12"/>
                <w:szCs w:val="12"/>
                <w:color w:val="auto"/>
              </w:rPr>
              <w:t>a Saturday or Sunday; and</w:t>
            </w:r>
          </w:p>
        </w:tc>
        <w:tc>
          <w:tcPr>
            <w:tcW w:w="1700" w:type="dxa"/>
            <w:vAlign w:val="bottom"/>
          </w:tcPr>
          <w:p>
            <w:pPr>
              <w:spacing w:after="0"/>
              <w:rPr>
                <w:sz w:val="24"/>
                <w:szCs w:val="24"/>
                <w:color w:val="auto"/>
              </w:rPr>
            </w:pPr>
          </w:p>
        </w:tc>
      </w:tr>
      <w:tr>
        <w:trPr>
          <w:trHeight w:val="277"/>
        </w:trPr>
        <w:tc>
          <w:tcPr>
            <w:tcW w:w="2920" w:type="dxa"/>
            <w:vAlign w:val="bottom"/>
          </w:tcPr>
          <w:p>
            <w:pPr>
              <w:spacing w:after="0"/>
              <w:rPr>
                <w:sz w:val="24"/>
                <w:szCs w:val="24"/>
                <w:color w:val="auto"/>
              </w:rPr>
            </w:pPr>
          </w:p>
        </w:tc>
        <w:tc>
          <w:tcPr>
            <w:tcW w:w="2220" w:type="dxa"/>
            <w:vAlign w:val="bottom"/>
          </w:tcPr>
          <w:p>
            <w:pPr>
              <w:ind w:left="1940"/>
              <w:spacing w:after="0"/>
              <w:rPr>
                <w:sz w:val="20"/>
                <w:szCs w:val="20"/>
                <w:color w:val="auto"/>
              </w:rPr>
            </w:pPr>
            <w:r>
              <w:rPr>
                <w:rFonts w:ascii="Times New Roman" w:cs="Times New Roman" w:eastAsia="Times New Roman" w:hAnsi="Times New Roman"/>
                <w:sz w:val="12"/>
                <w:szCs w:val="12"/>
                <w:color w:val="auto"/>
              </w:rPr>
              <w:t>(b)</w:t>
            </w: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a day on which the Securities Industry and Financial Markets Association (or any successor organisation) recommends</w:t>
            </w:r>
          </w:p>
        </w:tc>
      </w:tr>
      <w:tr>
        <w:trPr>
          <w:trHeight w:val="144"/>
        </w:trPr>
        <w:tc>
          <w:tcPr>
            <w:tcW w:w="2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16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that the fixed income departments of its members be closed for the entire day for purposes of trading in US Government</w:t>
            </w:r>
          </w:p>
        </w:tc>
      </w:tr>
      <w:tr>
        <w:trPr>
          <w:trHeight w:val="155"/>
        </w:trPr>
        <w:tc>
          <w:tcPr>
            <w:tcW w:w="29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4460" w:type="dxa"/>
            <w:vAlign w:val="bottom"/>
          </w:tcPr>
          <w:p>
            <w:pPr>
              <w:jc w:val="right"/>
              <w:ind w:right="3760"/>
              <w:spacing w:after="0"/>
              <w:rPr>
                <w:sz w:val="20"/>
                <w:szCs w:val="20"/>
                <w:color w:val="auto"/>
              </w:rPr>
            </w:pPr>
            <w:r>
              <w:rPr>
                <w:rFonts w:ascii="Times New Roman" w:cs="Times New Roman" w:eastAsia="Times New Roman" w:hAnsi="Times New Roman"/>
                <w:sz w:val="12"/>
                <w:szCs w:val="12"/>
                <w:color w:val="auto"/>
              </w:rPr>
              <w:t>securities.</w:t>
            </w:r>
          </w:p>
        </w:tc>
        <w:tc>
          <w:tcPr>
            <w:tcW w:w="1700" w:type="dxa"/>
            <w:vAlign w:val="bottom"/>
          </w:tcPr>
          <w:p>
            <w:pPr>
              <w:spacing w:after="0"/>
              <w:rPr>
                <w:sz w:val="13"/>
                <w:szCs w:val="13"/>
                <w:color w:val="auto"/>
              </w:rPr>
            </w:pPr>
          </w:p>
        </w:tc>
      </w:tr>
      <w:tr>
        <w:trPr>
          <w:trHeight w:val="576"/>
        </w:trPr>
        <w:tc>
          <w:tcPr>
            <w:tcW w:w="292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jc w:val="right"/>
              <w:ind w:right="3800"/>
              <w:spacing w:after="0"/>
              <w:rPr>
                <w:sz w:val="20"/>
                <w:szCs w:val="20"/>
                <w:color w:val="auto"/>
              </w:rPr>
            </w:pPr>
            <w:r>
              <w:rPr>
                <w:rFonts w:ascii="Times New Roman" w:cs="Times New Roman" w:eastAsia="Times New Roman" w:hAnsi="Times New Roman"/>
                <w:sz w:val="12"/>
                <w:szCs w:val="12"/>
                <w:color w:val="auto"/>
              </w:rPr>
              <w:t>195</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82" w:name="page583"/>
    <w:bookmarkEnd w:id="582"/>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SCHEDULE 10</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DAILY NON-CUMULATIVE COMPOUNDED RFR RATE</w:t>
      </w:r>
    </w:p>
    <w:p>
      <w:pPr>
        <w:spacing w:after="0" w:line="150"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Daily Non-Cumulative Compounded RFR Rate</w:t>
      </w:r>
      <w:r>
        <w:rPr>
          <w:rFonts w:ascii="Times New Roman" w:cs="Times New Roman" w:eastAsia="Times New Roman" w:hAnsi="Times New Roman"/>
          <w:sz w:val="12"/>
          <w:szCs w:val="12"/>
          <w:color w:val="auto"/>
        </w:rPr>
        <w:t>"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during an Interest Period for the Loan or any part of the Loan is the percentage rate per annum (without rounding, to the extent reasonably practicable for the Finance Party performing the calculation, taking into account the capabilities of any software used for that purpose)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1062990" cy="2114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21">
                      <a:extLst>
                        <a:ext uri="{28A0092B-C50C-407E-A947-70E740481C1C}"/>
                      </a:extLst>
                    </a:blip>
                    <a:srcRect/>
                    <a:stretch>
                      <a:fillRect/>
                    </a:stretch>
                  </pic:blipFill>
                  <pic:spPr bwMode="auto">
                    <a:xfrm>
                      <a:off x="0" y="0"/>
                      <a:ext cx="1062990" cy="2114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UCCDRi</w:t>
      </w:r>
      <w:r>
        <w:rPr>
          <w:rFonts w:ascii="Times New Roman" w:cs="Times New Roman" w:eastAsia="Times New Roman" w:hAnsi="Times New Roman"/>
          <w:sz w:val="12"/>
          <w:szCs w:val="12"/>
          <w:color w:val="auto"/>
        </w:rPr>
        <w:t>" means the Unannualised Cumulative Compounded Daily Rate for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ind w:left="8" w:right="1500" w:hanging="8"/>
        <w:spacing w:after="0" w:line="500" w:lineRule="auto"/>
        <w:tabs>
          <w:tab w:leader="none" w:pos="87" w:val="left"/>
        </w:tabs>
        <w:numPr>
          <w:ilvl w:val="0"/>
          <w:numId w:val="105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UCCDRi-1</w:t>
      </w:r>
      <w:r>
        <w:rPr>
          <w:rFonts w:ascii="Times New Roman" w:cs="Times New Roman" w:eastAsia="Times New Roman" w:hAnsi="Times New Roman"/>
          <w:sz w:val="12"/>
          <w:szCs w:val="12"/>
          <w:color w:val="auto"/>
        </w:rPr>
        <w:t>" means, in relation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the Unannualised Cumulative Compounded Daily Rate for the immediately preceding RFR Banking Day (if any) during that Interest Period;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means 360 or, in any case where market practice in the Relevant Market is to use a different number for quoting the number of days in a year, that number;</w:t>
      </w:r>
    </w:p>
    <w:p>
      <w:pPr>
        <w:spacing w:after="0" w:line="1" w:lineRule="exact"/>
        <w:rPr>
          <w:rFonts w:ascii="Times New Roman" w:cs="Times New Roman" w:eastAsia="Times New Roman" w:hAnsi="Times New Roman"/>
          <w:sz w:val="12"/>
          <w:szCs w:val="12"/>
          <w:color w:val="auto"/>
        </w:rPr>
      </w:pP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ni</w:t>
      </w:r>
      <w:r>
        <w:rPr>
          <w:rFonts w:ascii="Times New Roman" w:cs="Times New Roman" w:eastAsia="Times New Roman" w:hAnsi="Times New Roman"/>
          <w:sz w:val="12"/>
          <w:szCs w:val="12"/>
          <w:color w:val="auto"/>
        </w:rPr>
        <w:t>" means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 and</w:t>
      </w:r>
    </w:p>
    <w:p>
      <w:pPr>
        <w:spacing w:after="0" w:line="150" w:lineRule="exact"/>
        <w:rPr>
          <w:sz w:val="20"/>
          <w:szCs w:val="20"/>
          <w:color w:val="auto"/>
        </w:rPr>
      </w:pPr>
    </w:p>
    <w:p>
      <w:pPr>
        <w:ind w:left="8"/>
        <w:spacing w:after="0" w:line="286" w:lineRule="auto"/>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Unannualised Cumulative Compounded Daily Rate</w:t>
      </w:r>
      <w:r>
        <w:rPr>
          <w:rFonts w:ascii="Times New Roman" w:cs="Times New Roman" w:eastAsia="Times New Roman" w:hAnsi="Times New Roman"/>
          <w:sz w:val="12"/>
          <w:szCs w:val="12"/>
          <w:color w:val="auto"/>
        </w:rPr>
        <w:t>" for any RFR Banking Day (the "</w:t>
      </w:r>
      <w:r>
        <w:rPr>
          <w:rFonts w:ascii="Times New Roman" w:cs="Times New Roman" w:eastAsia="Times New Roman" w:hAnsi="Times New Roman"/>
          <w:sz w:val="12"/>
          <w:szCs w:val="12"/>
          <w:b w:val="1"/>
          <w:bCs w:val="1"/>
          <w:color w:val="auto"/>
        </w:rPr>
        <w:t>Cumulated RFR Banking Day</w:t>
      </w:r>
      <w:r>
        <w:rPr>
          <w:rFonts w:ascii="Times New Roman" w:cs="Times New Roman" w:eastAsia="Times New Roman" w:hAnsi="Times New Roman"/>
          <w:sz w:val="12"/>
          <w:szCs w:val="12"/>
          <w:color w:val="auto"/>
        </w:rPr>
        <w:t>") during that Interest Period is the result of the below calculation (without rounding, to the extent reasonably practicable for the Finance Party performing the calculation, taking into account the capabilities of any software used for that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491490" cy="18288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22">
                      <a:extLst>
                        <a:ext uri="{28A0092B-C50C-407E-A947-70E740481C1C}"/>
                      </a:extLst>
                    </a:blip>
                    <a:srcRect/>
                    <a:stretch>
                      <a:fillRect/>
                    </a:stretch>
                  </pic:blipFill>
                  <pic:spPr bwMode="auto">
                    <a:xfrm>
                      <a:off x="0" y="0"/>
                      <a:ext cx="491490" cy="18288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ACCDR</w:t>
      </w:r>
      <w:r>
        <w:rPr>
          <w:rFonts w:ascii="Times New Roman" w:cs="Times New Roman" w:eastAsia="Times New Roman" w:hAnsi="Times New Roman"/>
          <w:sz w:val="12"/>
          <w:szCs w:val="12"/>
          <w:color w:val="auto"/>
        </w:rPr>
        <w:t>" means the Annualised Cumulative Compounded Daily Rate for that Cumulated RFR Banking Day;</w:t>
      </w:r>
    </w:p>
    <w:p>
      <w:pPr>
        <w:spacing w:after="0" w:line="150" w:lineRule="exact"/>
        <w:rPr>
          <w:sz w:val="20"/>
          <w:szCs w:val="20"/>
          <w:color w:val="auto"/>
        </w:rPr>
      </w:pPr>
    </w:p>
    <w:p>
      <w:pPr>
        <w:ind w:left="8" w:right="1320"/>
        <w:spacing w:after="0" w:line="500" w:lineRule="auto"/>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tni</w:t>
      </w:r>
      <w:r>
        <w:rPr>
          <w:rFonts w:ascii="Times New Roman" w:cs="Times New Roman" w:eastAsia="Times New Roman" w:hAnsi="Times New Roman"/>
          <w:sz w:val="12"/>
          <w:szCs w:val="12"/>
          <w:color w:val="auto"/>
        </w:rPr>
        <w:t>" means the number of calendar days from, and including, the first day of the Cumulation Period to, but excluding, the RFR Banking Day which immediately follows the last day of the Cumulation Period; "</w:t>
      </w:r>
      <w:r>
        <w:rPr>
          <w:rFonts w:ascii="Times New Roman" w:cs="Times New Roman" w:eastAsia="Times New Roman" w:hAnsi="Times New Roman"/>
          <w:sz w:val="12"/>
          <w:szCs w:val="12"/>
          <w:b w:val="1"/>
          <w:bCs w:val="1"/>
          <w:color w:val="auto"/>
        </w:rPr>
        <w:t>Cumulation Period</w:t>
      </w:r>
      <w:r>
        <w:rPr>
          <w:rFonts w:ascii="Times New Roman" w:cs="Times New Roman" w:eastAsia="Times New Roman" w:hAnsi="Times New Roman"/>
          <w:sz w:val="12"/>
          <w:szCs w:val="12"/>
          <w:color w:val="auto"/>
        </w:rPr>
        <w:t>" means the period from, and including, the first RFR Banking Day of that Interest Period to, and including, that Cumulated RFR Banking Day; "</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has the meaning given to that term above; and</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w:t>
      </w:r>
      <w:r>
        <w:rPr>
          <w:rFonts w:ascii="Times New Roman" w:cs="Times New Roman" w:eastAsia="Times New Roman" w:hAnsi="Times New Roman"/>
          <w:sz w:val="12"/>
          <w:szCs w:val="12"/>
          <w:b w:val="1"/>
          <w:bCs w:val="1"/>
          <w:color w:val="auto"/>
        </w:rPr>
        <w:t>Annualised Cumulative Compounded Daily Rate</w:t>
      </w:r>
      <w:r>
        <w:rPr>
          <w:rFonts w:ascii="Times New Roman" w:cs="Times New Roman" w:eastAsia="Times New Roman" w:hAnsi="Times New Roman"/>
          <w:sz w:val="12"/>
          <w:szCs w:val="12"/>
          <w:color w:val="auto"/>
        </w:rPr>
        <w:t>" for that Cumulated RFR Banking Day is the percentage rate per annum (rounded to five decimal places) calculated as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104775</wp:posOffset>
            </wp:positionV>
            <wp:extent cx="1548765" cy="38862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23">
                      <a:extLst>
                        <a:ext uri="{28A0092B-C50C-407E-A947-70E740481C1C}"/>
                      </a:extLst>
                    </a:blip>
                    <a:srcRect/>
                    <a:stretch>
                      <a:fillRect/>
                    </a:stretch>
                  </pic:blipFill>
                  <pic:spPr bwMode="auto">
                    <a:xfrm>
                      <a:off x="0" y="0"/>
                      <a:ext cx="154876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where:</w:t>
      </w:r>
    </w:p>
    <w:p>
      <w:pPr>
        <w:spacing w:after="0" w:line="16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t>
      </w:r>
      <w:r>
        <w:rPr>
          <w:sz w:val="1"/>
          <w:szCs w:val="1"/>
          <w:color w:val="auto"/>
        </w:rPr>
        <w:drawing>
          <wp:inline distT="0" distB="0" distL="0" distR="0">
            <wp:extent cx="91440" cy="10287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24">
                      <a:extLst>
                        <a:ext uri="{28A0092B-C50C-407E-A947-70E740481C1C}"/>
                      </a:extLst>
                    </a:blip>
                    <a:srcRect/>
                    <a:stretch>
                      <a:fillRect/>
                    </a:stretch>
                  </pic:blipFill>
                  <pic:spPr bwMode="auto">
                    <a:xfrm>
                      <a:off x="0" y="0"/>
                      <a:ext cx="91440" cy="102870"/>
                    </a:xfrm>
                    <a:prstGeom prst="rect">
                      <a:avLst/>
                    </a:prstGeom>
                    <a:noFill/>
                    <a:ln>
                      <a:noFill/>
                    </a:ln>
                  </pic:spPr>
                </pic:pic>
              </a:graphicData>
            </a:graphic>
          </wp:inline>
        </w:drawing>
      </w:r>
      <w:r>
        <w:rPr>
          <w:rFonts w:ascii="Times New Roman" w:cs="Times New Roman" w:eastAsia="Times New Roman" w:hAnsi="Times New Roman"/>
          <w:sz w:val="12"/>
          <w:szCs w:val="12"/>
          <w:color w:val="auto"/>
        </w:rPr>
        <w:t>" means the number of RFR Banking Days in the Cumulation Period;</w:t>
      </w:r>
    </w:p>
    <w:p>
      <w:pPr>
        <w:spacing w:after="0" w:line="143" w:lineRule="exact"/>
        <w:rPr>
          <w:sz w:val="20"/>
          <w:szCs w:val="20"/>
          <w:color w:val="auto"/>
        </w:rPr>
      </w:pPr>
    </w:p>
    <w:p>
      <w:pPr>
        <w:jc w:val="both"/>
        <w:ind w:left="5568"/>
        <w:spacing w:after="0"/>
        <w:tabs>
          <w:tab w:leader="none" w:pos="10188" w:val="left"/>
        </w:tabs>
        <w:rPr>
          <w:sz w:val="20"/>
          <w:szCs w:val="20"/>
          <w:color w:val="auto"/>
        </w:rPr>
      </w:pPr>
      <w:r>
        <w:rPr>
          <w:rFonts w:ascii="Times New Roman" w:cs="Times New Roman" w:eastAsia="Times New Roman" w:hAnsi="Times New Roman"/>
          <w:sz w:val="12"/>
          <w:szCs w:val="12"/>
          <w:color w:val="auto"/>
        </w:rPr>
        <w:t>196</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574" w:right="299" w:bottom="1440" w:gutter="0" w:footer="0" w:header="0"/>
        </w:sectPr>
      </w:pPr>
    </w:p>
    <w:bookmarkStart w:id="583" w:name="page584"/>
    <w:bookmarkEnd w:id="583"/>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Cumulation Period</w:t>
      </w:r>
      <w:r>
        <w:rPr>
          <w:rFonts w:ascii="Times New Roman" w:cs="Times New Roman" w:eastAsia="Times New Roman" w:hAnsi="Times New Roman"/>
          <w:sz w:val="12"/>
          <w:szCs w:val="12"/>
          <w:color w:val="auto"/>
        </w:rPr>
        <w:t>" has the meaning given to that term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xml:space="preserve">" means a series of whole numbers from one to </w:t>
      </w:r>
      <w:r>
        <w:rPr>
          <w:sz w:val="1"/>
          <w:szCs w:val="1"/>
          <w:color w:val="auto"/>
        </w:rPr>
        <w:drawing>
          <wp:inline distT="0" distB="0" distL="0" distR="0">
            <wp:extent cx="85725" cy="97155"/>
            <wp:effectExtent l="0" t="0" r="0"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26">
                      <a:extLst>
                        <a:ext uri="{28A0092B-C50C-407E-A947-70E740481C1C}"/>
                      </a:extLst>
                    </a:blip>
                    <a:srcRect/>
                    <a:stretch>
                      <a:fillRect/>
                    </a:stretch>
                  </pic:blipFill>
                  <pic:spPr bwMode="auto">
                    <a:xfrm>
                      <a:off x="0" y="0"/>
                      <a:ext cx="85725" cy="97155"/>
                    </a:xfrm>
                    <a:prstGeom prst="rect">
                      <a:avLst/>
                    </a:prstGeom>
                    <a:noFill/>
                    <a:ln>
                      <a:noFill/>
                    </a:ln>
                  </pic:spPr>
                </pic:pic>
              </a:graphicData>
            </a:graphic>
          </wp:inline>
        </w:drawing>
      </w:r>
      <w:r>
        <w:rPr>
          <w:rFonts w:ascii="Times New Roman" w:cs="Times New Roman" w:eastAsia="Times New Roman" w:hAnsi="Times New Roman"/>
          <w:sz w:val="12"/>
          <w:szCs w:val="12"/>
          <w:color w:val="auto"/>
        </w:rPr>
        <w:t>, each representing the relevant RFR Banking Day in chronological order in the Cumulation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DailyRatei-LP</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in the Cumulation Period, the Daily Rate for the RFR Banking Day which is the applicable Lookback Period prior to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ni</w:t>
      </w:r>
      <w:r>
        <w:rPr>
          <w:rFonts w:ascii="Times New Roman" w:cs="Times New Roman" w:eastAsia="Times New Roman" w:hAnsi="Times New Roman"/>
          <w:sz w:val="12"/>
          <w:szCs w:val="12"/>
          <w:color w:val="auto"/>
        </w:rPr>
        <w:t>" means, for any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in the Cumulation Period, the number of calendar days from, and including, that RFR Banking Day "</w:t>
      </w:r>
      <w:r>
        <w:rPr>
          <w:rFonts w:ascii="Times New Roman" w:cs="Times New Roman" w:eastAsia="Times New Roman" w:hAnsi="Times New Roman"/>
          <w:sz w:val="12"/>
          <w:szCs w:val="12"/>
          <w:b w:val="1"/>
          <w:bCs w:val="1"/>
          <w:color w:val="auto"/>
        </w:rPr>
        <w:t>i</w:t>
      </w:r>
      <w:r>
        <w:rPr>
          <w:rFonts w:ascii="Times New Roman" w:cs="Times New Roman" w:eastAsia="Times New Roman" w:hAnsi="Times New Roman"/>
          <w:sz w:val="12"/>
          <w:szCs w:val="12"/>
          <w:color w:val="auto"/>
        </w:rPr>
        <w:t>" up to, but excluding, the following RFR Banking Day;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dcc</w:t>
      </w:r>
      <w:r>
        <w:rPr>
          <w:rFonts w:ascii="Times New Roman" w:cs="Times New Roman" w:eastAsia="Times New Roman" w:hAnsi="Times New Roman"/>
          <w:sz w:val="12"/>
          <w:szCs w:val="12"/>
          <w:color w:val="auto"/>
        </w:rPr>
        <w:t>" has the meaning given to that term above; and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tni</w:t>
      </w:r>
      <w:r>
        <w:rPr>
          <w:rFonts w:ascii="Times New Roman" w:cs="Times New Roman" w:eastAsia="Times New Roman" w:hAnsi="Times New Roman"/>
          <w:sz w:val="12"/>
          <w:szCs w:val="12"/>
          <w:color w:val="auto"/>
        </w:rPr>
        <w:t>" has the meaning given to that term above.</w:t>
      </w:r>
    </w:p>
    <w:p>
      <w:pPr>
        <w:spacing w:after="0" w:line="154" w:lineRule="exact"/>
        <w:rPr>
          <w:sz w:val="20"/>
          <w:szCs w:val="20"/>
          <w:color w:val="auto"/>
        </w:rPr>
      </w:pPr>
    </w:p>
    <w:p>
      <w:pPr>
        <w:jc w:val="both"/>
        <w:ind w:left="5560"/>
        <w:spacing w:after="0"/>
        <w:tabs>
          <w:tab w:leader="none" w:pos="10180" w:val="left"/>
        </w:tabs>
        <w:rPr>
          <w:sz w:val="20"/>
          <w:szCs w:val="20"/>
          <w:color w:val="auto"/>
        </w:rPr>
      </w:pPr>
      <w:r>
        <w:rPr>
          <w:rFonts w:ascii="Times New Roman" w:cs="Times New Roman" w:eastAsia="Times New Roman" w:hAnsi="Times New Roman"/>
          <w:sz w:val="12"/>
          <w:szCs w:val="12"/>
          <w:color w:val="auto"/>
        </w:rPr>
        <w:t>197</w:t>
      </w:r>
      <w:r>
        <w:rPr>
          <w:sz w:val="20"/>
          <w:szCs w:val="20"/>
          <w:color w:val="auto"/>
        </w:rPr>
        <w:tab/>
      </w:r>
      <w:r>
        <w:rPr>
          <w:rFonts w:ascii="Times New Roman" w:cs="Times New Roman" w:eastAsia="Times New Roman" w:hAnsi="Times New Roman"/>
          <w:sz w:val="12"/>
          <w:szCs w:val="12"/>
          <w:color w:val="auto"/>
        </w:rPr>
        <w:t>EUROPE/78117511v9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574" w:right="299" w:bottom="1440" w:gutter="0" w:footer="0" w:header="0"/>
        </w:sectPr>
      </w:pPr>
    </w:p>
    <w:bookmarkStart w:id="584" w:name="page585"/>
    <w:bookmarkEnd w:id="584"/>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13"/>
                <w:szCs w:val="13"/>
                <w:color w:val="auto"/>
              </w:rPr>
            </w:pPr>
          </w:p>
        </w:tc>
        <w:tc>
          <w:tcPr>
            <w:tcW w:w="3940" w:type="dxa"/>
            <w:vAlign w:val="bottom"/>
          </w:tcPr>
          <w:p>
            <w:pPr>
              <w:ind w:left="560"/>
              <w:spacing w:after="0"/>
              <w:rPr>
                <w:sz w:val="20"/>
                <w:szCs w:val="20"/>
                <w:color w:val="auto"/>
              </w:rPr>
            </w:pPr>
            <w:r>
              <w:rPr>
                <w:rFonts w:ascii="Times New Roman" w:cs="Times New Roman" w:eastAsia="Times New Roman" w:hAnsi="Times New Roman"/>
                <w:sz w:val="12"/>
                <w:szCs w:val="12"/>
                <w:b w:val="1"/>
                <w:bCs w:val="1"/>
                <w:color w:val="auto"/>
              </w:rPr>
              <w:t>EXECUTION PAGES</w:t>
            </w: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BORROWERS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ZEUS ONE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HEPHAESTUS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PERICLES MARINE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86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55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648"/>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198</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85" w:name="page586"/>
    <w:bookmarkEnd w:id="58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57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58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59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60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648"/>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199</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86" w:name="page587"/>
    <w:bookmarkEnd w:id="5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61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62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86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63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86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64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648"/>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200</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87" w:name="page588"/>
    <w:bookmarkEnd w:id="5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65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86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66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72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864"/>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73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648"/>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201</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88" w:name="page589"/>
    <w:bookmarkEnd w:id="5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74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720"/>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75 LLC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85"/>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GUARANTOR</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Aikaterini C. Emmanouil</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Aikaterini C. Emmanouil</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GLOBAL SHIP LEASE, INC.</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85"/>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ORIGINAL LENDERS</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Vasiliki Emiri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Vasiliki Emiri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648"/>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202</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89" w:name="page590"/>
    <w:bookmarkEnd w:id="58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FACILITY AGENT</w:t>
            </w:r>
          </w:p>
        </w:tc>
        <w:tc>
          <w:tcPr>
            <w:tcW w:w="3940" w:type="dxa"/>
            <w:vAlign w:val="bottom"/>
          </w:tcPr>
          <w:p>
            <w:pPr>
              <w:spacing w:after="0"/>
              <w:rPr>
                <w:sz w:val="13"/>
                <w:szCs w:val="13"/>
                <w:color w:val="auto"/>
              </w:rPr>
            </w:pPr>
          </w:p>
        </w:tc>
        <w:tc>
          <w:tcPr>
            <w:tcW w:w="2840" w:type="dxa"/>
            <w:vAlign w:val="bottom"/>
          </w:tcPr>
          <w:p>
            <w:pPr>
              <w:spacing w:after="0"/>
              <w:rPr>
                <w:sz w:val="13"/>
                <w:szCs w:val="13"/>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Vasiliki Emiri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Vasiliki Emiri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585"/>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SECURITY AGENT</w:t>
            </w:r>
          </w:p>
        </w:tc>
        <w:tc>
          <w:tcPr>
            <w:tcW w:w="39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SIGNED</w:t>
            </w:r>
          </w:p>
        </w:tc>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Vasiliki Emiri</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22"/>
        </w:trPr>
        <w:tc>
          <w:tcPr>
            <w:tcW w:w="452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w:t>
            </w:r>
          </w:p>
        </w:tc>
        <w:tc>
          <w:tcPr>
            <w:tcW w:w="39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Vasiliki Emiri</w:t>
            </w:r>
          </w:p>
        </w:tc>
        <w:tc>
          <w:tcPr>
            <w:tcW w:w="2840" w:type="dxa"/>
            <w:vAlign w:val="bottom"/>
          </w:tcPr>
          <w:p>
            <w:pPr>
              <w:jc w:val="right"/>
              <w:ind w:right="2720"/>
              <w:spacing w:after="0" w:line="122" w:lineRule="exact"/>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Attorney-in-fact</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0"/>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for and on behalf of</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8"/>
        </w:trPr>
        <w:tc>
          <w:tcPr>
            <w:tcW w:w="45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UBS AG</w:t>
            </w:r>
          </w:p>
        </w:tc>
        <w:tc>
          <w:tcPr>
            <w:tcW w:w="3940" w:type="dxa"/>
            <w:vAlign w:val="bottom"/>
          </w:tcPr>
          <w:p>
            <w:pPr>
              <w:spacing w:after="0"/>
              <w:rPr>
                <w:sz w:val="12"/>
                <w:szCs w:val="12"/>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in the presence of:</w:t>
            </w:r>
          </w:p>
        </w:tc>
        <w:tc>
          <w:tcPr>
            <w:tcW w:w="3940" w:type="dxa"/>
            <w:vAlign w:val="bottom"/>
          </w:tcPr>
          <w:p>
            <w:pPr>
              <w:spacing w:after="0"/>
              <w:rPr>
                <w:sz w:val="13"/>
                <w:szCs w:val="13"/>
                <w:color w:val="auto"/>
              </w:rPr>
            </w:pP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277"/>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signature: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/s/ 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44"/>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name:</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Michail Arkadis</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155"/>
        </w:trPr>
        <w:tc>
          <w:tcPr>
            <w:tcW w:w="4520" w:type="dxa"/>
            <w:vAlign w:val="bottom"/>
          </w:tcPr>
          <w:p>
            <w:pPr>
              <w:spacing w:after="0"/>
              <w:rPr>
                <w:sz w:val="20"/>
                <w:szCs w:val="20"/>
                <w:color w:val="auto"/>
              </w:rPr>
            </w:pPr>
            <w:r>
              <w:rPr>
                <w:rFonts w:ascii="Times New Roman" w:cs="Times New Roman" w:eastAsia="Times New Roman" w:hAnsi="Times New Roman"/>
                <w:sz w:val="12"/>
                <w:szCs w:val="12"/>
                <w:color w:val="auto"/>
              </w:rPr>
              <w:t>Witness' address:</w:t>
            </w:r>
          </w:p>
        </w:tc>
        <w:tc>
          <w:tcPr>
            <w:tcW w:w="3940" w:type="dxa"/>
            <w:vAlign w:val="bottom"/>
          </w:tcPr>
          <w:p>
            <w:pPr>
              <w:spacing w:after="0"/>
              <w:rPr>
                <w:sz w:val="20"/>
                <w:szCs w:val="20"/>
                <w:color w:val="auto"/>
              </w:rPr>
            </w:pPr>
            <w:r>
              <w:rPr>
                <w:rFonts w:ascii="Times New Roman" w:cs="Times New Roman" w:eastAsia="Times New Roman" w:hAnsi="Times New Roman"/>
                <w:sz w:val="12"/>
                <w:szCs w:val="12"/>
                <w:color w:val="auto"/>
              </w:rPr>
              <w:t>348, Syngrou Avenue Kallithea 176 74, Athens - Greece</w:t>
            </w:r>
          </w:p>
        </w:tc>
        <w:tc>
          <w:tcPr>
            <w:tcW w:w="2840" w:type="dxa"/>
            <w:vAlign w:val="bottom"/>
          </w:tcPr>
          <w:p>
            <w:pPr>
              <w:jc w:val="right"/>
              <w:ind w:right="2720"/>
              <w:spacing w:after="0"/>
              <w:rPr>
                <w:sz w:val="20"/>
                <w:szCs w:val="20"/>
                <w:color w:val="auto"/>
              </w:rPr>
            </w:pPr>
            <w:r>
              <w:rPr>
                <w:rFonts w:ascii="Times New Roman" w:cs="Times New Roman" w:eastAsia="Times New Roman" w:hAnsi="Times New Roman"/>
                <w:sz w:val="12"/>
                <w:szCs w:val="12"/>
                <w:color w:val="auto"/>
                <w:w w:val="98"/>
              </w:rPr>
              <w:t>)</w:t>
            </w:r>
          </w:p>
        </w:tc>
      </w:tr>
      <w:tr>
        <w:trPr>
          <w:trHeight w:val="648"/>
        </w:trPr>
        <w:tc>
          <w:tcPr>
            <w:tcW w:w="45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2"/>
                <w:szCs w:val="12"/>
                <w:color w:val="auto"/>
              </w:rPr>
              <w:t>203</w:t>
            </w:r>
          </w:p>
        </w:tc>
        <w:tc>
          <w:tcPr>
            <w:tcW w:w="2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EUROPE/78117511v9</w:t>
            </w:r>
          </w:p>
        </w:tc>
      </w:tr>
    </w:tbl>
    <w:p>
      <w:pPr>
        <w:sectPr>
          <w:pgSz w:w="11900" w:h="16838" w:orient="portrait"/>
          <w:cols w:equalWidth="0" w:num="1">
            <w:col w:w="11300"/>
          </w:cols>
          <w:pgMar w:left="300" w:top="574" w:right="299" w:bottom="1440" w:gutter="0" w:footer="0" w:header="0"/>
        </w:sectPr>
      </w:pPr>
    </w:p>
    <w:bookmarkStart w:id="590" w:name="page591"/>
    <w:bookmarkEnd w:id="590"/>
    <w:p>
      <w:pPr>
        <w:jc w:val="right"/>
        <w:spacing w:after="0"/>
        <w:rPr>
          <w:sz w:val="20"/>
          <w:szCs w:val="20"/>
          <w:color w:val="auto"/>
        </w:rPr>
      </w:pPr>
    </w:p>
    <w:p>
      <w:pPr>
        <w:sectPr>
          <w:pgSz w:w="11900" w:h="16838" w:orient="portrait"/>
          <w:cols w:equalWidth="1" w:num="1" w:space="0"/>
          <w:pgMar w:left="1440" w:top="1440" w:right="1440" w:bottom="875" w:gutter="0" w:footer="0" w:header="0"/>
        </w:sectPr>
      </w:pPr>
    </w:p>
    <w:bookmarkStart w:id="591" w:name="page592"/>
    <w:bookmarkEnd w:id="591"/>
    <w:p>
      <w:pPr>
        <w:ind w:left="10700"/>
        <w:spacing w:after="0"/>
        <w:rPr>
          <w:sz w:val="20"/>
          <w:szCs w:val="20"/>
          <w:color w:val="auto"/>
        </w:rPr>
      </w:pPr>
      <w:r>
        <w:rPr>
          <w:rFonts w:ascii="Times New Roman" w:cs="Times New Roman" w:eastAsia="Times New Roman" w:hAnsi="Times New Roman"/>
          <w:sz w:val="12"/>
          <w:szCs w:val="12"/>
          <w:b w:val="1"/>
          <w:bCs w:val="1"/>
          <w:color w:val="auto"/>
        </w:rPr>
        <w:t>Exhibit 8.1</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No.</w:t>
            </w:r>
          </w:p>
        </w:tc>
        <w:tc>
          <w:tcPr>
            <w:tcW w:w="3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Name</w:t>
            </w:r>
          </w:p>
        </w:tc>
        <w:tc>
          <w:tcPr>
            <w:tcW w:w="560" w:type="dxa"/>
            <w:vAlign w:val="bottom"/>
          </w:tcPr>
          <w:p>
            <w:pPr>
              <w:spacing w:after="0"/>
              <w:rPr>
                <w:sz w:val="13"/>
                <w:szCs w:val="13"/>
                <w:color w:val="auto"/>
              </w:rPr>
            </w:pPr>
          </w:p>
        </w:tc>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b w:val="1"/>
                <w:bCs w:val="1"/>
                <w:color w:val="auto"/>
              </w:rPr>
              <w:t>Business</w:t>
            </w:r>
          </w:p>
        </w:tc>
        <w:tc>
          <w:tcPr>
            <w:tcW w:w="540" w:type="dxa"/>
            <w:vAlign w:val="bottom"/>
          </w:tcPr>
          <w:p>
            <w:pPr>
              <w:spacing w:after="0"/>
              <w:rPr>
                <w:sz w:val="13"/>
                <w:szCs w:val="13"/>
                <w:color w:val="auto"/>
              </w:rPr>
            </w:pPr>
          </w:p>
        </w:tc>
        <w:tc>
          <w:tcPr>
            <w:tcW w:w="2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Jurisdiction</w:t>
            </w:r>
          </w:p>
        </w:tc>
      </w:tr>
      <w:tr>
        <w:trPr>
          <w:trHeight w:val="169"/>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Alexander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Colombia Express (ex Mary)</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Aphrodite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Nikolas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Maira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Aristoteles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Mexico Express (ex Alexis)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Athena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Newyorker</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Drake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Ian H</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30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Eleni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31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Kalliopi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32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Grania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10</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Inc.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Holding</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Alcazar Inc.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Alcazar</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Enterprises Ltd.</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Service company</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Legacy Holding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GSL Rome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Hector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Panama Express (ex Kristina)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Hephaestus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Dolphin II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Hudson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Owned Dimitris Y (sold October 13, 2025)</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Ikaros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Costa Rica Express (Katherine)</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19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Knausen Holding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20</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Laertis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Norfolk</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Leonidas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Agios Dimitrios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Menelaos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Jamaica Express (ex Olivia 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Penelope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ZIM Xiamen</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Pericles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Athena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Philippos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Nicaragua Express (ex Alexandra)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Poseidon Containers Holdings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Sub-holding</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Tasman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Owned Tasman (sold March 11, 2025)</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Telemachus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Anthea Y</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29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Zeus One Marine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Orca 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Republic of Marshall Islands</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30</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33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Vinia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34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Christel Elisabeth</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35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Nicoletta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36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Christen</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38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Manet</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40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Owned Keta (sold March 24, 2025)</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41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Julie</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42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Valerie</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43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Ningbo</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39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44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Owned Akiteta (sold February 19, 2025)</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40</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45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Kumasi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47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Chateau d 'If</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48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Berlioz</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49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Sambhar</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50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Jamaica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51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America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52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MSC Qingdao</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53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MSC Tianjin</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54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CMA CGM Thalassa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49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55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Susan</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50</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57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Rossi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58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Alice</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59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Melina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60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Eleftheria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61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Mercer</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62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Mamitsa (ex Matson Molokai)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63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Lalo</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64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Elizabeth</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65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Chloe</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59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66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Maren</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60</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67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Owned GSL Amstel (sold March 23, 2023)</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61</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Global Ship Lease 68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Kithira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62</w:t>
            </w:r>
          </w:p>
        </w:tc>
        <w:tc>
          <w:tcPr>
            <w:tcW w:w="4400" w:type="dxa"/>
            <w:vAlign w:val="bottom"/>
            <w:gridSpan w:val="2"/>
          </w:tcPr>
          <w:p>
            <w:pPr>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69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Tripoli</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63</w:t>
            </w:r>
          </w:p>
        </w:tc>
        <w:tc>
          <w:tcPr>
            <w:tcW w:w="4400" w:type="dxa"/>
            <w:vAlign w:val="bottom"/>
            <w:gridSpan w:val="2"/>
          </w:tcPr>
          <w:p>
            <w:pPr>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70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Syros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Global Ship Lease 71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Tinos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65</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72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Alexandra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66</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73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Sofia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67</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74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Effie</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68</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75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GSL Lydia</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70"/>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69</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Global Ship Lease 76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Czech</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70</w:t>
            </w:r>
          </w:p>
        </w:tc>
        <w:tc>
          <w:tcPr>
            <w:tcW w:w="4400" w:type="dxa"/>
            <w:vAlign w:val="bottom"/>
            <w:gridSpan w:val="2"/>
          </w:tcPr>
          <w:p>
            <w:pPr>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77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Bremerhaven Express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71</w:t>
            </w:r>
          </w:p>
        </w:tc>
        <w:tc>
          <w:tcPr>
            <w:tcW w:w="4400" w:type="dxa"/>
            <w:vAlign w:val="bottom"/>
            <w:gridSpan w:val="2"/>
          </w:tcPr>
          <w:p>
            <w:pPr>
              <w:spacing w:after="0" w:line="216" w:lineRule="exact"/>
              <w:rPr>
                <w:sz w:val="20"/>
                <w:szCs w:val="20"/>
                <w:color w:val="auto"/>
              </w:rPr>
            </w:pPr>
            <w:r>
              <w:rPr>
                <w:rFonts w:ascii="Times New Roman" w:cs="Times New Roman" w:eastAsia="Times New Roman" w:hAnsi="Times New Roman"/>
                <w:sz w:val="12"/>
                <w:szCs w:val="12"/>
                <w:color w:val="auto"/>
              </w:rPr>
              <w:t xml:space="preserve">Global Ship Lease 78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Sydney Express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23"/>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72</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 xml:space="preserve">Global Ship Lease 79 LLC </w:t>
            </w:r>
            <w:r>
              <w:rPr>
                <w:rFonts w:ascii="Times New Roman" w:cs="Times New Roman" w:eastAsia="Times New Roman" w:hAnsi="Times New Roman"/>
                <w:sz w:val="19"/>
                <w:szCs w:val="19"/>
                <w:color w:val="auto"/>
                <w:vertAlign w:val="superscript"/>
              </w:rPr>
              <w:t>(1)</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Istanbul Express</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155"/>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73</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80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Lotus A (delivered December 12, 2025)</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460" w:type="dxa"/>
            <w:vAlign w:val="bottom"/>
          </w:tcPr>
          <w:p>
            <w:pPr>
              <w:spacing w:after="0"/>
              <w:rPr>
                <w:sz w:val="20"/>
                <w:szCs w:val="20"/>
                <w:color w:val="auto"/>
              </w:rPr>
            </w:pPr>
            <w:r>
              <w:rPr>
                <w:rFonts w:ascii="Times New Roman" w:cs="Times New Roman" w:eastAsia="Times New Roman" w:hAnsi="Times New Roman"/>
                <w:sz w:val="12"/>
                <w:szCs w:val="12"/>
                <w:color w:val="auto"/>
              </w:rPr>
              <w:t>74</w:t>
            </w:r>
          </w:p>
        </w:tc>
        <w:tc>
          <w:tcPr>
            <w:tcW w:w="44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Global Ship Lease 81 LLC</w:t>
            </w:r>
          </w:p>
        </w:tc>
        <w:tc>
          <w:tcPr>
            <w:tcW w:w="360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Owns Koi (delivered December 29, 2025)</w:t>
            </w:r>
          </w:p>
        </w:tc>
        <w:tc>
          <w:tcPr>
            <w:tcW w:w="28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Liberia</w:t>
            </w:r>
          </w:p>
        </w:tc>
      </w:tr>
    </w:tbl>
    <w:p>
      <w:pPr>
        <w:sectPr>
          <w:pgSz w:w="11900" w:h="16838" w:orient="portrait"/>
          <w:cols w:equalWidth="0" w:num="1">
            <w:col w:w="11300"/>
          </w:cols>
          <w:pgMar w:left="300" w:top="133" w:right="299" w:bottom="0" w:gutter="0" w:footer="0" w:header="0"/>
        </w:sectPr>
      </w:pPr>
    </w:p>
    <w:bookmarkStart w:id="592" w:name="page593"/>
    <w:bookmarkEnd w:id="59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75</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Global Ship Lease 82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Cypress (delivered January 9, 2026))</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76</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Global Ship Lease 83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Inactive</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77</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Global Ship Lease 84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Inactive</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78</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Arcadia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Arcadia</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79</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Dorothea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Dorothea</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80</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KALAMATA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Sub-holding</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81</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KITHIRA HOLDING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Sub-holding</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82</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Maria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Maria</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83</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Melita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Melita</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84</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MYNY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MYNY</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85</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Tegea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Tegea</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86</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GSL Violetta LLC</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Owns GSL Violetta</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rPr>
              <w:t>Liberia</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87</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Global Ship Lease 20 Limited</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Inactive</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95"/>
              </w:rPr>
              <w:t>Hong Kong</w:t>
            </w:r>
          </w:p>
        </w:tc>
      </w:tr>
      <w:tr>
        <w:trPr>
          <w:trHeight w:val="216"/>
        </w:trPr>
        <w:tc>
          <w:tcPr>
            <w:tcW w:w="28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82"/>
              </w:rPr>
              <w:t>88</w:t>
            </w:r>
          </w:p>
        </w:tc>
        <w:tc>
          <w:tcPr>
            <w:tcW w:w="316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Global Ship Lease 21 Limited</w:t>
            </w:r>
          </w:p>
        </w:tc>
        <w:tc>
          <w:tcPr>
            <w:tcW w:w="4260" w:type="dxa"/>
            <w:vAlign w:val="bottom"/>
          </w:tcPr>
          <w:p>
            <w:pPr>
              <w:ind w:left="1420"/>
              <w:spacing w:after="0"/>
              <w:rPr>
                <w:sz w:val="20"/>
                <w:szCs w:val="20"/>
                <w:color w:val="auto"/>
              </w:rPr>
            </w:pPr>
            <w:r>
              <w:rPr>
                <w:rFonts w:ascii="Times New Roman" w:cs="Times New Roman" w:eastAsia="Times New Roman" w:hAnsi="Times New Roman"/>
                <w:sz w:val="12"/>
                <w:szCs w:val="12"/>
                <w:color w:val="auto"/>
              </w:rPr>
              <w:t>Inactive</w:t>
            </w:r>
          </w:p>
        </w:tc>
        <w:tc>
          <w:tcPr>
            <w:tcW w:w="1340" w:type="dxa"/>
            <w:vAlign w:val="bottom"/>
          </w:tcPr>
          <w:p>
            <w:pPr>
              <w:ind w:left="780"/>
              <w:spacing w:after="0"/>
              <w:rPr>
                <w:sz w:val="20"/>
                <w:szCs w:val="20"/>
                <w:color w:val="auto"/>
              </w:rPr>
            </w:pPr>
            <w:r>
              <w:rPr>
                <w:rFonts w:ascii="Times New Roman" w:cs="Times New Roman" w:eastAsia="Times New Roman" w:hAnsi="Times New Roman"/>
                <w:sz w:val="12"/>
                <w:szCs w:val="12"/>
                <w:color w:val="auto"/>
                <w:w w:val="95"/>
              </w:rPr>
              <w:t>Hong Kong</w:t>
            </w:r>
          </w:p>
        </w:tc>
      </w:tr>
    </w:tbl>
    <w:p>
      <w:pPr>
        <w:spacing w:after="0" w:line="16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2"/>
          <w:szCs w:val="12"/>
          <w:i w:val="1"/>
          <w:iCs w:val="1"/>
          <w:color w:val="auto"/>
        </w:rPr>
        <w:t>(1)  Currently, under a sale and leaseback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194945</wp:posOffset>
            </wp:positionV>
            <wp:extent cx="7178040" cy="571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0159"/>
          </w:cols>
          <w:pgMar w:left="300" w:top="128" w:right="1440" w:bottom="1440" w:gutter="0" w:footer="0" w:header="0"/>
        </w:sectPr>
      </w:pPr>
    </w:p>
    <w:bookmarkStart w:id="593" w:name="page594"/>
    <w:bookmarkEnd w:id="59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94" w:name="page595"/>
    <w:bookmarkEnd w:id="594"/>
    <w:p>
      <w:pPr>
        <w:jc w:val="right"/>
        <w:spacing w:after="0"/>
        <w:rPr>
          <w:sz w:val="20"/>
          <w:szCs w:val="20"/>
          <w:color w:val="auto"/>
        </w:rPr>
      </w:pPr>
      <w:r>
        <w:rPr>
          <w:rFonts w:ascii="Times New Roman" w:cs="Times New Roman" w:eastAsia="Times New Roman" w:hAnsi="Times New Roman"/>
          <w:sz w:val="12"/>
          <w:szCs w:val="12"/>
          <w:b w:val="1"/>
          <w:bCs w:val="1"/>
          <w:color w:val="auto"/>
        </w:rPr>
        <w:t>Exhibit 12.1</w:t>
      </w: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I, Thomas Lister, Chief Executive Officer of the Company, certify that:</w:t>
      </w:r>
    </w:p>
    <w:p>
      <w:pPr>
        <w:spacing w:after="0" w:line="159" w:lineRule="exact"/>
        <w:rPr>
          <w:sz w:val="20"/>
          <w:szCs w:val="20"/>
          <w:color w:val="auto"/>
        </w:rPr>
      </w:pPr>
    </w:p>
    <w:p>
      <w:pPr>
        <w:ind w:left="300" w:hanging="254"/>
        <w:spacing w:after="0"/>
        <w:tabs>
          <w:tab w:leader="none" w:pos="300" w:val="left"/>
        </w:tabs>
        <w:numPr>
          <w:ilvl w:val="0"/>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Global Ship Lease, Inc.;</w:t>
      </w:r>
    </w:p>
    <w:p>
      <w:pPr>
        <w:spacing w:after="0" w:line="150" w:lineRule="exact"/>
        <w:rPr>
          <w:rFonts w:ascii="Times New Roman" w:cs="Times New Roman" w:eastAsia="Times New Roman" w:hAnsi="Times New Roman"/>
          <w:sz w:val="12"/>
          <w:szCs w:val="12"/>
          <w:color w:val="auto"/>
        </w:rPr>
      </w:pPr>
    </w:p>
    <w:p>
      <w:pPr>
        <w:ind w:left="300" w:right="360" w:hanging="254"/>
        <w:spacing w:after="0" w:line="295" w:lineRule="auto"/>
        <w:tabs>
          <w:tab w:leader="none" w:pos="300" w:val="left"/>
        </w:tabs>
        <w:numPr>
          <w:ilvl w:val="0"/>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2"/>
          <w:szCs w:val="12"/>
          <w:color w:val="auto"/>
        </w:rPr>
      </w:pPr>
    </w:p>
    <w:p>
      <w:pPr>
        <w:ind w:left="300" w:right="380" w:hanging="254"/>
        <w:spacing w:after="0" w:line="279" w:lineRule="auto"/>
        <w:tabs>
          <w:tab w:leader="none" w:pos="300" w:val="left"/>
        </w:tabs>
        <w:numPr>
          <w:ilvl w:val="0"/>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00" w:right="560" w:hanging="254"/>
        <w:spacing w:after="0" w:line="279" w:lineRule="auto"/>
        <w:tabs>
          <w:tab w:leader="none" w:pos="300" w:val="left"/>
        </w:tabs>
        <w:numPr>
          <w:ilvl w:val="0"/>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0" w:lineRule="exact"/>
        <w:rPr>
          <w:rFonts w:ascii="Times New Roman" w:cs="Times New Roman" w:eastAsia="Times New Roman" w:hAnsi="Times New Roman"/>
          <w:sz w:val="12"/>
          <w:szCs w:val="12"/>
          <w:color w:val="auto"/>
        </w:rPr>
      </w:pPr>
    </w:p>
    <w:p>
      <w:pPr>
        <w:ind w:left="580" w:right="540" w:hanging="264"/>
        <w:spacing w:after="0" w:line="279" w:lineRule="auto"/>
        <w:tabs>
          <w:tab w:leader="none" w:pos="580" w:val="left"/>
        </w:tabs>
        <w:numPr>
          <w:ilvl w:val="1"/>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80" w:right="260" w:hanging="264"/>
        <w:spacing w:after="0" w:line="279" w:lineRule="auto"/>
        <w:tabs>
          <w:tab w:leader="none" w:pos="580" w:val="left"/>
        </w:tabs>
        <w:numPr>
          <w:ilvl w:val="1"/>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2"/>
          <w:szCs w:val="12"/>
          <w:color w:val="auto"/>
        </w:rPr>
      </w:pPr>
    </w:p>
    <w:p>
      <w:pPr>
        <w:ind w:left="580" w:right="300" w:hanging="264"/>
        <w:spacing w:after="0" w:line="279" w:lineRule="auto"/>
        <w:tabs>
          <w:tab w:leader="none" w:pos="580" w:val="left"/>
        </w:tabs>
        <w:numPr>
          <w:ilvl w:val="1"/>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580" w:right="240" w:hanging="264"/>
        <w:spacing w:after="0" w:line="279" w:lineRule="auto"/>
        <w:tabs>
          <w:tab w:leader="none" w:pos="580" w:val="left"/>
        </w:tabs>
        <w:numPr>
          <w:ilvl w:val="1"/>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0" w:lineRule="exact"/>
        <w:rPr>
          <w:rFonts w:ascii="Times New Roman" w:cs="Times New Roman" w:eastAsia="Times New Roman" w:hAnsi="Times New Roman"/>
          <w:sz w:val="12"/>
          <w:szCs w:val="12"/>
          <w:color w:val="auto"/>
        </w:rPr>
      </w:pPr>
    </w:p>
    <w:p>
      <w:pPr>
        <w:ind w:left="300" w:right="380" w:hanging="254"/>
        <w:spacing w:after="0" w:line="279" w:lineRule="auto"/>
        <w:tabs>
          <w:tab w:leader="none" w:pos="300" w:val="left"/>
        </w:tabs>
        <w:numPr>
          <w:ilvl w:val="0"/>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580" w:right="660" w:hanging="264"/>
        <w:spacing w:after="0" w:line="279" w:lineRule="auto"/>
        <w:tabs>
          <w:tab w:leader="none" w:pos="580" w:val="left"/>
        </w:tabs>
        <w:numPr>
          <w:ilvl w:val="1"/>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1"/>
          <w:numId w:val="105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58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Dated: March 16, 2026</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Thomas A. Lister</w:t>
            </w:r>
          </w:p>
        </w:tc>
      </w:tr>
      <w:tr>
        <w:trPr>
          <w:trHeight w:val="122"/>
        </w:trPr>
        <w:tc>
          <w:tcPr>
            <w:tcW w:w="45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Thomas A. Lister</w:t>
            </w:r>
          </w:p>
        </w:tc>
      </w:tr>
      <w:tr>
        <w:trPr>
          <w:trHeight w:val="144"/>
        </w:trPr>
        <w:tc>
          <w:tcPr>
            <w:tcW w:w="458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58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r>
        <w:trPr>
          <w:trHeight w:val="360"/>
        </w:trPr>
        <w:tc>
          <w:tcPr>
            <w:tcW w:w="458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124" w:right="299" w:bottom="1440" w:gutter="0" w:footer="0" w:header="0"/>
        </w:sectPr>
      </w:pPr>
    </w:p>
    <w:bookmarkStart w:id="595" w:name="page596"/>
    <w:bookmarkEnd w:id="5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96" w:name="page597"/>
    <w:bookmarkEnd w:id="596"/>
    <w:p>
      <w:pPr>
        <w:jc w:val="right"/>
        <w:spacing w:after="0"/>
        <w:rPr>
          <w:sz w:val="20"/>
          <w:szCs w:val="20"/>
          <w:color w:val="auto"/>
        </w:rPr>
      </w:pPr>
      <w:r>
        <w:rPr>
          <w:rFonts w:ascii="Times New Roman" w:cs="Times New Roman" w:eastAsia="Times New Roman" w:hAnsi="Times New Roman"/>
          <w:sz w:val="12"/>
          <w:szCs w:val="12"/>
          <w:b w:val="1"/>
          <w:bCs w:val="1"/>
          <w:color w:val="auto"/>
        </w:rPr>
        <w:t>Exhibit 12.2</w:t>
      </w:r>
    </w:p>
    <w:p>
      <w:pPr>
        <w:spacing w:after="0" w:line="15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2"/>
          <w:szCs w:val="12"/>
          <w:color w:val="auto"/>
        </w:rPr>
        <w:t>I, Anastasios Psaropoulos, Chief Financial Officer of the Company, certify that:</w:t>
      </w:r>
    </w:p>
    <w:p>
      <w:pPr>
        <w:spacing w:after="0" w:line="150" w:lineRule="exact"/>
        <w:rPr>
          <w:sz w:val="20"/>
          <w:szCs w:val="20"/>
          <w:color w:val="auto"/>
        </w:rPr>
      </w:pPr>
    </w:p>
    <w:p>
      <w:pPr>
        <w:ind w:left="328" w:hanging="328"/>
        <w:spacing w:after="0"/>
        <w:tabs>
          <w:tab w:leader="none" w:pos="328" w:val="left"/>
        </w:tabs>
        <w:numPr>
          <w:ilvl w:val="0"/>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20-F of Global Ship Lease, Inc.;</w:t>
      </w:r>
    </w:p>
    <w:p>
      <w:pPr>
        <w:spacing w:after="0" w:line="150" w:lineRule="exact"/>
        <w:rPr>
          <w:rFonts w:ascii="Times New Roman" w:cs="Times New Roman" w:eastAsia="Times New Roman" w:hAnsi="Times New Roman"/>
          <w:sz w:val="12"/>
          <w:szCs w:val="12"/>
          <w:color w:val="auto"/>
        </w:rPr>
      </w:pPr>
    </w:p>
    <w:p>
      <w:pPr>
        <w:ind w:left="328" w:right="80" w:hanging="328"/>
        <w:spacing w:after="0" w:line="279" w:lineRule="auto"/>
        <w:tabs>
          <w:tab w:leader="none" w:pos="328" w:val="left"/>
        </w:tabs>
        <w:numPr>
          <w:ilvl w:val="0"/>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2"/>
          <w:szCs w:val="12"/>
          <w:color w:val="auto"/>
        </w:rPr>
      </w:pPr>
    </w:p>
    <w:p>
      <w:pPr>
        <w:ind w:left="328" w:hanging="328"/>
        <w:spacing w:after="0" w:line="279" w:lineRule="auto"/>
        <w:tabs>
          <w:tab w:leader="none" w:pos="328" w:val="left"/>
        </w:tabs>
        <w:numPr>
          <w:ilvl w:val="0"/>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1" w:lineRule="exact"/>
        <w:rPr>
          <w:rFonts w:ascii="Times New Roman" w:cs="Times New Roman" w:eastAsia="Times New Roman" w:hAnsi="Times New Roman"/>
          <w:sz w:val="12"/>
          <w:szCs w:val="12"/>
          <w:color w:val="auto"/>
        </w:rPr>
      </w:pPr>
    </w:p>
    <w:p>
      <w:pPr>
        <w:ind w:left="328" w:right="100" w:hanging="328"/>
        <w:spacing w:after="0" w:line="279" w:lineRule="auto"/>
        <w:tabs>
          <w:tab w:leader="none" w:pos="328" w:val="left"/>
        </w:tabs>
        <w:numPr>
          <w:ilvl w:val="0"/>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1" w:lineRule="exact"/>
        <w:rPr>
          <w:rFonts w:ascii="Times New Roman" w:cs="Times New Roman" w:eastAsia="Times New Roman" w:hAnsi="Times New Roman"/>
          <w:sz w:val="12"/>
          <w:szCs w:val="12"/>
          <w:color w:val="auto"/>
        </w:rPr>
      </w:pPr>
    </w:p>
    <w:p>
      <w:pPr>
        <w:ind w:left="548" w:right="580" w:hanging="224"/>
        <w:spacing w:after="0" w:line="279" w:lineRule="auto"/>
        <w:tabs>
          <w:tab w:leader="none" w:pos="548" w:val="left"/>
        </w:tabs>
        <w:numPr>
          <w:ilvl w:val="1"/>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2"/>
          <w:szCs w:val="12"/>
          <w:color w:val="auto"/>
        </w:rPr>
      </w:pPr>
    </w:p>
    <w:p>
      <w:pPr>
        <w:ind w:left="548" w:right="320" w:hanging="224"/>
        <w:spacing w:after="0" w:line="279" w:lineRule="auto"/>
        <w:tabs>
          <w:tab w:leader="none" w:pos="548" w:val="left"/>
        </w:tabs>
        <w:numPr>
          <w:ilvl w:val="1"/>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2"/>
          <w:szCs w:val="12"/>
          <w:color w:val="auto"/>
        </w:rPr>
      </w:pPr>
    </w:p>
    <w:p>
      <w:pPr>
        <w:ind w:left="548" w:right="340" w:hanging="224"/>
        <w:spacing w:after="0" w:line="279" w:lineRule="auto"/>
        <w:tabs>
          <w:tab w:leader="none" w:pos="548" w:val="left"/>
        </w:tabs>
        <w:numPr>
          <w:ilvl w:val="1"/>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2"/>
          <w:szCs w:val="12"/>
          <w:color w:val="auto"/>
        </w:rPr>
      </w:pPr>
    </w:p>
    <w:p>
      <w:pPr>
        <w:ind w:left="548" w:right="300" w:hanging="224"/>
        <w:spacing w:after="0" w:line="279" w:lineRule="auto"/>
        <w:tabs>
          <w:tab w:leader="none" w:pos="548" w:val="left"/>
        </w:tabs>
        <w:numPr>
          <w:ilvl w:val="1"/>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1" w:lineRule="exact"/>
        <w:rPr>
          <w:rFonts w:ascii="Times New Roman" w:cs="Times New Roman" w:eastAsia="Times New Roman" w:hAnsi="Times New Roman"/>
          <w:sz w:val="12"/>
          <w:szCs w:val="12"/>
          <w:color w:val="auto"/>
        </w:rPr>
      </w:pPr>
    </w:p>
    <w:p>
      <w:pPr>
        <w:ind w:left="328" w:right="380" w:hanging="328"/>
        <w:spacing w:after="0" w:line="279" w:lineRule="auto"/>
        <w:tabs>
          <w:tab w:leader="none" w:pos="328" w:val="left"/>
        </w:tabs>
        <w:numPr>
          <w:ilvl w:val="0"/>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1" w:lineRule="exact"/>
        <w:rPr>
          <w:rFonts w:ascii="Times New Roman" w:cs="Times New Roman" w:eastAsia="Times New Roman" w:hAnsi="Times New Roman"/>
          <w:sz w:val="12"/>
          <w:szCs w:val="12"/>
          <w:color w:val="auto"/>
        </w:rPr>
      </w:pPr>
    </w:p>
    <w:p>
      <w:pPr>
        <w:ind w:left="548" w:right="160" w:hanging="224"/>
        <w:spacing w:after="0" w:line="279" w:lineRule="auto"/>
        <w:tabs>
          <w:tab w:leader="none" w:pos="548" w:val="left"/>
        </w:tabs>
        <w:numPr>
          <w:ilvl w:val="1"/>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1" w:lineRule="exact"/>
        <w:rPr>
          <w:rFonts w:ascii="Times New Roman" w:cs="Times New Roman" w:eastAsia="Times New Roman" w:hAnsi="Times New Roman"/>
          <w:sz w:val="12"/>
          <w:szCs w:val="12"/>
          <w:color w:val="auto"/>
        </w:rPr>
      </w:pPr>
    </w:p>
    <w:p>
      <w:pPr>
        <w:ind w:left="548" w:hanging="224"/>
        <w:spacing w:after="0"/>
        <w:tabs>
          <w:tab w:leader="none" w:pos="548" w:val="left"/>
        </w:tabs>
        <w:numPr>
          <w:ilvl w:val="1"/>
          <w:numId w:val="105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company’s internal control over financial reporting.</w:t>
      </w:r>
    </w:p>
    <w:p>
      <w:pPr>
        <w:spacing w:after="0" w:line="294"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450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16, 2026</w:t>
            </w:r>
          </w:p>
        </w:tc>
        <w:tc>
          <w:tcPr>
            <w:tcW w:w="6800" w:type="dxa"/>
            <w:vAlign w:val="bottom"/>
            <w:gridSpan w:val="2"/>
          </w:tcPr>
          <w:p>
            <w:pPr>
              <w:ind w:left="3420"/>
              <w:spacing w:after="0"/>
              <w:rPr>
                <w:sz w:val="20"/>
                <w:szCs w:val="20"/>
                <w:color w:val="auto"/>
              </w:rPr>
            </w:pPr>
            <w:r>
              <w:rPr>
                <w:rFonts w:ascii="Times New Roman" w:cs="Times New Roman" w:eastAsia="Times New Roman" w:hAnsi="Times New Roman"/>
                <w:sz w:val="12"/>
                <w:szCs w:val="12"/>
                <w:color w:val="auto"/>
              </w:rPr>
              <w:t>By: /s/ Anastasios Psaropoulos</w:t>
            </w:r>
          </w:p>
        </w:tc>
      </w:tr>
      <w:tr>
        <w:trPr>
          <w:trHeight w:val="122"/>
        </w:trPr>
        <w:tc>
          <w:tcPr>
            <w:tcW w:w="450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Anastasios Psaropoulos</w:t>
            </w:r>
          </w:p>
        </w:tc>
      </w:tr>
      <w:tr>
        <w:trPr>
          <w:trHeight w:val="144"/>
        </w:trPr>
        <w:tc>
          <w:tcPr>
            <w:tcW w:w="45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50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bl>
    <w:p>
      <w:pPr>
        <w:sectPr>
          <w:pgSz w:w="11900" w:h="16838" w:orient="portrait"/>
          <w:cols w:equalWidth="0" w:num="1">
            <w:col w:w="11308"/>
          </w:cols>
          <w:pgMar w:left="292" w:top="124" w:right="299" w:bottom="1440" w:gutter="0" w:footer="0" w:header="0"/>
        </w:sectPr>
      </w:pPr>
    </w:p>
    <w:bookmarkStart w:id="597" w:name="page598"/>
    <w:bookmarkEnd w:id="597"/>
    <w:p>
      <w:pPr>
        <w:jc w:val="right"/>
        <w:spacing w:after="0"/>
        <w:rPr>
          <w:sz w:val="20"/>
          <w:szCs w:val="20"/>
          <w:color w:val="auto"/>
        </w:rPr>
      </w:pPr>
      <w:r>
        <w:rPr>
          <w:rFonts w:ascii="Times New Roman" w:cs="Times New Roman" w:eastAsia="Times New Roman" w:hAnsi="Times New Roman"/>
          <w:sz w:val="12"/>
          <w:szCs w:val="12"/>
          <w:b w:val="1"/>
          <w:bCs w:val="1"/>
          <w:color w:val="auto"/>
        </w:rPr>
        <w:t>Exhibit 13.1</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15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280"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Global Ship Lease, Inc. (the “Company”) on Form 20-F for the year ended December 31, 2025 as filed with the Securities and Exchange Commission on the date hereof (the “Form 20-F”), I, Thomas A. Lister, Chief Executive Officer of the Company, certify, pursuant to 18 U.S.C.§1350, as adopted pursuant to §906 of the Sarbanes-Oxley Act of 2002, that:</w:t>
      </w:r>
    </w:p>
    <w:p>
      <w:pPr>
        <w:spacing w:after="0" w:line="111" w:lineRule="exact"/>
        <w:rPr>
          <w:sz w:val="20"/>
          <w:szCs w:val="20"/>
          <w:color w:val="auto"/>
        </w:rPr>
      </w:pPr>
    </w:p>
    <w:p>
      <w:pPr>
        <w:ind w:left="580" w:hanging="264"/>
        <w:spacing w:after="0"/>
        <w:tabs>
          <w:tab w:leader="none" w:pos="580" w:val="left"/>
        </w:tabs>
        <w:numPr>
          <w:ilvl w:val="0"/>
          <w:numId w:val="10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20-F fully complies with the requirements of Section 13(a) or 15(d) of the Securities Exchange Act of 1934 (15 U.S.C. 78m or 78o(d)); and</w:t>
      </w:r>
    </w:p>
    <w:p>
      <w:pPr>
        <w:spacing w:after="0" w:line="15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0"/>
          <w:numId w:val="105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20-F fairly presents, in all material respects, the financial condition and results of operations of the Company.</w:t>
      </w:r>
    </w:p>
    <w:p>
      <w:pPr>
        <w:spacing w:after="0" w:line="294"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16, 2026</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Thomas A. Lister</w:t>
            </w:r>
          </w:p>
        </w:tc>
      </w:tr>
      <w:tr>
        <w:trPr>
          <w:trHeight w:val="122"/>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Thomas A. Lister</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Executive Officer</w:t>
            </w:r>
          </w:p>
        </w:tc>
      </w:tr>
      <w:tr>
        <w:trPr>
          <w:trHeight w:val="155"/>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Executive Officer)</w:t>
            </w:r>
          </w:p>
        </w:tc>
      </w:tr>
    </w:tbl>
    <w:p>
      <w:pPr>
        <w:sectPr>
          <w:pgSz w:w="11900" w:h="16838" w:orient="portrait"/>
          <w:cols w:equalWidth="0" w:num="1">
            <w:col w:w="11300"/>
          </w:cols>
          <w:pgMar w:left="300" w:top="277" w:right="299" w:bottom="1440" w:gutter="0" w:footer="0" w:header="0"/>
        </w:sectPr>
      </w:pPr>
    </w:p>
    <w:bookmarkStart w:id="598" w:name="page599"/>
    <w:bookmarkEnd w:id="598"/>
    <w:p>
      <w:pPr>
        <w:jc w:val="right"/>
        <w:spacing w:after="0"/>
        <w:rPr>
          <w:sz w:val="20"/>
          <w:szCs w:val="20"/>
          <w:color w:val="auto"/>
        </w:rPr>
      </w:pPr>
      <w:r>
        <w:rPr>
          <w:rFonts w:ascii="Times New Roman" w:cs="Times New Roman" w:eastAsia="Times New Roman" w:hAnsi="Times New Roman"/>
          <w:sz w:val="12"/>
          <w:szCs w:val="12"/>
          <w:b w:val="1"/>
          <w:bCs w:val="1"/>
          <w:color w:val="auto"/>
        </w:rPr>
        <w:t>Exhibit 13.2</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150"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2"/>
          <w:szCs w:val="12"/>
          <w:b w:val="1"/>
          <w:bCs w:val="1"/>
          <w:color w:val="auto"/>
        </w:rPr>
        <w:t>AS ADOPTED PURSUANT TO SECTION 906</w:t>
      </w:r>
    </w:p>
    <w:p>
      <w:pPr>
        <w:spacing w:after="0" w:line="15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OF THE SARBANES-OXLEY ACT OF 2002</w:t>
      </w:r>
    </w:p>
    <w:p>
      <w:pPr>
        <w:spacing w:after="0" w:line="280" w:lineRule="exact"/>
        <w:rPr>
          <w:sz w:val="20"/>
          <w:szCs w:val="20"/>
          <w:color w:val="auto"/>
        </w:rPr>
      </w:pPr>
    </w:p>
    <w:p>
      <w:pPr>
        <w:ind w:firstLine="240"/>
        <w:spacing w:after="0" w:line="279" w:lineRule="auto"/>
        <w:rPr>
          <w:sz w:val="20"/>
          <w:szCs w:val="20"/>
          <w:color w:val="auto"/>
        </w:rPr>
      </w:pPr>
      <w:r>
        <w:rPr>
          <w:rFonts w:ascii="Times New Roman" w:cs="Times New Roman" w:eastAsia="Times New Roman" w:hAnsi="Times New Roman"/>
          <w:sz w:val="12"/>
          <w:szCs w:val="12"/>
          <w:color w:val="auto"/>
        </w:rPr>
        <w:t>In connection with the Annual Report of Global Ship Lease, Inc. (the “Company”) on Form 20-F for the year ended December 31, 2025 as filed with the Securities and Exchange Commission on the date hereof (the “Form 20-F”), I, Anastasios Psaropoulos, Chief Financial Officer of the Company, certify, pursuant to 18U.S.C. §1350, as adopted pursuant to §906 of the Sarbanes-Oxley Act of 2002, that:</w:t>
      </w:r>
    </w:p>
    <w:p>
      <w:pPr>
        <w:spacing w:after="0" w:line="111" w:lineRule="exact"/>
        <w:rPr>
          <w:sz w:val="20"/>
          <w:szCs w:val="20"/>
          <w:color w:val="auto"/>
        </w:rPr>
      </w:pPr>
    </w:p>
    <w:p>
      <w:pPr>
        <w:ind w:left="580" w:hanging="264"/>
        <w:spacing w:after="0"/>
        <w:tabs>
          <w:tab w:leader="none" w:pos="580" w:val="left"/>
        </w:tabs>
        <w:numPr>
          <w:ilvl w:val="0"/>
          <w:numId w:val="10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Form 20-F fully complies with the requirements of Section 13(a) or 15(d) of the Securities Exchange Act of 1934 (15 U.S.C. 78m or 78o(d)); and</w:t>
      </w:r>
    </w:p>
    <w:p>
      <w:pPr>
        <w:spacing w:after="0" w:line="150" w:lineRule="exact"/>
        <w:rPr>
          <w:rFonts w:ascii="Times New Roman" w:cs="Times New Roman" w:eastAsia="Times New Roman" w:hAnsi="Times New Roman"/>
          <w:sz w:val="12"/>
          <w:szCs w:val="12"/>
          <w:color w:val="auto"/>
        </w:rPr>
      </w:pPr>
    </w:p>
    <w:p>
      <w:pPr>
        <w:ind w:left="580" w:hanging="264"/>
        <w:spacing w:after="0"/>
        <w:tabs>
          <w:tab w:leader="none" w:pos="580" w:val="left"/>
        </w:tabs>
        <w:numPr>
          <w:ilvl w:val="0"/>
          <w:numId w:val="106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Form 20-F fairly presents, in all material respects, the financial condition and results of operations of the Company.</w:t>
      </w:r>
    </w:p>
    <w:p>
      <w:pPr>
        <w:spacing w:after="0" w:line="294" w:lineRule="exact"/>
        <w:rPr>
          <w:sz w:val="20"/>
          <w:szCs w:val="20"/>
          <w:color w:val="auto"/>
        </w:rPr>
      </w:pPr>
    </w:p>
    <w:tbl>
      <w:tblPr>
        <w:tblLayout w:type="fixed"/>
        <w:tblInd w:w="140" w:type="dxa"/>
        <w:tblCellMar>
          <w:top w:w="0" w:type="dxa"/>
          <w:left w:w="0" w:type="dxa"/>
          <w:bottom w:w="0" w:type="dxa"/>
          <w:right w:w="0" w:type="dxa"/>
        </w:tblCellMar>
      </w:tblPr>
      <w:tr>
        <w:trPr>
          <w:trHeight w:val="155"/>
        </w:trPr>
        <w:tc>
          <w:tcPr>
            <w:tcW w:w="4440" w:type="dxa"/>
            <w:vAlign w:val="bottom"/>
          </w:tcPr>
          <w:p>
            <w:pPr>
              <w:spacing w:after="0"/>
              <w:rPr>
                <w:sz w:val="20"/>
                <w:szCs w:val="20"/>
                <w:color w:val="auto"/>
              </w:rPr>
            </w:pPr>
            <w:r>
              <w:rPr>
                <w:rFonts w:ascii="Times New Roman" w:cs="Times New Roman" w:eastAsia="Times New Roman" w:hAnsi="Times New Roman"/>
                <w:sz w:val="12"/>
                <w:szCs w:val="12"/>
                <w:color w:val="auto"/>
              </w:rPr>
              <w:t>Dated: March 16, 2026</w:t>
            </w:r>
          </w:p>
        </w:tc>
        <w:tc>
          <w:tcPr>
            <w:tcW w:w="6720" w:type="dxa"/>
            <w:vAlign w:val="bottom"/>
            <w:gridSpan w:val="2"/>
          </w:tcPr>
          <w:p>
            <w:pPr>
              <w:ind w:left="3340"/>
              <w:spacing w:after="0"/>
              <w:rPr>
                <w:sz w:val="20"/>
                <w:szCs w:val="20"/>
                <w:color w:val="auto"/>
              </w:rPr>
            </w:pPr>
            <w:r>
              <w:rPr>
                <w:rFonts w:ascii="Times New Roman" w:cs="Times New Roman" w:eastAsia="Times New Roman" w:hAnsi="Times New Roman"/>
                <w:sz w:val="12"/>
                <w:szCs w:val="12"/>
                <w:color w:val="auto"/>
              </w:rPr>
              <w:t>By: /s/ Anastasios Psaropoulos</w:t>
            </w:r>
          </w:p>
        </w:tc>
      </w:tr>
      <w:tr>
        <w:trPr>
          <w:trHeight w:val="122"/>
        </w:trPr>
        <w:tc>
          <w:tcPr>
            <w:tcW w:w="444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316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Anastasios Psaropoulos</w:t>
            </w:r>
          </w:p>
        </w:tc>
      </w:tr>
      <w:tr>
        <w:trPr>
          <w:trHeight w:val="144"/>
        </w:trPr>
        <w:tc>
          <w:tcPr>
            <w:tcW w:w="444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r>
        <w:trPr>
          <w:trHeight w:val="155"/>
        </w:trPr>
        <w:tc>
          <w:tcPr>
            <w:tcW w:w="444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3160" w:type="dxa"/>
            <w:vAlign w:val="bottom"/>
          </w:tcPr>
          <w:p>
            <w:pPr>
              <w:spacing w:after="0"/>
              <w:rPr>
                <w:sz w:val="20"/>
                <w:szCs w:val="20"/>
                <w:color w:val="auto"/>
              </w:rPr>
            </w:pPr>
            <w:r>
              <w:rPr>
                <w:rFonts w:ascii="Times New Roman" w:cs="Times New Roman" w:eastAsia="Times New Roman" w:hAnsi="Times New Roman"/>
                <w:sz w:val="12"/>
                <w:szCs w:val="12"/>
                <w:color w:val="auto"/>
              </w:rPr>
              <w:t>(Principal Financial Officer)</w:t>
            </w:r>
          </w:p>
        </w:tc>
      </w:tr>
    </w:tbl>
    <w:p>
      <w:pPr>
        <w:sectPr>
          <w:pgSz w:w="11900" w:h="16838" w:orient="portrait"/>
          <w:cols w:equalWidth="0" w:num="1">
            <w:col w:w="11300"/>
          </w:cols>
          <w:pgMar w:left="300" w:top="232" w:right="299" w:bottom="1440" w:gutter="0" w:footer="0" w:header="0"/>
        </w:sectPr>
      </w:pPr>
    </w:p>
    <w:bookmarkStart w:id="599" w:name="page600"/>
    <w:bookmarkEnd w:id="599"/>
    <w:p>
      <w:pPr>
        <w:jc w:val="right"/>
        <w:spacing w:after="0"/>
        <w:rPr>
          <w:sz w:val="20"/>
          <w:szCs w:val="20"/>
          <w:color w:val="auto"/>
        </w:rPr>
      </w:pPr>
      <w:r>
        <w:rPr>
          <w:rFonts w:ascii="Times New Roman" w:cs="Times New Roman" w:eastAsia="Times New Roman" w:hAnsi="Times New Roman"/>
          <w:sz w:val="12"/>
          <w:szCs w:val="12"/>
          <w:b w:val="1"/>
          <w:bCs w:val="1"/>
          <w:color w:val="auto"/>
        </w:rPr>
        <w:t>Exhibit 15.1</w:t>
      </w:r>
    </w:p>
    <w:p>
      <w:pPr>
        <w:spacing w:after="0" w:line="25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color w:val="auto"/>
        </w:rPr>
        <w:t>CONSENT OF INDEPENDENT REGISTERED PUBLIC ACCOUNTING FIRM</w:t>
      </w:r>
    </w:p>
    <w:p>
      <w:pPr>
        <w:spacing w:after="0" w:line="150"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We hereby consent to the incorporation by reference in the Registration Statements on Form F-3 (Nos. 333-290461 and 333-231509) and Form S-8 (Nos. 333-264113 and 333-258992) of Global Ship Lease, Inc. of our report dated March 16, 2026 relating to the consolidated financial statements and the effectiveness of internal control over financial reporting, which appears in this Form 20-F.</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PricewaterhouseCoopers S.A.</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Greece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16, 2026</w:t>
      </w:r>
    </w:p>
    <w:p>
      <w:pPr>
        <w:sectPr>
          <w:pgSz w:w="11900" w:h="16838" w:orient="portrait"/>
          <w:cols w:equalWidth="0" w:num="1">
            <w:col w:w="11240"/>
          </w:cols>
          <w:pgMar w:left="360" w:top="124" w:right="299" w:bottom="1440" w:gutter="0" w:footer="0" w:header="0"/>
        </w:sectPr>
      </w:pPr>
    </w:p>
    <w:bookmarkStart w:id="600" w:name="page601"/>
    <w:bookmarkEnd w:id="600"/>
    <w:p>
      <w:pPr>
        <w:ind w:left="10680"/>
        <w:spacing w:after="0"/>
        <w:rPr>
          <w:sz w:val="20"/>
          <w:szCs w:val="20"/>
          <w:color w:val="auto"/>
        </w:rPr>
      </w:pPr>
      <w:r>
        <w:rPr>
          <w:rFonts w:ascii="Times New Roman" w:cs="Times New Roman" w:eastAsia="Times New Roman" w:hAnsi="Times New Roman"/>
          <w:sz w:val="11"/>
          <w:szCs w:val="11"/>
          <w:b w:val="1"/>
          <w:bCs w:val="1"/>
          <w:color w:val="auto"/>
        </w:rPr>
        <w:t>Exhibit 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123825</wp:posOffset>
            </wp:positionV>
            <wp:extent cx="571500" cy="41719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29">
                      <a:extLst>
                        <a:ext uri="{28A0092B-C50C-407E-A947-70E740481C1C}"/>
                      </a:extLst>
                    </a:blip>
                    <a:srcRect/>
                    <a:stretch>
                      <a:fillRect/>
                    </a:stretch>
                  </pic:blipFill>
                  <pic:spPr bwMode="auto">
                    <a:xfrm>
                      <a:off x="0" y="0"/>
                      <a:ext cx="571500" cy="41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 GSL Enterprises Ltd.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 Irodou Attikou Street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Athens 14561</w:t>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2"/>
          <w:szCs w:val="12"/>
          <w:color w:val="auto"/>
        </w:rPr>
        <w:t>March 12, 2026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Ladies and Gentlemen:</w:t>
      </w:r>
    </w:p>
    <w:p>
      <w:pPr>
        <w:spacing w:after="0" w:line="150" w:lineRule="exact"/>
        <w:rPr>
          <w:sz w:val="20"/>
          <w:szCs w:val="20"/>
          <w:color w:val="auto"/>
        </w:rPr>
      </w:pPr>
    </w:p>
    <w:p>
      <w:pPr>
        <w:jc w:val="both"/>
        <w:ind w:firstLine="432"/>
        <w:spacing w:after="0" w:line="257" w:lineRule="auto"/>
        <w:rPr>
          <w:sz w:val="20"/>
          <w:szCs w:val="20"/>
          <w:color w:val="auto"/>
        </w:rPr>
      </w:pPr>
      <w:r>
        <w:rPr>
          <w:rFonts w:ascii="Times New Roman" w:cs="Times New Roman" w:eastAsia="Times New Roman" w:hAnsi="Times New Roman"/>
          <w:sz w:val="12"/>
          <w:szCs w:val="12"/>
          <w:color w:val="auto"/>
        </w:rPr>
        <w:t>Reference is made to the Annual Report on Form 20-F of Global Ship Lease,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for the year ended December 31, 2025 (the “</w:t>
      </w:r>
      <w:r>
        <w:rPr>
          <w:rFonts w:ascii="Times New Roman" w:cs="Times New Roman" w:eastAsia="Times New Roman" w:hAnsi="Times New Roman"/>
          <w:sz w:val="12"/>
          <w:szCs w:val="12"/>
          <w:u w:val="single" w:color="auto"/>
          <w:color w:val="auto"/>
        </w:rPr>
        <w:t>Annual Report</w:t>
      </w:r>
      <w:r>
        <w:rPr>
          <w:rFonts w:ascii="Times New Roman" w:cs="Times New Roman" w:eastAsia="Times New Roman" w:hAnsi="Times New Roman"/>
          <w:sz w:val="12"/>
          <w:szCs w:val="12"/>
          <w:color w:val="auto"/>
        </w:rPr>
        <w:t>”) and the registration statements on Form F-3 (File Nos. 333-231509 and 333-290461) and Form S-8 (File Nos. 333-258992 and 333-264113) of the Company, as may be amended, including the prospectuses contained therein (together, the “</w:t>
      </w:r>
      <w:r>
        <w:rPr>
          <w:rFonts w:ascii="Times New Roman" w:cs="Times New Roman" w:eastAsia="Times New Roman" w:hAnsi="Times New Roman"/>
          <w:sz w:val="12"/>
          <w:szCs w:val="12"/>
          <w:u w:val="single" w:color="auto"/>
          <w:color w:val="auto"/>
        </w:rPr>
        <w:t>Registration Statements</w:t>
      </w:r>
      <w:r>
        <w:rPr>
          <w:rFonts w:ascii="Times New Roman" w:cs="Times New Roman" w:eastAsia="Times New Roman" w:hAnsi="Times New Roman"/>
          <w:sz w:val="12"/>
          <w:szCs w:val="12"/>
          <w:color w:val="auto"/>
        </w:rPr>
        <w:t>”). We hereby consent to all references to our name in the Annual Report and to the use of the statistical information and industry and market data supplied by us as set forth in the Annual Report and to the incorporation by reference of the same into the Registration Statements. We further advise the Company that our role has been limited to the provision of such statistical information and industry and market data supplied by us. With respect to such information and data, we advise you that:</w:t>
      </w:r>
    </w:p>
    <w:p>
      <w:pPr>
        <w:spacing w:after="0" w:line="125" w:lineRule="exact"/>
        <w:rPr>
          <w:sz w:val="20"/>
          <w:szCs w:val="20"/>
          <w:color w:val="auto"/>
        </w:rPr>
      </w:pPr>
    </w:p>
    <w:p>
      <w:pPr>
        <w:ind w:left="600" w:hanging="176"/>
        <w:spacing w:after="0"/>
        <w:tabs>
          <w:tab w:leader="none" w:pos="600" w:val="left"/>
        </w:tabs>
        <w:numPr>
          <w:ilvl w:val="0"/>
          <w:numId w:val="10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accurately described the information and data of the container shipping industry, subject to the availability and reliability of the data supporting the statistical and graphical information presented; and</w:t>
      </w:r>
    </w:p>
    <w:p>
      <w:pPr>
        <w:spacing w:after="0" w:line="150" w:lineRule="exact"/>
        <w:rPr>
          <w:rFonts w:ascii="Times New Roman" w:cs="Times New Roman" w:eastAsia="Times New Roman" w:hAnsi="Times New Roman"/>
          <w:sz w:val="12"/>
          <w:szCs w:val="12"/>
          <w:color w:val="auto"/>
        </w:rPr>
      </w:pPr>
    </w:p>
    <w:p>
      <w:pPr>
        <w:ind w:left="600" w:hanging="176"/>
        <w:spacing w:after="0"/>
        <w:tabs>
          <w:tab w:leader="none" w:pos="600" w:val="left"/>
        </w:tabs>
        <w:numPr>
          <w:ilvl w:val="0"/>
          <w:numId w:val="106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methodologies for collecting information and data may differ from those of other sources and does not reflect all or even necessarily a comprehensive set of the actual transactions occurring in the container shipping</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industry.</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We hereby consent to the filing of this letter as an exhibit to the Annual Report, which is incorporated by reference into the Registration Statements.</w:t>
      </w:r>
    </w:p>
    <w:p>
      <w:pPr>
        <w:spacing w:after="0" w:line="1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Yours faithfully,</w:t>
      </w:r>
    </w:p>
    <w:p>
      <w:pPr>
        <w:spacing w:after="0" w:line="150"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2"/>
          <w:szCs w:val="12"/>
          <w:color w:val="auto"/>
        </w:rPr>
        <w:t>Maritime Strategies International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4932680</wp:posOffset>
            </wp:positionH>
            <wp:positionV relativeFrom="paragraph">
              <wp:posOffset>193675</wp:posOffset>
            </wp:positionV>
            <wp:extent cx="914400" cy="5715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30">
                      <a:extLst>
                        <a:ext uri="{28A0092B-C50C-407E-A947-70E740481C1C}"/>
                      </a:extLst>
                    </a:blip>
                    <a:srcRect/>
                    <a:stretch>
                      <a:fillRect/>
                    </a:stretch>
                  </pic:blipFill>
                  <pic:spPr bwMode="auto">
                    <a:xfrm>
                      <a:off x="0" y="0"/>
                      <a:ext cx="9144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left="5640"/>
        <w:spacing w:after="0"/>
        <w:rPr>
          <w:sz w:val="20"/>
          <w:szCs w:val="20"/>
          <w:color w:val="auto"/>
        </w:rPr>
      </w:pPr>
      <w:r>
        <w:rPr>
          <w:rFonts w:ascii="Times New Roman" w:cs="Times New Roman" w:eastAsia="Times New Roman" w:hAnsi="Times New Roman"/>
          <w:sz w:val="12"/>
          <w:szCs w:val="1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-85725</wp:posOffset>
            </wp:positionV>
            <wp:extent cx="3589020" cy="571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31">
                      <a:extLst>
                        <a:ext uri="{28A0092B-C50C-407E-A947-70E740481C1C}"/>
                      </a:extLst>
                    </a:blip>
                    <a:srcRect/>
                    <a:stretch>
                      <a:fillRect/>
                    </a:stretch>
                  </pic:blipFill>
                  <pic:spPr bwMode="auto">
                    <a:xfrm>
                      <a:off x="0" y="0"/>
                      <a:ext cx="3589020" cy="5715"/>
                    </a:xfrm>
                    <a:prstGeom prst="rect">
                      <a:avLst/>
                    </a:prstGeom>
                    <a:noFill/>
                  </pic:spPr>
                </pic:pic>
              </a:graphicData>
            </a:graphic>
          </wp:anchor>
        </w:drawing>
      </w:r>
    </w:p>
    <w:p>
      <w:pPr>
        <w:jc w:val="center"/>
        <w:ind w:left="5640"/>
        <w:spacing w:after="0"/>
        <w:rPr>
          <w:sz w:val="20"/>
          <w:szCs w:val="20"/>
          <w:color w:val="auto"/>
        </w:rPr>
      </w:pPr>
      <w:r>
        <w:rPr>
          <w:rFonts w:ascii="Times New Roman" w:cs="Times New Roman" w:eastAsia="Times New Roman" w:hAnsi="Times New Roman"/>
          <w:sz w:val="12"/>
          <w:szCs w:val="12"/>
          <w:color w:val="auto"/>
        </w:rPr>
        <w:t>Adam Kent</w:t>
      </w:r>
    </w:p>
    <w:p>
      <w:pPr>
        <w:sectPr>
          <w:pgSz w:w="11900" w:h="16838" w:orient="portrait"/>
          <w:cols w:equalWidth="0" w:num="1">
            <w:col w:w="11300"/>
          </w:cols>
          <w:pgMar w:left="300" w:top="268" w:right="299" w:bottom="1440" w:gutter="0" w:footer="0" w:header="0"/>
        </w:sectPr>
      </w:pPr>
    </w:p>
    <w:bookmarkStart w:id="601" w:name="page602"/>
    <w:bookmarkEnd w:id="601"/>
    <w:p>
      <w:pPr>
        <w:jc w:val="right"/>
        <w:spacing w:after="0"/>
        <w:rPr>
          <w:sz w:val="20"/>
          <w:szCs w:val="20"/>
          <w:color w:val="auto"/>
        </w:rPr>
      </w:pPr>
      <w:r>
        <w:rPr>
          <w:rFonts w:ascii="Times New Roman" w:cs="Times New Roman" w:eastAsia="Times New Roman" w:hAnsi="Times New Roman"/>
          <w:sz w:val="12"/>
          <w:szCs w:val="12"/>
          <w:b w:val="1"/>
          <w:bCs w:val="1"/>
          <w:color w:val="auto"/>
        </w:rPr>
        <w:t>Exhibit 15.3</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CONSENT OF WATSON FARLEY &amp; WILLIAMS LLP</w:t>
      </w:r>
    </w:p>
    <w:p>
      <w:pPr>
        <w:spacing w:after="0" w:line="154" w:lineRule="exact"/>
        <w:rPr>
          <w:sz w:val="20"/>
          <w:szCs w:val="20"/>
          <w:color w:val="auto"/>
        </w:rPr>
      </w:pPr>
    </w:p>
    <w:p>
      <w:pPr>
        <w:jc w:val="both"/>
        <w:ind w:firstLine="240"/>
        <w:spacing w:after="0" w:line="257" w:lineRule="auto"/>
        <w:rPr>
          <w:sz w:val="20"/>
          <w:szCs w:val="20"/>
          <w:color w:val="auto"/>
        </w:rPr>
      </w:pPr>
      <w:r>
        <w:rPr>
          <w:rFonts w:ascii="Times New Roman" w:cs="Times New Roman" w:eastAsia="Times New Roman" w:hAnsi="Times New Roman"/>
          <w:sz w:val="12"/>
          <w:szCs w:val="12"/>
          <w:color w:val="auto"/>
        </w:rPr>
        <w:t>Reference is made to the annual report on Form 20-F of Global Ship Lease, Inc. (the “Company”) for the year ended December 31, 2025 (the “Annual Report”) and the Registration Statements on Form F-3 (File Nos. 333-290461 and 333-231509) and Form S-8 (File Nos. 333-258992 and 333-264113) of the Company including the prospectuses contained therein (together, the “Registration Statements”). We hereby consent to (i) the filing of this letter as an exhibit to the Annual Report, which is incorporated by reference into the Registration Statements and (ii) each reference to us and the discussions of advice provided by us in the Annual Report under the section “Item 10. Additional Information—E. Taxation” and to the incorporation by reference of the same in the Registration Statements, in each case, without admitting we are “experts” within the meaning of the Securities Act of 1933, as amended, or the rules and regulations of the U.S. Securities and Exchange Commission promulgated thereunder with respect to any part of the Registration Statements.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Watson Farley &amp; Williams LLP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Watson Farley &amp; Williams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-86995</wp:posOffset>
            </wp:positionV>
            <wp:extent cx="2011680" cy="571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32">
                      <a:extLst>
                        <a:ext uri="{28A0092B-C50C-407E-A947-70E740481C1C}"/>
                      </a:extLst>
                    </a:blip>
                    <a:srcRect/>
                    <a:stretch>
                      <a:fillRect/>
                    </a:stretch>
                  </pic:blipFill>
                  <pic:spPr bwMode="auto">
                    <a:xfrm>
                      <a:off x="0" y="0"/>
                      <a:ext cx="2011680"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2"/>
          <w:szCs w:val="12"/>
          <w:color w:val="auto"/>
        </w:rPr>
        <w:t>New York, New York</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March 16, 2026</w:t>
      </w:r>
    </w:p>
    <w:sectPr>
      <w:pgSz w:w="11900" w:h="16838" w:orient="portrait"/>
      <w:cols w:equalWidth="0" w:num="1">
        <w:col w:w="11300"/>
      </w:cols>
      <w:pgMar w:left="300" w:top="124"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ADF331D"/>
    <w:multiLevelType w:val="hybridMultilevel"/>
    <w:lvl w:ilvl="0">
      <w:lvlJc w:val="left"/>
      <w:lvlText w:val="*"/>
      <w:numFmt w:val="bullet"/>
      <w:start w:val="1"/>
    </w:lvl>
  </w:abstractNum>
  <w:abstractNum w:abstractNumId="1">
    <w:nsid w:val="4D08A9E4"/>
    <w:multiLevelType w:val="hybridMultilevel"/>
    <w:lvl w:ilvl="0">
      <w:lvlJc w:val="left"/>
      <w:lvlText w:val="%1."/>
      <w:numFmt w:val="upperLetter"/>
      <w:start w:val="1"/>
    </w:lvl>
  </w:abstractNum>
  <w:abstractNum w:abstractNumId="2">
    <w:nsid w:val="6AF2BB3A"/>
    <w:multiLevelType w:val="hybridMultilevel"/>
    <w:lvl w:ilvl="0">
      <w:lvlJc w:val="left"/>
      <w:lvlText w:val="%1."/>
      <w:numFmt w:val="upperLetter"/>
      <w:start w:val="3"/>
    </w:lvl>
  </w:abstractNum>
  <w:abstractNum w:abstractNumId="3">
    <w:nsid w:val="481B1739"/>
    <w:multiLevelType w:val="hybridMultilevel"/>
    <w:lvl w:ilvl="0">
      <w:lvlJc w:val="left"/>
      <w:lvlText w:val="%1."/>
      <w:numFmt w:val="upperLetter"/>
      <w:start w:val="4"/>
    </w:lvl>
  </w:abstractNum>
  <w:abstractNum w:abstractNumId="4">
    <w:nsid w:val="19E2BFCC"/>
    <w:multiLevelType w:val="hybridMultilevel"/>
    <w:lvl w:ilvl="0">
      <w:lvlJc w:val="left"/>
      <w:lvlText w:val="•"/>
      <w:numFmt w:val="bullet"/>
      <w:start w:val="1"/>
    </w:lvl>
  </w:abstractNum>
  <w:abstractNum w:abstractNumId="5">
    <w:nsid w:val="66D021CA"/>
    <w:multiLevelType w:val="hybridMultilevel"/>
    <w:lvl w:ilvl="0">
      <w:lvlJc w:val="left"/>
      <w:lvlText w:val="•"/>
      <w:numFmt w:val="bullet"/>
      <w:start w:val="1"/>
    </w:lvl>
  </w:abstractNum>
  <w:abstractNum w:abstractNumId="6">
    <w:nsid w:val="56167394"/>
    <w:multiLevelType w:val="hybridMultilevel"/>
    <w:lvl w:ilvl="0">
      <w:lvlJc w:val="left"/>
      <w:lvlText w:val="•"/>
      <w:numFmt w:val="bullet"/>
      <w:start w:val="1"/>
    </w:lvl>
  </w:abstractNum>
  <w:abstractNum w:abstractNumId="7">
    <w:nsid w:val="921145C"/>
    <w:multiLevelType w:val="hybridMultilevel"/>
    <w:lvl w:ilvl="0">
      <w:lvlJc w:val="left"/>
      <w:lvlText w:val="•"/>
      <w:numFmt w:val="bullet"/>
      <w:start w:val="1"/>
    </w:lvl>
  </w:abstractNum>
  <w:abstractNum w:abstractNumId="8">
    <w:nsid w:val="7B34DFE8"/>
    <w:multiLevelType w:val="hybridMultilevel"/>
    <w:lvl w:ilvl="0">
      <w:lvlJc w:val="left"/>
      <w:lvlText w:val="•"/>
      <w:numFmt w:val="bullet"/>
      <w:start w:val="1"/>
    </w:lvl>
  </w:abstractNum>
  <w:abstractNum w:abstractNumId="9">
    <w:nsid w:val="3CD22B79"/>
    <w:multiLevelType w:val="hybridMultilevel"/>
    <w:lvl w:ilvl="0">
      <w:lvlJc w:val="left"/>
      <w:lvlText w:val="•"/>
      <w:numFmt w:val="bullet"/>
      <w:start w:val="1"/>
    </w:lvl>
  </w:abstractNum>
  <w:abstractNum w:abstractNumId="10">
    <w:nsid w:val="3137975E"/>
    <w:multiLevelType w:val="hybridMultilevel"/>
    <w:lvl w:ilvl="0">
      <w:lvlJc w:val="left"/>
      <w:lvlText w:val="•"/>
      <w:numFmt w:val="bullet"/>
      <w:start w:val="1"/>
    </w:lvl>
  </w:abstractNum>
  <w:abstractNum w:abstractNumId="11">
    <w:nsid w:val="2DDAA791"/>
    <w:multiLevelType w:val="hybridMultilevel"/>
    <w:lvl w:ilvl="0">
      <w:lvlJc w:val="left"/>
      <w:lvlText w:val="•"/>
      <w:numFmt w:val="bullet"/>
      <w:start w:val="1"/>
    </w:lvl>
  </w:abstractNum>
  <w:abstractNum w:abstractNumId="12">
    <w:nsid w:val="77263B8A"/>
    <w:multiLevelType w:val="hybridMultilevel"/>
    <w:lvl w:ilvl="0">
      <w:lvlJc w:val="left"/>
      <w:lvlText w:val="•"/>
      <w:numFmt w:val="bullet"/>
      <w:start w:val="1"/>
    </w:lvl>
  </w:abstractNum>
  <w:abstractNum w:abstractNumId="13">
    <w:nsid w:val="755B5ED6"/>
    <w:multiLevelType w:val="hybridMultilevel"/>
    <w:lvl w:ilvl="0">
      <w:lvlJc w:val="left"/>
      <w:lvlText w:val="•"/>
      <w:numFmt w:val="bullet"/>
      <w:start w:val="1"/>
    </w:lvl>
  </w:abstractNum>
  <w:abstractNum w:abstractNumId="14">
    <w:nsid w:val="D3715DE"/>
    <w:multiLevelType w:val="hybridMultilevel"/>
    <w:lvl w:ilvl="0">
      <w:lvlJc w:val="left"/>
      <w:lvlText w:val="•"/>
      <w:numFmt w:val="bullet"/>
      <w:start w:val="1"/>
    </w:lvl>
  </w:abstractNum>
  <w:abstractNum w:abstractNumId="15">
    <w:nsid w:val="73509257"/>
    <w:multiLevelType w:val="hybridMultilevel"/>
    <w:lvl w:ilvl="0">
      <w:lvlJc w:val="left"/>
      <w:lvlText w:val="•"/>
      <w:numFmt w:val="bullet"/>
      <w:start w:val="1"/>
    </w:lvl>
  </w:abstractNum>
  <w:abstractNum w:abstractNumId="16">
    <w:nsid w:val="7013CDB7"/>
    <w:multiLevelType w:val="hybridMultilevel"/>
    <w:lvl w:ilvl="0">
      <w:lvlJc w:val="left"/>
      <w:lvlText w:val="•"/>
      <w:numFmt w:val="bullet"/>
      <w:start w:val="1"/>
    </w:lvl>
  </w:abstractNum>
  <w:abstractNum w:abstractNumId="17">
    <w:nsid w:val="188BFB19"/>
    <w:multiLevelType w:val="hybridMultilevel"/>
    <w:lvl w:ilvl="0">
      <w:lvlJc w:val="left"/>
      <w:lvlText w:val="•"/>
      <w:numFmt w:val="bullet"/>
      <w:start w:val="1"/>
    </w:lvl>
  </w:abstractNum>
  <w:abstractNum w:abstractNumId="18">
    <w:nsid w:val="75F096DF"/>
    <w:multiLevelType w:val="hybridMultilevel"/>
    <w:lvl w:ilvl="0">
      <w:lvlJc w:val="left"/>
      <w:lvlText w:val="•"/>
      <w:numFmt w:val="bullet"/>
      <w:start w:val="1"/>
    </w:lvl>
  </w:abstractNum>
  <w:abstractNum w:abstractNumId="19">
    <w:nsid w:val="76DEE918"/>
    <w:multiLevelType w:val="hybridMultilevel"/>
    <w:lvl w:ilvl="0">
      <w:lvlJc w:val="left"/>
      <w:lvlText w:val="•"/>
      <w:numFmt w:val="bullet"/>
      <w:start w:val="1"/>
    </w:lvl>
  </w:abstractNum>
  <w:abstractNum w:abstractNumId="20">
    <w:nsid w:val="B79D08D"/>
    <w:multiLevelType w:val="hybridMultilevel"/>
    <w:lvl w:ilvl="0">
      <w:lvlJc w:val="left"/>
      <w:lvlText w:val="(%1)"/>
      <w:numFmt w:val="decimal"/>
      <w:start w:val="1"/>
    </w:lvl>
  </w:abstractNum>
  <w:abstractNum w:abstractNumId="21">
    <w:nsid w:val="69141769"/>
    <w:multiLevelType w:val="hybridMultilevel"/>
    <w:lvl w:ilvl="0">
      <w:lvlJc w:val="left"/>
      <w:lvlText w:val="•"/>
      <w:numFmt w:val="bullet"/>
      <w:start w:val="1"/>
    </w:lvl>
  </w:abstractNum>
  <w:abstractNum w:abstractNumId="22">
    <w:nsid w:val="7BF45B8E"/>
    <w:multiLevelType w:val="hybridMultilevel"/>
    <w:lvl w:ilvl="0">
      <w:lvlJc w:val="left"/>
      <w:lvlText w:val="(%1)"/>
      <w:numFmt w:val="lowerRoman"/>
      <w:start w:val="1"/>
    </w:lvl>
  </w:abstractNum>
  <w:abstractNum w:abstractNumId="23">
    <w:nsid w:val="41205269"/>
    <w:multiLevelType w:val="hybridMultilevel"/>
    <w:lvl w:ilvl="0">
      <w:lvlJc w:val="left"/>
      <w:lvlText w:val="•"/>
      <w:numFmt w:val="bullet"/>
      <w:start w:val="1"/>
    </w:lvl>
  </w:abstractNum>
  <w:abstractNum w:abstractNumId="24">
    <w:nsid w:val="9AE0DD"/>
    <w:multiLevelType w:val="hybridMultilevel"/>
    <w:lvl w:ilvl="0">
      <w:lvlJc w:val="left"/>
      <w:lvlText w:val="•"/>
      <w:numFmt w:val="bullet"/>
      <w:start w:val="1"/>
    </w:lvl>
  </w:abstractNum>
  <w:abstractNum w:abstractNumId="25">
    <w:nsid w:val="1818832F"/>
    <w:multiLevelType w:val="hybridMultilevel"/>
    <w:lvl w:ilvl="0">
      <w:lvlJc w:val="left"/>
      <w:lvlText w:val="(%1)"/>
      <w:numFmt w:val="decimal"/>
      <w:start w:val="1"/>
    </w:lvl>
  </w:abstractNum>
  <w:abstractNum w:abstractNumId="26">
    <w:nsid w:val="24C29FD1"/>
    <w:multiLevelType w:val="hybridMultilevel"/>
    <w:lvl w:ilvl="0">
      <w:lvlJc w:val="left"/>
      <w:lvlText w:val="•"/>
      <w:numFmt w:val="bullet"/>
      <w:start w:val="1"/>
    </w:lvl>
  </w:abstractNum>
  <w:abstractNum w:abstractNumId="27">
    <w:nsid w:val="50528108"/>
    <w:multiLevelType w:val="hybridMultilevel"/>
    <w:lvl w:ilvl="0">
      <w:lvlJc w:val="left"/>
      <w:lvlText w:val="•"/>
      <w:numFmt w:val="bullet"/>
      <w:start w:val="1"/>
    </w:lvl>
  </w:abstractNum>
  <w:abstractNum w:abstractNumId="28">
    <w:nsid w:val="21857A57"/>
    <w:multiLevelType w:val="hybridMultilevel"/>
    <w:lvl w:ilvl="0">
      <w:lvlJc w:val="left"/>
      <w:lvlText w:val="•"/>
      <w:numFmt w:val="bullet"/>
      <w:start w:val="1"/>
    </w:lvl>
  </w:abstractNum>
  <w:abstractNum w:abstractNumId="29">
    <w:nsid w:val="5FD4B154"/>
    <w:multiLevelType w:val="hybridMultilevel"/>
    <w:lvl w:ilvl="0">
      <w:lvlJc w:val="left"/>
      <w:lvlText w:val="•"/>
      <w:numFmt w:val="bullet"/>
      <w:start w:val="1"/>
    </w:lvl>
  </w:abstractNum>
  <w:abstractNum w:abstractNumId="30">
    <w:nsid w:val="4ABE597"/>
    <w:multiLevelType w:val="hybridMultilevel"/>
    <w:lvl w:ilvl="0">
      <w:lvlJc w:val="left"/>
      <w:lvlText w:val="(%1)"/>
      <w:numFmt w:val="decimal"/>
      <w:start w:val="1"/>
    </w:lvl>
  </w:abstractNum>
  <w:abstractNum w:abstractNumId="31">
    <w:nsid w:val="5C64AD75"/>
    <w:multiLevelType w:val="hybridMultilevel"/>
    <w:lvl w:ilvl="0">
      <w:lvlJc w:val="left"/>
      <w:lvlText w:val="(*)"/>
      <w:numFmt w:val="bullet"/>
      <w:start w:val="1"/>
    </w:lvl>
  </w:abstractNum>
  <w:abstractNum w:abstractNumId="32">
    <w:nsid w:val="2CDD5B39"/>
    <w:multiLevelType w:val="hybridMultilevel"/>
    <w:lvl w:ilvl="0">
      <w:lvlJc w:val="left"/>
      <w:lvlText w:val="•"/>
      <w:numFmt w:val="bullet"/>
      <w:start w:val="1"/>
    </w:lvl>
  </w:abstractNum>
  <w:abstractNum w:abstractNumId="33">
    <w:nsid w:val="6F9EA0D1"/>
    <w:multiLevelType w:val="hybridMultilevel"/>
    <w:lvl w:ilvl="0">
      <w:lvlJc w:val="left"/>
      <w:lvlText w:val="%1"/>
      <w:numFmt w:val="decimal"/>
      <w:start w:val="1"/>
    </w:lvl>
    <w:lvl w:ilvl="1">
      <w:lvlJc w:val="left"/>
      <w:lvlText w:val="(%2)"/>
      <w:numFmt w:val="decimal"/>
      <w:start w:val="1"/>
    </w:lvl>
  </w:abstractNum>
  <w:abstractNum w:abstractNumId="34">
    <w:nsid w:val="247FC4AE"/>
    <w:multiLevelType w:val="hybridMultilevel"/>
    <w:lvl w:ilvl="0">
      <w:lvlJc w:val="left"/>
      <w:lvlText w:val="(%1)"/>
      <w:numFmt w:val="decimal"/>
      <w:start w:val="2"/>
    </w:lvl>
    <w:lvl w:ilvl="1">
      <w:lvlJc w:val="left"/>
      <w:lvlText w:val="%2"/>
      <w:numFmt w:val="decimal"/>
      <w:start w:val="1"/>
    </w:lvl>
  </w:abstractNum>
  <w:abstractNum w:abstractNumId="35">
    <w:nsid w:val="46C01B05"/>
    <w:multiLevelType w:val="hybridMultilevel"/>
    <w:lvl w:ilvl="0">
      <w:lvlJc w:val="left"/>
      <w:lvlText w:val="%1"/>
      <w:numFmt w:val="decimal"/>
      <w:start w:val="1"/>
    </w:lvl>
    <w:lvl w:ilvl="1">
      <w:lvlJc w:val="left"/>
      <w:lvlText w:val="%2."/>
      <w:numFmt w:val="decimal"/>
      <w:start w:val="1"/>
    </w:lvl>
  </w:abstractNum>
  <w:abstractNum w:abstractNumId="36">
    <w:nsid w:val="566EC29B"/>
    <w:multiLevelType w:val="hybridMultilevel"/>
    <w:lvl w:ilvl="0">
      <w:lvlJc w:val="left"/>
      <w:lvlText w:val="%1."/>
      <w:numFmt w:val="decimal"/>
      <w:start w:val="2"/>
    </w:lvl>
    <w:lvl w:ilvl="1">
      <w:lvlJc w:val="left"/>
      <w:lvlText w:val="%2"/>
      <w:numFmt w:val="decimal"/>
      <w:start w:val="1"/>
    </w:lvl>
  </w:abstractNum>
  <w:abstractNum w:abstractNumId="37">
    <w:nsid w:val="7A963843"/>
    <w:multiLevelType w:val="hybridMultilevel"/>
    <w:lvl w:ilvl="0">
      <w:lvlJc w:val="left"/>
      <w:lvlText w:val="•"/>
      <w:numFmt w:val="bullet"/>
      <w:start w:val="1"/>
    </w:lvl>
  </w:abstractNum>
  <w:abstractNum w:abstractNumId="38">
    <w:nsid w:val="4FE12F61"/>
    <w:multiLevelType w:val="hybridMultilevel"/>
    <w:lvl w:ilvl="0">
      <w:lvlJc w:val="left"/>
      <w:lvlText w:val="•"/>
      <w:numFmt w:val="bullet"/>
      <w:start w:val="1"/>
    </w:lvl>
  </w:abstractNum>
  <w:abstractNum w:abstractNumId="39">
    <w:nsid w:val="51A3A284"/>
    <w:multiLevelType w:val="hybridMultilevel"/>
    <w:lvl w:ilvl="0">
      <w:lvlJc w:val="left"/>
      <w:lvlText w:val="•"/>
      <w:numFmt w:val="bullet"/>
      <w:start w:val="1"/>
    </w:lvl>
  </w:abstractNum>
  <w:abstractNum w:abstractNumId="40">
    <w:nsid w:val="376863BC"/>
    <w:multiLevelType w:val="hybridMultilevel"/>
    <w:lvl w:ilvl="0">
      <w:lvlJc w:val="left"/>
      <w:lvlText w:val="•"/>
      <w:numFmt w:val="bullet"/>
      <w:start w:val="1"/>
    </w:lvl>
  </w:abstractNum>
  <w:abstractNum w:abstractNumId="41">
    <w:nsid w:val="118C6C0"/>
    <w:multiLevelType w:val="hybridMultilevel"/>
    <w:lvl w:ilvl="0">
      <w:lvlJc w:val="left"/>
      <w:lvlText w:val="•"/>
      <w:numFmt w:val="bullet"/>
      <w:start w:val="1"/>
    </w:lvl>
  </w:abstractNum>
  <w:abstractNum w:abstractNumId="42">
    <w:nsid w:val="7F7E4A15"/>
    <w:multiLevelType w:val="hybridMultilevel"/>
    <w:lvl w:ilvl="0">
      <w:lvlJc w:val="left"/>
      <w:lvlText w:val="•"/>
      <w:numFmt w:val="bullet"/>
      <w:start w:val="1"/>
    </w:lvl>
  </w:abstractNum>
  <w:abstractNum w:abstractNumId="43">
    <w:nsid w:val="2E8E9F47"/>
    <w:multiLevelType w:val="hybridMultilevel"/>
    <w:lvl w:ilvl="0">
      <w:lvlJc w:val="left"/>
      <w:lvlText w:val="(%1)"/>
      <w:numFmt w:val="lowerRoman"/>
      <w:start w:val="1"/>
    </w:lvl>
  </w:abstractNum>
  <w:abstractNum w:abstractNumId="44">
    <w:nsid w:val="76742596"/>
    <w:multiLevelType w:val="hybridMultilevel"/>
    <w:lvl w:ilvl="0">
      <w:lvlJc w:val="left"/>
      <w:lvlText w:val="*"/>
      <w:numFmt w:val="bullet"/>
      <w:start w:val="1"/>
    </w:lvl>
  </w:abstractNum>
  <w:abstractNum w:abstractNumId="45">
    <w:nsid w:val="CB55FF3"/>
    <w:multiLevelType w:val="hybridMultilevel"/>
    <w:lvl w:ilvl="0">
      <w:lvlJc w:val="left"/>
      <w:lvlText w:val="(%1)"/>
      <w:numFmt w:val="decimal"/>
      <w:start w:val="1"/>
    </w:lvl>
  </w:abstractNum>
  <w:abstractNum w:abstractNumId="46">
    <w:nsid w:val="21DF319E"/>
    <w:multiLevelType w:val="hybridMultilevel"/>
    <w:lvl w:ilvl="0">
      <w:lvlJc w:val="left"/>
      <w:lvlText w:val="%1."/>
      <w:numFmt w:val="decimal"/>
      <w:start w:val="2"/>
    </w:lvl>
  </w:abstractNum>
  <w:abstractNum w:abstractNumId="47">
    <w:nsid w:val="6687F34D"/>
    <w:multiLevelType w:val="hybridMultilevel"/>
    <w:lvl w:ilvl="0">
      <w:lvlJc w:val="left"/>
      <w:lvlText w:val="%1."/>
      <w:numFmt w:val="decimal"/>
      <w:start w:val="2"/>
    </w:lvl>
  </w:abstractNum>
  <w:abstractNum w:abstractNumId="48">
    <w:nsid w:val="25415B0C"/>
    <w:multiLevelType w:val="hybridMultilevel"/>
    <w:lvl w:ilvl="0">
      <w:lvlJc w:val="left"/>
      <w:lvlText w:val="%1."/>
      <w:numFmt w:val="decimal"/>
      <w:start w:val="2"/>
    </w:lvl>
  </w:abstractNum>
  <w:abstractNum w:abstractNumId="49">
    <w:nsid w:val="17CFC87D"/>
    <w:multiLevelType w:val="hybridMultilevel"/>
    <w:lvl w:ilvl="0">
      <w:lvlJc w:val="left"/>
      <w:lvlText w:val="%1."/>
      <w:numFmt w:val="decimal"/>
      <w:start w:val="2"/>
    </w:lvl>
  </w:abstractNum>
  <w:abstractNum w:abstractNumId="50">
    <w:nsid w:val="5D66DC65"/>
    <w:multiLevelType w:val="hybridMultilevel"/>
    <w:lvl w:ilvl="0">
      <w:lvlJc w:val="left"/>
      <w:lvlText w:val="%1."/>
      <w:numFmt w:val="decimal"/>
      <w:start w:val="2"/>
    </w:lvl>
  </w:abstractNum>
  <w:abstractNum w:abstractNumId="51">
    <w:nsid w:val="30BB2B99"/>
    <w:multiLevelType w:val="hybridMultilevel"/>
    <w:lvl w:ilvl="0">
      <w:lvlJc w:val="left"/>
      <w:lvlText w:val="%1."/>
      <w:numFmt w:val="decimal"/>
      <w:start w:val="2"/>
    </w:lvl>
  </w:abstractNum>
  <w:abstractNum w:abstractNumId="52">
    <w:nsid w:val="E3DFE6"/>
    <w:multiLevelType w:val="hybridMultilevel"/>
    <w:lvl w:ilvl="0">
      <w:lvlJc w:val="left"/>
      <w:lvlText w:val="%1."/>
      <w:numFmt w:val="decimal"/>
      <w:start w:val="2"/>
    </w:lvl>
  </w:abstractNum>
  <w:abstractNum w:abstractNumId="53">
    <w:nsid w:val="595B37F3"/>
    <w:multiLevelType w:val="hybridMultilevel"/>
    <w:lvl w:ilvl="0">
      <w:lvlJc w:val="left"/>
      <w:lvlText w:val="(%1)"/>
      <w:numFmt w:val="lowerRoman"/>
      <w:start w:val="1"/>
    </w:lvl>
  </w:abstractNum>
  <w:abstractNum w:abstractNumId="54">
    <w:nsid w:val="71DB7E02"/>
    <w:multiLevelType w:val="hybridMultilevel"/>
    <w:lvl w:ilvl="0">
      <w:lvlJc w:val="left"/>
      <w:lvlText w:val="%1."/>
      <w:numFmt w:val="decimal"/>
      <w:start w:val="2"/>
    </w:lvl>
  </w:abstractNum>
  <w:abstractNum w:abstractNumId="55">
    <w:nsid w:val="17EC0C4"/>
    <w:multiLevelType w:val="hybridMultilevel"/>
    <w:lvl w:ilvl="0">
      <w:lvlJc w:val="left"/>
      <w:lvlText w:val="%1."/>
      <w:numFmt w:val="decimal"/>
      <w:start w:val="2"/>
    </w:lvl>
  </w:abstractNum>
  <w:abstractNum w:abstractNumId="56">
    <w:nsid w:val="7173BB22"/>
    <w:multiLevelType w:val="hybridMultilevel"/>
    <w:lvl w:ilvl="0">
      <w:lvlJc w:val="left"/>
      <w:lvlText w:val="%1."/>
      <w:numFmt w:val="decimal"/>
      <w:start w:val="4"/>
    </w:lvl>
  </w:abstractNum>
  <w:abstractNum w:abstractNumId="57">
    <w:nsid w:val="169E1DD3"/>
    <w:multiLevelType w:val="hybridMultilevel"/>
    <w:lvl w:ilvl="0">
      <w:lvlJc w:val="left"/>
      <w:lvlText w:val="%1."/>
      <w:numFmt w:val="decimal"/>
      <w:start w:val="4"/>
    </w:lvl>
  </w:abstractNum>
  <w:abstractNum w:abstractNumId="58">
    <w:nsid w:val="51D141CC"/>
    <w:multiLevelType w:val="hybridMultilevel"/>
    <w:lvl w:ilvl="0">
      <w:lvlJc w:val="left"/>
      <w:lvlText w:val="%1."/>
      <w:numFmt w:val="decimal"/>
      <w:start w:val="12"/>
    </w:lvl>
  </w:abstractNum>
  <w:abstractNum w:abstractNumId="59">
    <w:nsid w:val="12F9357A"/>
    <w:multiLevelType w:val="hybridMultilevel"/>
    <w:lvl w:ilvl="0">
      <w:lvlJc w:val="left"/>
      <w:lvlText w:val="%1."/>
      <w:numFmt w:val="decimal"/>
      <w:start w:val="12"/>
    </w:lvl>
  </w:abstractNum>
  <w:abstractNum w:abstractNumId="60">
    <w:nsid w:val="7672CF28"/>
    <w:multiLevelType w:val="hybridMultilevel"/>
    <w:lvl w:ilvl="0">
      <w:lvlJc w:val="left"/>
      <w:lvlText w:val="%1."/>
      <w:numFmt w:val="decimal"/>
      <w:start w:val="12"/>
    </w:lvl>
  </w:abstractNum>
  <w:abstractNum w:abstractNumId="61">
    <w:nsid w:val="567D2763"/>
    <w:multiLevelType w:val="hybridMultilevel"/>
    <w:lvl w:ilvl="0">
      <w:lvlJc w:val="left"/>
      <w:lvlText w:val="%1."/>
      <w:numFmt w:val="decimal"/>
      <w:start w:val="12"/>
    </w:lvl>
  </w:abstractNum>
  <w:abstractNum w:abstractNumId="62">
    <w:nsid w:val="6F5DE2EF"/>
    <w:multiLevelType w:val="hybridMultilevel"/>
    <w:lvl w:ilvl="0">
      <w:lvlJc w:val="left"/>
      <w:lvlText w:val="$"/>
      <w:numFmt w:val="bullet"/>
      <w:start w:val="1"/>
    </w:lvl>
  </w:abstractNum>
  <w:abstractNum w:abstractNumId="63">
    <w:nsid w:val="23502A61"/>
    <w:multiLevelType w:val="hybridMultilevel"/>
    <w:lvl w:ilvl="0">
      <w:lvlJc w:val="left"/>
      <w:lvlText w:val="$"/>
      <w:numFmt w:val="bullet"/>
      <w:start w:val="1"/>
    </w:lvl>
  </w:abstractNum>
  <w:abstractNum w:abstractNumId="64">
    <w:nsid w:val="461BC834"/>
    <w:multiLevelType w:val="hybridMultilevel"/>
    <w:lvl w:ilvl="0">
      <w:lvlJc w:val="left"/>
      <w:lvlText w:val="%1."/>
      <w:numFmt w:val="decimal"/>
      <w:start w:val="12"/>
    </w:lvl>
  </w:abstractNum>
  <w:abstractNum w:abstractNumId="65">
    <w:nsid w:val="13DDA79D"/>
    <w:multiLevelType w:val="hybridMultilevel"/>
    <w:lvl w:ilvl="0">
      <w:lvlJc w:val="left"/>
      <w:lvlText w:val="%1."/>
      <w:numFmt w:val="decimal"/>
      <w:start w:val="14"/>
    </w:lvl>
  </w:abstractNum>
  <w:abstractNum w:abstractNumId="66">
    <w:nsid w:val="6A104566"/>
    <w:multiLevelType w:val="hybridMultilevel"/>
    <w:lvl w:ilvl="0">
      <w:lvlJc w:val="left"/>
      <w:lvlText w:val="%1."/>
      <w:numFmt w:val="decimal"/>
      <w:start w:val="14"/>
    </w:lvl>
  </w:abstractNum>
  <w:abstractNum w:abstractNumId="67">
    <w:nsid w:val="1C8A8ACF"/>
    <w:multiLevelType w:val="hybridMultilevel"/>
    <w:lvl w:ilvl="0">
      <w:lvlJc w:val="left"/>
      <w:lvlText w:val="%1."/>
      <w:numFmt w:val="decimal"/>
      <w:start w:val="15"/>
    </w:lvl>
  </w:abstractNum>
  <w:abstractNum w:abstractNumId="68">
    <w:nsid w:val="E73DFE0"/>
    <w:multiLevelType w:val="hybridMultilevel"/>
    <w:lvl w:ilvl="0">
      <w:lvlJc w:val="left"/>
      <w:lvlText w:val="%1."/>
      <w:numFmt w:val="decimal"/>
      <w:start w:val="16"/>
    </w:lvl>
  </w:abstractNum>
  <w:abstractNum w:abstractNumId="69">
    <w:nsid w:val="39F174C7"/>
    <w:multiLevelType w:val="hybridMultilevel"/>
    <w:lvl w:ilvl="0">
      <w:lvlJc w:val="left"/>
      <w:lvlText w:val="(%1)"/>
      <w:numFmt w:val="lowerLetter"/>
      <w:start w:val="1"/>
    </w:lvl>
  </w:abstractNum>
  <w:abstractNum w:abstractNumId="70">
    <w:nsid w:val="6E2E2D53"/>
    <w:multiLevelType w:val="hybridMultilevel"/>
    <w:lvl w:ilvl="0">
      <w:lvlJc w:val="left"/>
      <w:lvlText w:val="(%1)"/>
      <w:numFmt w:val="lowerLetter"/>
      <w:start w:val="2"/>
    </w:lvl>
  </w:abstractNum>
  <w:abstractNum w:abstractNumId="71">
    <w:nsid w:val="45DC439D"/>
    <w:multiLevelType w:val="hybridMultilevel"/>
    <w:lvl w:ilvl="0">
      <w:lvlJc w:val="left"/>
      <w:lvlText w:val="(%1)"/>
      <w:numFmt w:val="lowerLetter"/>
      <w:start w:val="1"/>
    </w:lvl>
    <w:lvl w:ilvl="1">
      <w:lvlJc w:val="left"/>
      <w:lvlText w:val="(%2)"/>
      <w:numFmt w:val="lowerRoman"/>
      <w:start w:val="1"/>
    </w:lvl>
  </w:abstractNum>
  <w:abstractNum w:abstractNumId="72">
    <w:nsid w:val="3B0A3B8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73">
    <w:nsid w:val="6DAC7768"/>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74">
    <w:nsid w:val="746AE2E4"/>
    <w:multiLevelType w:val="hybridMultilevel"/>
    <w:lvl w:ilvl="0">
      <w:lvlJc w:val="left"/>
      <w:lvlText w:val="(%1)"/>
      <w:numFmt w:val="lowerRoman"/>
      <w:start w:val="4"/>
    </w:lvl>
    <w:lvl w:ilvl="1">
      <w:lvlJc w:val="left"/>
      <w:lvlText w:val="(%2)"/>
      <w:numFmt w:val="upperLetter"/>
      <w:start w:val="1"/>
    </w:lvl>
  </w:abstractNum>
  <w:abstractNum w:abstractNumId="75">
    <w:nsid w:val="317E611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6">
    <w:nsid w:val="7A61D75B"/>
    <w:multiLevelType w:val="hybridMultilevel"/>
    <w:lvl w:ilvl="0">
      <w:lvlJc w:val="left"/>
      <w:lvlText w:val="(%1)"/>
      <w:numFmt w:val="upperLetter"/>
      <w:start w:val="5"/>
    </w:lvl>
  </w:abstractNum>
  <w:abstractNum w:abstractNumId="77">
    <w:nsid w:val="164A1482"/>
    <w:multiLevelType w:val="hybridMultilevel"/>
    <w:lvl w:ilvl="0">
      <w:lvlJc w:val="left"/>
      <w:lvlText w:val="(%1)"/>
      <w:numFmt w:val="upperLetter"/>
      <w:start w:val="8"/>
    </w:lvl>
  </w:abstractNum>
  <w:abstractNum w:abstractNumId="78">
    <w:nsid w:val="1806546B"/>
    <w:multiLevelType w:val="hybridMultilevel"/>
    <w:lvl w:ilvl="0">
      <w:lvlJc w:val="left"/>
      <w:lvlText w:val="(%1)"/>
      <w:numFmt w:val="lowerLetter"/>
      <w:start w:val="4"/>
    </w:lvl>
  </w:abstractNum>
  <w:abstractNum w:abstractNumId="79">
    <w:nsid w:val="1FA33267"/>
    <w:multiLevelType w:val="hybridMultilevel"/>
    <w:lvl w:ilvl="0">
      <w:lvlJc w:val="left"/>
      <w:lvlText w:val="(%1)"/>
      <w:numFmt w:val="lowerLetter"/>
      <w:start w:val="1"/>
    </w:lvl>
  </w:abstractNum>
  <w:abstractNum w:abstractNumId="80">
    <w:nsid w:val="2E19DD00"/>
    <w:multiLevelType w:val="hybridMultilevel"/>
    <w:lvl w:ilvl="0">
      <w:lvlJc w:val="left"/>
      <w:lvlText w:val="(%1)"/>
      <w:numFmt w:val="lowerLetter"/>
      <w:start w:val="4"/>
    </w:lvl>
  </w:abstractNum>
  <w:abstractNum w:abstractNumId="81">
    <w:nsid w:val="756D30D0"/>
    <w:multiLevelType w:val="hybridMultilevel"/>
    <w:lvl w:ilvl="0">
      <w:lvlJc w:val="left"/>
      <w:lvlText w:val="(%1)"/>
      <w:numFmt w:val="lowerLetter"/>
      <w:start w:val="1"/>
    </w:lvl>
  </w:abstractNum>
  <w:abstractNum w:abstractNumId="82">
    <w:nsid w:val="505E5E01"/>
    <w:multiLevelType w:val="hybridMultilevel"/>
    <w:lvl w:ilvl="0">
      <w:lvlJc w:val="left"/>
      <w:lvlText w:val="(%1)"/>
      <w:numFmt w:val="lowerLetter"/>
      <w:start w:val="5"/>
    </w:lvl>
  </w:abstractNum>
  <w:abstractNum w:abstractNumId="83">
    <w:nsid w:val="2EFDBCE6"/>
    <w:multiLevelType w:val="hybridMultilevel"/>
    <w:lvl w:ilvl="0">
      <w:lvlJc w:val="left"/>
      <w:lvlText w:val="(%1)"/>
      <w:numFmt w:val="lowerLetter"/>
      <w:start w:val="1"/>
    </w:lvl>
  </w:abstractNum>
  <w:abstractNum w:abstractNumId="84">
    <w:nsid w:val="4EC868C4"/>
    <w:multiLevelType w:val="hybridMultilevel"/>
    <w:lvl w:ilvl="0">
      <w:lvlJc w:val="left"/>
      <w:lvlText w:val="(%1)"/>
      <w:numFmt w:val="lowerLetter"/>
      <w:start w:val="4"/>
    </w:lvl>
    <w:lvl w:ilvl="1">
      <w:lvlJc w:val="left"/>
      <w:lvlText w:val="(%2)"/>
      <w:numFmt w:val="lowerRoman"/>
      <w:start w:val="1"/>
    </w:lvl>
  </w:abstractNum>
  <w:abstractNum w:abstractNumId="85">
    <w:nsid w:val="4239DC03"/>
    <w:multiLevelType w:val="hybridMultilevel"/>
    <w:lvl w:ilvl="0">
      <w:lvlJc w:val="left"/>
      <w:lvlText w:val="%1"/>
      <w:numFmt w:val="lowerLetter"/>
      <w:start w:val="1"/>
    </w:lvl>
    <w:lvl w:ilvl="1">
      <w:lvlJc w:val="left"/>
      <w:lvlText w:val="(%2)"/>
      <w:numFmt w:val="lowerLetter"/>
      <w:start w:val="1"/>
    </w:lvl>
  </w:abstractNum>
  <w:abstractNum w:abstractNumId="86">
    <w:nsid w:val="307C7DAA"/>
    <w:multiLevelType w:val="hybridMultilevel"/>
    <w:lvl w:ilvl="0">
      <w:lvlJc w:val="left"/>
      <w:lvlText w:val="(%1)"/>
      <w:numFmt w:val="lowerLetter"/>
      <w:start w:val="4"/>
    </w:lvl>
    <w:lvl w:ilvl="1">
      <w:lvlJc w:val="left"/>
      <w:lvlText w:val="(%2)"/>
      <w:numFmt w:val="lowerLetter"/>
      <w:start w:val="3"/>
    </w:lvl>
  </w:abstractNum>
  <w:abstractNum w:abstractNumId="87">
    <w:nsid w:val="403C23E6"/>
    <w:multiLevelType w:val="hybridMultilevel"/>
    <w:lvl w:ilvl="0">
      <w:lvlJc w:val="left"/>
      <w:lvlText w:val="(%1)"/>
      <w:numFmt w:val="lowerLetter"/>
      <w:start w:val="1"/>
    </w:lvl>
  </w:abstractNum>
  <w:abstractNum w:abstractNumId="88">
    <w:nsid w:val="58D7F9D7"/>
    <w:multiLevelType w:val="hybridMultilevel"/>
    <w:lvl w:ilvl="0">
      <w:lvlJc w:val="left"/>
      <w:lvlText w:val="(%1)"/>
      <w:numFmt w:val="lowerLetter"/>
      <w:start w:val="5"/>
    </w:lvl>
  </w:abstractNum>
  <w:abstractNum w:abstractNumId="89">
    <w:nsid w:val="24DBF76"/>
    <w:multiLevelType w:val="hybridMultilevel"/>
    <w:lvl w:ilvl="0">
      <w:lvlJc w:val="left"/>
      <w:lvlText w:val="%1"/>
      <w:numFmt w:val="lowerLetter"/>
      <w:start w:val="1"/>
    </w:lvl>
    <w:lvl w:ilvl="1">
      <w:lvlJc w:val="left"/>
      <w:lvlText w:val="(%2)"/>
      <w:numFmt w:val="lowerLetter"/>
      <w:start w:val="1"/>
    </w:lvl>
  </w:abstractNum>
  <w:abstractNum w:abstractNumId="90">
    <w:nsid w:val="53355960"/>
    <w:multiLevelType w:val="hybridMultilevel"/>
    <w:lvl w:ilvl="0">
      <w:lvlJc w:val="left"/>
      <w:lvlText w:val="(%1)"/>
      <w:numFmt w:val="lowerLetter"/>
      <w:start w:val="9"/>
    </w:lvl>
    <w:lvl w:ilvl="1">
      <w:lvlJc w:val="left"/>
      <w:lvlText w:val="(%2)"/>
      <w:numFmt w:val="lowerLetter"/>
      <w:start w:val="3"/>
    </w:lvl>
  </w:abstractNum>
  <w:abstractNum w:abstractNumId="91">
    <w:nsid w:val="4F4AC8FF"/>
    <w:multiLevelType w:val="hybridMultilevel"/>
    <w:lvl w:ilvl="0">
      <w:lvlJc w:val="left"/>
      <w:lvlText w:val="(%1)"/>
      <w:numFmt w:val="lowerLetter"/>
      <w:start w:val="1"/>
    </w:lvl>
  </w:abstractNum>
  <w:abstractNum w:abstractNumId="92">
    <w:nsid w:val="58CAE6D9"/>
    <w:multiLevelType w:val="hybridMultilevel"/>
    <w:lvl w:ilvl="0">
      <w:lvlJc w:val="left"/>
      <w:lvlText w:val="(%1)"/>
      <w:numFmt w:val="lowerLetter"/>
      <w:start w:val="2"/>
    </w:lvl>
  </w:abstractNum>
  <w:abstractNum w:abstractNumId="93">
    <w:nsid w:val="42933C4F"/>
    <w:multiLevelType w:val="hybridMultilevel"/>
    <w:lvl w:ilvl="0">
      <w:lvlJc w:val="left"/>
      <w:lvlText w:val="(%1)"/>
      <w:numFmt w:val="lowerLetter"/>
      <w:start w:val="1"/>
    </w:lvl>
  </w:abstractNum>
  <w:abstractNum w:abstractNumId="94">
    <w:nsid w:val="729AF360"/>
    <w:multiLevelType w:val="hybridMultilevel"/>
    <w:lvl w:ilvl="0">
      <w:lvlJc w:val="left"/>
      <w:lvlText w:val="(%1)"/>
      <w:numFmt w:val="lowerLetter"/>
      <w:start w:val="1"/>
    </w:lvl>
    <w:lvl w:ilvl="1">
      <w:lvlJc w:val="left"/>
      <w:lvlText w:val="(%2)"/>
      <w:numFmt w:val="lowerRoman"/>
      <w:start w:val="1"/>
    </w:lvl>
  </w:abstractNum>
  <w:abstractNum w:abstractNumId="95">
    <w:nsid w:val="1EE6AF0D"/>
    <w:multiLevelType w:val="hybridMultilevel"/>
    <w:lvl w:ilvl="0">
      <w:lvlJc w:val="left"/>
      <w:lvlText w:val="(%1)"/>
      <w:numFmt w:val="lowerRoman"/>
      <w:start w:val="4"/>
    </w:lvl>
    <w:lvl w:ilvl="1">
      <w:lvlJc w:val="left"/>
      <w:lvlText w:val="(%2)"/>
      <w:numFmt w:val="upperLetter"/>
      <w:start w:val="1"/>
    </w:lvl>
  </w:abstractNum>
  <w:abstractNum w:abstractNumId="96">
    <w:nsid w:val="5670E3ED"/>
    <w:multiLevelType w:val="hybridMultilevel"/>
    <w:lvl w:ilvl="0">
      <w:lvlJc w:val="left"/>
      <w:lvlText w:val="(%1)"/>
      <w:numFmt w:val="lowerLetter"/>
      <w:start w:val="2"/>
    </w:lvl>
    <w:lvl w:ilvl="1">
      <w:lvlJc w:val="left"/>
      <w:lvlText w:val="(%2)"/>
      <w:numFmt w:val="lowerRoman"/>
      <w:start w:val="1"/>
    </w:lvl>
  </w:abstractNum>
  <w:abstractNum w:abstractNumId="97">
    <w:nsid w:val="5CAB38C6"/>
    <w:multiLevelType w:val="hybridMultilevel"/>
    <w:lvl w:ilvl="0">
      <w:lvlJc w:val="left"/>
      <w:lvlText w:val="(%1)"/>
      <w:numFmt w:val="lowerLetter"/>
      <w:start w:val="2"/>
    </w:lvl>
  </w:abstractNum>
  <w:abstractNum w:abstractNumId="98">
    <w:nsid w:val="3B7139DD"/>
    <w:multiLevelType w:val="hybridMultilevel"/>
    <w:lvl w:ilvl="0">
      <w:lvlJc w:val="left"/>
      <w:lvlText w:val="%1."/>
      <w:numFmt w:val="decimal"/>
      <w:start w:val="1"/>
    </w:lvl>
    <w:lvl w:ilvl="1">
      <w:lvlJc w:val="left"/>
      <w:lvlText w:val="(%2)"/>
      <w:numFmt w:val="lowerRoman"/>
      <w:start w:val="1"/>
    </w:lvl>
  </w:abstractNum>
  <w:abstractNum w:abstractNumId="99">
    <w:nsid w:val="64E4C3CD"/>
    <w:multiLevelType w:val="hybridMultilevel"/>
    <w:lvl w:ilvl="0">
      <w:lvlJc w:val="left"/>
      <w:lvlText w:val="(%1)"/>
      <w:numFmt w:val="lowerRoman"/>
      <w:start w:val="6"/>
    </w:lvl>
  </w:abstractNum>
  <w:abstractNum w:abstractNumId="100">
    <w:nsid w:val="169CAD8D"/>
    <w:multiLevelType w:val="hybridMultilevel"/>
    <w:lvl w:ilvl="0">
      <w:lvlJc w:val="left"/>
      <w:lvlText w:val="(%1)"/>
      <w:numFmt w:val="lowerLetter"/>
      <w:start w:val="1"/>
    </w:lvl>
  </w:abstractNum>
  <w:abstractNum w:abstractNumId="101">
    <w:nsid w:val="299F6730"/>
    <w:multiLevelType w:val="hybridMultilevel"/>
    <w:lvl w:ilvl="0">
      <w:lvlJc w:val="left"/>
      <w:lvlText w:val="%1."/>
      <w:numFmt w:val="decimal"/>
      <w:start w:val="2"/>
    </w:lvl>
  </w:abstractNum>
  <w:abstractNum w:abstractNumId="102">
    <w:nsid w:val="2AC1076A"/>
    <w:multiLevelType w:val="hybridMultilevel"/>
    <w:lvl w:ilvl="0">
      <w:lvlJc w:val="left"/>
      <w:lvlText w:val="%1."/>
      <w:numFmt w:val="decimal"/>
      <w:start w:val="4"/>
    </w:lvl>
  </w:abstractNum>
  <w:abstractNum w:abstractNumId="103">
    <w:nsid w:val="51A6E915"/>
    <w:multiLevelType w:val="hybridMultilevel"/>
    <w:lvl w:ilvl="0">
      <w:lvlJc w:val="left"/>
      <w:lvlText w:val="%1"/>
      <w:numFmt w:val="decimal"/>
      <w:start w:val="1"/>
    </w:lvl>
    <w:lvl w:ilvl="1">
      <w:lvlJc w:val="left"/>
      <w:lvlText w:val="(%2)"/>
      <w:numFmt w:val="lowerLetter"/>
      <w:start w:val="2"/>
    </w:lvl>
  </w:abstractNum>
  <w:abstractNum w:abstractNumId="104">
    <w:nsid w:val="174BDE99"/>
    <w:multiLevelType w:val="hybridMultilevel"/>
    <w:lvl w:ilvl="0">
      <w:lvlJc w:val="left"/>
      <w:lvlText w:val="%1."/>
      <w:numFmt w:val="decimal"/>
      <w:start w:val="5"/>
    </w:lvl>
    <w:lvl w:ilvl="1">
      <w:lvlJc w:val="left"/>
      <w:lvlText w:val="(%2)"/>
      <w:numFmt w:val="lowerLetter"/>
      <w:start w:val="1"/>
    </w:lvl>
  </w:abstractNum>
  <w:abstractNum w:abstractNumId="105">
    <w:nsid w:val="1F2BEA4E"/>
    <w:multiLevelType w:val="hybridMultilevel"/>
    <w:lvl w:ilvl="0">
      <w:lvlJc w:val="left"/>
      <w:lvlText w:val="(%1)"/>
      <w:numFmt w:val="lowerRoman"/>
      <w:start w:val="1"/>
    </w:lvl>
  </w:abstractNum>
  <w:abstractNum w:abstractNumId="106">
    <w:nsid w:val="3254A32"/>
    <w:multiLevelType w:val="hybridMultilevel"/>
    <w:lvl w:ilvl="0">
      <w:lvlJc w:val="left"/>
      <w:lvlText w:val="(%1)"/>
      <w:numFmt w:val="lowerLetter"/>
      <w:start w:val="2"/>
    </w:lvl>
  </w:abstractNum>
  <w:abstractNum w:abstractNumId="107">
    <w:nsid w:val="11ADB5F4"/>
    <w:multiLevelType w:val="hybridMultilevel"/>
    <w:lvl w:ilvl="0">
      <w:lvlJc w:val="left"/>
      <w:lvlText w:val="(%1)"/>
      <w:numFmt w:val="lowerRoman"/>
      <w:start w:val="1"/>
    </w:lvl>
  </w:abstractNum>
  <w:abstractNum w:abstractNumId="108">
    <w:nsid w:val="3575FED1"/>
    <w:multiLevelType w:val="hybridMultilevel"/>
    <w:lvl w:ilvl="0">
      <w:lvlJc w:val="left"/>
      <w:lvlText w:val="%1"/>
      <w:numFmt w:val="decimal"/>
      <w:start w:val="1"/>
    </w:lvl>
    <w:lvl w:ilvl="1">
      <w:lvlJc w:val="left"/>
      <w:lvlText w:val="(%2)"/>
      <w:numFmt w:val="lowerRoman"/>
      <w:start w:val="4"/>
    </w:lvl>
  </w:abstractNum>
  <w:abstractNum w:abstractNumId="109">
    <w:nsid w:val="1B2B9E9D"/>
    <w:multiLevelType w:val="hybridMultilevel"/>
    <w:lvl w:ilvl="0">
      <w:lvlJc w:val="left"/>
      <w:lvlText w:val="%1."/>
      <w:numFmt w:val="decimal"/>
      <w:start w:val="6"/>
    </w:lvl>
    <w:lvl w:ilvl="1">
      <w:lvlJc w:val="left"/>
      <w:lvlText w:val="%2"/>
      <w:numFmt w:val="lowerRoman"/>
      <w:start w:val="1"/>
    </w:lvl>
  </w:abstractNum>
  <w:abstractNum w:abstractNumId="110">
    <w:nsid w:val="3150E85C"/>
    <w:multiLevelType w:val="hybridMultilevel"/>
    <w:lvl w:ilvl="0">
      <w:lvlJc w:val="left"/>
      <w:lvlText w:val="%1."/>
      <w:numFmt w:val="decimal"/>
      <w:start w:val="8"/>
    </w:lvl>
    <w:lvl w:ilvl="1">
      <w:lvlJc w:val="left"/>
      <w:lvlText w:val="(%2)"/>
      <w:numFmt w:val="lowerLetter"/>
      <w:start w:val="1"/>
    </w:lvl>
  </w:abstractNum>
  <w:abstractNum w:abstractNumId="111">
    <w:nsid w:val="638FDBD1"/>
    <w:multiLevelType w:val="hybridMultilevel"/>
    <w:lvl w:ilvl="0">
      <w:lvlJc w:val="left"/>
      <w:lvlText w:val="(%1)"/>
      <w:numFmt w:val="lowerLetter"/>
      <w:start w:val="2"/>
    </w:lvl>
  </w:abstractNum>
  <w:abstractNum w:abstractNumId="112">
    <w:nsid w:val="1098CF6E"/>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13">
    <w:nsid w:val="1AF465D"/>
    <w:multiLevelType w:val="hybridMultilevel"/>
    <w:lvl w:ilvl="0">
      <w:lvlJc w:val="left"/>
      <w:lvlText w:val="%1."/>
      <w:numFmt w:val="decimal"/>
      <w:start w:val="9"/>
    </w:lvl>
    <w:lvl w:ilvl="1">
      <w:lvlJc w:val="left"/>
      <w:lvlText w:val="%2"/>
      <w:numFmt w:val="lowerRoman"/>
      <w:start w:val="1"/>
    </w:lvl>
    <w:lvl w:ilvl="2">
      <w:lvlJc w:val="left"/>
      <w:lvlText w:val="(%3)"/>
      <w:numFmt w:val="lowerLetter"/>
      <w:start w:val="1"/>
    </w:lvl>
  </w:abstractNum>
  <w:abstractNum w:abstractNumId="114">
    <w:nsid w:val="128D98B7"/>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15">
    <w:nsid w:val="5F61383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16">
    <w:nsid w:val="43E92260"/>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17">
    <w:nsid w:val="430A1662"/>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118">
    <w:nsid w:val="1F9D5C18"/>
    <w:multiLevelType w:val="hybridMultilevel"/>
    <w:lvl w:ilvl="0">
      <w:lvlJc w:val="left"/>
      <w:lvlText w:val="(%1)"/>
      <w:numFmt w:val="lowerRoman"/>
      <w:start w:val="1"/>
    </w:lvl>
  </w:abstractNum>
  <w:abstractNum w:abstractNumId="119">
    <w:nsid w:val="1CC11C37"/>
    <w:multiLevelType w:val="hybridMultilevel"/>
    <w:lvl w:ilvl="0">
      <w:lvlJc w:val="left"/>
      <w:lvlText w:val="%1."/>
      <w:numFmt w:val="decimal"/>
      <w:start w:val="10"/>
    </w:lvl>
    <w:lvl w:ilvl="1">
      <w:lvlJc w:val="left"/>
      <w:lvlText w:val="%2"/>
      <w:numFmt w:val="lowerRoman"/>
      <w:start w:val="1"/>
    </w:lvl>
    <w:lvl w:ilvl="2">
      <w:lvlJc w:val="left"/>
      <w:lvlText w:val="(%3)"/>
      <w:numFmt w:val="lowerLetter"/>
      <w:start w:val="1"/>
    </w:lvl>
  </w:abstractNum>
  <w:abstractNum w:abstractNumId="120">
    <w:nsid w:val="4557D5D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9"/>
    </w:lvl>
  </w:abstractNum>
  <w:abstractNum w:abstractNumId="121">
    <w:nsid w:val="72D2B579"/>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5"/>
    </w:lvl>
  </w:abstractNum>
  <w:abstractNum w:abstractNumId="122">
    <w:nsid w:val="6C0BE536"/>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1"/>
    </w:lvl>
  </w:abstractNum>
  <w:abstractNum w:abstractNumId="123">
    <w:nsid w:val="1E22BCB2"/>
    <w:multiLevelType w:val="hybridMultilevel"/>
    <w:lvl w:ilvl="0">
      <w:lvlJc w:val="left"/>
      <w:lvlText w:val="(%1)"/>
      <w:numFmt w:val="lowerRoman"/>
      <w:start w:val="3"/>
    </w:lvl>
  </w:abstractNum>
  <w:abstractNum w:abstractNumId="124">
    <w:nsid w:val="3565F1C8"/>
    <w:multiLevelType w:val="hybridMultilevel"/>
    <w:lvl w:ilvl="0">
      <w:lvlJc w:val="left"/>
      <w:lvlText w:val="(%1)"/>
      <w:numFmt w:val="lowerLetter"/>
      <w:start w:val="2"/>
    </w:lvl>
  </w:abstractNum>
  <w:abstractNum w:abstractNumId="125">
    <w:nsid w:val="5EA6D896"/>
    <w:multiLevelType w:val="hybridMultilevel"/>
    <w:lvl w:ilvl="0">
      <w:lvlJc w:val="left"/>
      <w:lvlText w:val="%1"/>
      <w:numFmt w:val="decimal"/>
      <w:start w:val="1"/>
    </w:lvl>
    <w:lvl w:ilvl="1">
      <w:lvlJc w:val="left"/>
      <w:lvlText w:val="(%2)"/>
      <w:numFmt w:val="lowerLetter"/>
      <w:start w:val="5"/>
    </w:lvl>
  </w:abstractNum>
  <w:abstractNum w:abstractNumId="126">
    <w:nsid w:val="3D096BBF"/>
    <w:multiLevelType w:val="hybridMultilevel"/>
    <w:lvl w:ilvl="0">
      <w:lvlJc w:val="left"/>
      <w:lvlText w:val="%1."/>
      <w:numFmt w:val="decimal"/>
      <w:start w:val="11"/>
    </w:lvl>
    <w:lvl w:ilvl="1">
      <w:lvlJc w:val="left"/>
      <w:lvlText w:val="(%2)"/>
      <w:numFmt w:val="lowerLetter"/>
      <w:start w:val="1"/>
    </w:lvl>
  </w:abstractNum>
  <w:abstractNum w:abstractNumId="127">
    <w:nsid w:val="BD6D5B5"/>
    <w:multiLevelType w:val="hybridMultilevel"/>
    <w:lvl w:ilvl="0">
      <w:lvlJc w:val="left"/>
      <w:lvlText w:val="%1"/>
      <w:numFmt w:val="decimal"/>
      <w:start w:val="1"/>
    </w:lvl>
    <w:lvl w:ilvl="1">
      <w:lvlJc w:val="left"/>
      <w:lvlText w:val="(%2)"/>
      <w:numFmt w:val="lowerLetter"/>
      <w:start w:val="3"/>
    </w:lvl>
  </w:abstractNum>
  <w:abstractNum w:abstractNumId="128">
    <w:nsid w:val="3B52115C"/>
    <w:multiLevelType w:val="hybridMultilevel"/>
    <w:lvl w:ilvl="0">
      <w:lvlJc w:val="left"/>
      <w:lvlText w:val="%1."/>
      <w:numFmt w:val="decimal"/>
      <w:start w:val="13"/>
    </w:lvl>
    <w:lvl w:ilvl="1">
      <w:lvlJc w:val="left"/>
      <w:lvlText w:val="(%2)"/>
      <w:numFmt w:val="lowerLetter"/>
      <w:start w:val="1"/>
    </w:lvl>
  </w:abstractNum>
  <w:abstractNum w:abstractNumId="129">
    <w:nsid w:val="787AA59C"/>
    <w:multiLevelType w:val="hybridMultilevel"/>
    <w:lvl w:ilvl="0">
      <w:lvlJc w:val="left"/>
      <w:lvlText w:val="%1."/>
      <w:numFmt w:val="decimal"/>
      <w:start w:val="14"/>
    </w:lvl>
  </w:abstractNum>
  <w:abstractNum w:abstractNumId="130">
    <w:nsid w:val="70BB9983"/>
    <w:multiLevelType w:val="hybridMultilevel"/>
    <w:lvl w:ilvl="0">
      <w:lvlJc w:val="left"/>
      <w:lvlText w:val="(%1)"/>
      <w:numFmt w:val="lowerLetter"/>
      <w:start w:val="1"/>
    </w:lvl>
    <w:lvl w:ilvl="1">
      <w:lvlJc w:val="left"/>
      <w:lvlText w:val="%2"/>
      <w:numFmt w:val="lowerLetter"/>
      <w:start w:val="1"/>
    </w:lvl>
  </w:abstractNum>
  <w:abstractNum w:abstractNumId="131">
    <w:nsid w:val="51EEBEEA"/>
    <w:multiLevelType w:val="hybridMultilevel"/>
    <w:lvl w:ilvl="0">
      <w:lvlJc w:val="left"/>
      <w:lvlText w:val="(%1)"/>
      <w:numFmt w:val="lowerLetter"/>
      <w:start w:val="9"/>
    </w:lvl>
    <w:lvl w:ilvl="1">
      <w:lvlJc w:val="left"/>
      <w:lvlText w:val="%2"/>
      <w:numFmt w:val="lowerLetter"/>
      <w:start w:val="1"/>
    </w:lvl>
  </w:abstractNum>
  <w:abstractNum w:abstractNumId="132">
    <w:nsid w:val="221A0CCD"/>
    <w:multiLevelType w:val="hybridMultilevel"/>
    <w:lvl w:ilvl="0">
      <w:lvlJc w:val="left"/>
      <w:lvlText w:val="(%1)"/>
      <w:numFmt w:val="lowerRoman"/>
      <w:start w:val="3"/>
    </w:lvl>
  </w:abstractNum>
  <w:abstractNum w:abstractNumId="133">
    <w:nsid w:val="1B7CA0ED"/>
    <w:multiLevelType w:val="hybridMultilevel"/>
    <w:lvl w:ilvl="0">
      <w:lvlJc w:val="left"/>
      <w:lvlText w:val="(%1)"/>
      <w:numFmt w:val="lowerLetter"/>
      <w:start w:val="2"/>
    </w:lvl>
  </w:abstractNum>
  <w:abstractNum w:abstractNumId="134">
    <w:nsid w:val="2395A7FF"/>
    <w:multiLevelType w:val="hybridMultilevel"/>
    <w:lvl w:ilvl="0">
      <w:lvlJc w:val="left"/>
      <w:lvlText w:val="(%1)"/>
      <w:numFmt w:val="lowerRoman"/>
      <w:start w:val="1"/>
    </w:lvl>
  </w:abstractNum>
  <w:abstractNum w:abstractNumId="135">
    <w:nsid w:val="3965EB66"/>
    <w:multiLevelType w:val="hybridMultilevel"/>
    <w:lvl w:ilvl="0">
      <w:lvlJc w:val="left"/>
      <w:lvlText w:val="(%1)"/>
      <w:numFmt w:val="lowerRoman"/>
      <w:start w:val="2"/>
    </w:lvl>
  </w:abstractNum>
  <w:abstractNum w:abstractNumId="136">
    <w:nsid w:val="3AA88B3C"/>
    <w:multiLevelType w:val="hybridMultilevel"/>
    <w:lvl w:ilvl="0">
      <w:lvlJc w:val="left"/>
      <w:lvlText w:val="%1"/>
      <w:numFmt w:val="decimal"/>
      <w:start w:val="1"/>
    </w:lvl>
    <w:lvl w:ilvl="1">
      <w:lvlJc w:val="left"/>
      <w:lvlText w:val="(%2)"/>
      <w:numFmt w:val="lowerRoman"/>
      <w:start w:val="4"/>
    </w:lvl>
    <w:lvl w:ilvl="2">
      <w:lvlJc w:val="left"/>
      <w:lvlText w:val="(%3)"/>
      <w:numFmt w:val="lowerLetter"/>
      <w:start w:val="3"/>
    </w:lvl>
  </w:abstractNum>
  <w:abstractNum w:abstractNumId="137">
    <w:nsid w:val="26BAF231"/>
    <w:multiLevelType w:val="hybridMultilevel"/>
    <w:lvl w:ilvl="0">
      <w:lvlJc w:val="left"/>
      <w:lvlText w:val="%1."/>
      <w:numFmt w:val="decimal"/>
      <w:start w:val="18"/>
    </w:lvl>
    <w:lvl w:ilvl="1">
      <w:lvlJc w:val="left"/>
      <w:lvlText w:val="%2"/>
      <w:numFmt w:val="lowerRoman"/>
      <w:start w:val="1"/>
    </w:lvl>
    <w:lvl w:ilvl="2">
      <w:lvlJc w:val="left"/>
      <w:lvlText w:val="(%3)"/>
      <w:numFmt w:val="lowerLetter"/>
      <w:start w:val="1"/>
    </w:lvl>
  </w:abstractNum>
  <w:abstractNum w:abstractNumId="138">
    <w:nsid w:val="4B13A15A"/>
    <w:multiLevelType w:val="hybridMultilevel"/>
    <w:lvl w:ilvl="0">
      <w:lvlJc w:val="left"/>
      <w:lvlText w:val="%1"/>
      <w:numFmt w:val="decimal"/>
      <w:start w:val="1"/>
    </w:lvl>
    <w:lvl w:ilvl="1">
      <w:lvlJc w:val="left"/>
      <w:lvlText w:val="(%2)"/>
      <w:numFmt w:val="lowerLetter"/>
      <w:start w:val="6"/>
    </w:lvl>
  </w:abstractNum>
  <w:abstractNum w:abstractNumId="139">
    <w:nsid w:val="701E8A0D"/>
    <w:multiLevelType w:val="hybridMultilevel"/>
    <w:lvl w:ilvl="0">
      <w:lvlJc w:val="left"/>
      <w:lvlText w:val="%1."/>
      <w:numFmt w:val="decimal"/>
      <w:start w:val="19"/>
    </w:lvl>
    <w:lvl w:ilvl="1">
      <w:lvlJc w:val="left"/>
      <w:lvlText w:val="%2"/>
      <w:numFmt w:val="lowerLetter"/>
      <w:start w:val="1"/>
    </w:lvl>
  </w:abstractNum>
  <w:abstractNum w:abstractNumId="140">
    <w:nsid w:val="41E690CF"/>
    <w:multiLevelType w:val="hybridMultilevel"/>
    <w:lvl w:ilvl="0">
      <w:lvlJc w:val="left"/>
      <w:lvlText w:val="%1"/>
      <w:numFmt w:val="decimal"/>
      <w:start w:val="1"/>
    </w:lvl>
    <w:lvl w:ilvl="1">
      <w:lvlJc w:val="left"/>
      <w:lvlText w:val="%2."/>
      <w:numFmt w:val="lowerLetter"/>
      <w:start w:val="1"/>
    </w:lvl>
  </w:abstractNum>
  <w:abstractNum w:abstractNumId="141">
    <w:nsid w:val="7C6489B6"/>
    <w:multiLevelType w:val="hybridMultilevel"/>
    <w:lvl w:ilvl="0">
      <w:lvlJc w:val="left"/>
      <w:lvlText w:val="%1."/>
      <w:numFmt w:val="decimal"/>
      <w:start w:val="22"/>
    </w:lvl>
    <w:lvl w:ilvl="1">
      <w:lvlJc w:val="left"/>
      <w:lvlText w:val="%2"/>
      <w:numFmt w:val="lowerLetter"/>
      <w:start w:val="1"/>
    </w:lvl>
  </w:abstractNum>
  <w:abstractNum w:abstractNumId="142">
    <w:nsid w:val="53AE65DE"/>
    <w:multiLevelType w:val="hybridMultilevel"/>
    <w:lvl w:ilvl="0">
      <w:lvlJc w:val="left"/>
      <w:lvlText w:val="(%1)"/>
      <w:numFmt w:val="lowerLetter"/>
      <w:start w:val="1"/>
    </w:lvl>
  </w:abstractNum>
  <w:abstractNum w:abstractNumId="143">
    <w:nsid w:val="527F603D"/>
    <w:multiLevelType w:val="hybridMultilevel"/>
    <w:lvl w:ilvl="0">
      <w:lvlJc w:val="left"/>
      <w:lvlText w:val="(%1)"/>
      <w:numFmt w:val="lowerLetter"/>
      <w:start w:val="2"/>
    </w:lvl>
    <w:lvl w:ilvl="1">
      <w:lvlJc w:val="left"/>
      <w:lvlText w:val="(%2)"/>
      <w:numFmt w:val="lowerRoman"/>
      <w:start w:val="1"/>
    </w:lvl>
  </w:abstractNum>
  <w:abstractNum w:abstractNumId="144">
    <w:nsid w:val="7E13D013"/>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145">
    <w:nsid w:val="663BFE95"/>
    <w:multiLevelType w:val="hybridMultilevel"/>
    <w:lvl w:ilvl="0">
      <w:lvlJc w:val="left"/>
      <w:lvlText w:val="%1"/>
      <w:numFmt w:val="lowerLetter"/>
      <w:start w:val="1"/>
    </w:lvl>
    <w:lvl w:ilvl="1">
      <w:lvlJc w:val="left"/>
      <w:lvlText w:val="(%2)"/>
      <w:numFmt w:val="lowerRoman"/>
      <w:start w:val="2"/>
    </w:lvl>
  </w:abstractNum>
  <w:abstractNum w:abstractNumId="146">
    <w:nsid w:val="31E0986F"/>
    <w:multiLevelType w:val="hybridMultilevel"/>
    <w:lvl w:ilvl="0">
      <w:lvlJc w:val="left"/>
      <w:lvlText w:val="(%1)"/>
      <w:numFmt w:val="lowerLetter"/>
      <w:start w:val="7"/>
    </w:lvl>
    <w:lvl w:ilvl="1">
      <w:lvlJc w:val="left"/>
      <w:lvlText w:val="%2"/>
      <w:numFmt w:val="lowerRoman"/>
      <w:start w:val="1"/>
    </w:lvl>
  </w:abstractNum>
  <w:abstractNum w:abstractNumId="147">
    <w:nsid w:val="41FCF274"/>
    <w:multiLevelType w:val="hybridMultilevel"/>
    <w:lvl w:ilvl="0">
      <w:lvlJc w:val="left"/>
      <w:lvlText w:val="(%1)"/>
      <w:numFmt w:val="lowerLetter"/>
      <w:start w:val="13"/>
    </w:lvl>
  </w:abstractNum>
  <w:abstractNum w:abstractNumId="148">
    <w:nsid w:val="294614F7"/>
    <w:multiLevelType w:val="hybridMultilevel"/>
    <w:lvl w:ilvl="0">
      <w:lvlJc w:val="left"/>
      <w:lvlText w:val="(%1)"/>
      <w:numFmt w:val="lowerLetter"/>
      <w:start w:val="14"/>
    </w:lvl>
  </w:abstractNum>
  <w:abstractNum w:abstractNumId="149">
    <w:nsid w:val="517DF487"/>
    <w:multiLevelType w:val="hybridMultilevel"/>
    <w:lvl w:ilvl="0">
      <w:lvlJc w:val="left"/>
      <w:lvlText w:val="%1."/>
      <w:numFmt w:val="decimal"/>
      <w:start w:val="23"/>
    </w:lvl>
    <w:lvl w:ilvl="1">
      <w:lvlJc w:val="left"/>
      <w:lvlText w:val="(%2)"/>
      <w:numFmt w:val="lowerRoman"/>
      <w:start w:val="1"/>
    </w:lvl>
  </w:abstractNum>
  <w:abstractNum w:abstractNumId="150">
    <w:nsid w:val="5EBE0EAB"/>
    <w:multiLevelType w:val="hybridMultilevel"/>
    <w:lvl w:ilvl="0">
      <w:lvlJc w:val="left"/>
      <w:lvlText w:val="(%1)"/>
      <w:numFmt w:val="lowerRoman"/>
      <w:start w:val="3"/>
    </w:lvl>
  </w:abstractNum>
  <w:abstractNum w:abstractNumId="151">
    <w:nsid w:val="6E9DEAD0"/>
    <w:multiLevelType w:val="hybridMultilevel"/>
    <w:lvl w:ilvl="0">
      <w:lvlJc w:val="left"/>
      <w:lvlText w:val="%1."/>
      <w:numFmt w:val="decimal"/>
      <w:start w:val="24"/>
    </w:lvl>
  </w:abstractNum>
  <w:abstractNum w:abstractNumId="152">
    <w:nsid w:val="4450AA00"/>
    <w:multiLevelType w:val="hybridMultilevel"/>
    <w:lvl w:ilvl="0">
      <w:lvlJc w:val="left"/>
      <w:lvlText w:val="(%1)"/>
      <w:numFmt w:val="lowerLetter"/>
      <w:start w:val="1"/>
    </w:lvl>
    <w:lvl w:ilvl="1">
      <w:lvlJc w:val="left"/>
      <w:lvlText w:val="(%2)"/>
      <w:numFmt w:val="lowerRoman"/>
      <w:start w:val="1"/>
    </w:lvl>
  </w:abstractNum>
  <w:abstractNum w:abstractNumId="153">
    <w:nsid w:val="4AC9F3E2"/>
    <w:multiLevelType w:val="hybridMultilevel"/>
    <w:lvl w:ilvl="0">
      <w:lvlJc w:val="left"/>
      <w:lvlText w:val="%1"/>
      <w:numFmt w:val="lowerLetter"/>
      <w:start w:val="1"/>
    </w:lvl>
    <w:lvl w:ilvl="1">
      <w:lvlJc w:val="left"/>
      <w:lvlText w:val="(%2)"/>
      <w:numFmt w:val="lowerRoman"/>
      <w:start w:val="2"/>
    </w:lvl>
  </w:abstractNum>
  <w:abstractNum w:abstractNumId="154">
    <w:nsid w:val="CC0A782"/>
    <w:multiLevelType w:val="hybridMultilevel"/>
    <w:lvl w:ilvl="0">
      <w:lvlJc w:val="left"/>
      <w:lvlText w:val="(%1)"/>
      <w:numFmt w:val="lowerLetter"/>
      <w:start w:val="11"/>
    </w:lvl>
    <w:lvl w:ilvl="1">
      <w:lvlJc w:val="left"/>
      <w:lvlText w:val="(%2)"/>
      <w:numFmt w:val="lowerRoman"/>
      <w:start w:val="1"/>
    </w:lvl>
  </w:abstractNum>
  <w:abstractNum w:abstractNumId="155">
    <w:nsid w:val="79B69BC9"/>
    <w:multiLevelType w:val="hybridMultilevel"/>
    <w:lvl w:ilvl="0">
      <w:lvlJc w:val="left"/>
      <w:lvlText w:val="%1."/>
      <w:numFmt w:val="decimal"/>
      <w:start w:val="24"/>
    </w:lvl>
    <w:lvl w:ilvl="1">
      <w:lvlJc w:val="left"/>
      <w:lvlText w:val="***"/>
      <w:numFmt w:val="bullet"/>
      <w:start w:val="1"/>
    </w:lvl>
  </w:abstractNum>
  <w:abstractNum w:abstractNumId="156">
    <w:nsid w:val="2970CC78"/>
    <w:multiLevelType w:val="hybridMultilevel"/>
    <w:lvl w:ilvl="0">
      <w:lvlJc w:val="left"/>
      <w:lvlText w:val="(%1)"/>
      <w:numFmt w:val="lowerLetter"/>
      <w:start w:val="1"/>
    </w:lvl>
  </w:abstractNum>
  <w:abstractNum w:abstractNumId="157">
    <w:nsid w:val="49CA1341"/>
    <w:multiLevelType w:val="hybridMultilevel"/>
    <w:lvl w:ilvl="0">
      <w:lvlJc w:val="left"/>
      <w:lvlText w:val="(%1)"/>
      <w:numFmt w:val="lowerLetter"/>
      <w:start w:val="2"/>
    </w:lvl>
    <w:lvl w:ilvl="1">
      <w:lvlJc w:val="left"/>
      <w:lvlText w:val="%2."/>
      <w:numFmt w:val="decimal"/>
      <w:start w:val="26"/>
    </w:lvl>
    <w:lvl w:ilvl="2">
      <w:lvlJc w:val="left"/>
      <w:lvlText w:val="(%3)"/>
      <w:numFmt w:val="lowerRoman"/>
      <w:start w:val="1"/>
    </w:lvl>
  </w:abstractNum>
  <w:abstractNum w:abstractNumId="158">
    <w:nsid w:val="58D717E"/>
    <w:multiLevelType w:val="hybridMultilevel"/>
    <w:lvl w:ilvl="0">
      <w:lvlJc w:val="left"/>
      <w:lvlText w:val="(%1)"/>
      <w:numFmt w:val="lowerLetter"/>
      <w:start w:val="1"/>
    </w:lvl>
    <w:lvl w:ilvl="1">
      <w:lvlJc w:val="left"/>
      <w:lvlText w:val="(%2)"/>
      <w:numFmt w:val="lowerRoman"/>
      <w:start w:val="1"/>
    </w:lvl>
  </w:abstractNum>
  <w:abstractNum w:abstractNumId="159">
    <w:nsid w:val="64C2DDD5"/>
    <w:multiLevelType w:val="hybridMultilevel"/>
    <w:lvl w:ilvl="0">
      <w:lvlJc w:val="left"/>
      <w:lvlText w:val="(%1)"/>
      <w:numFmt w:val="lowerLetter"/>
      <w:start w:val="2"/>
    </w:lvl>
  </w:abstractNum>
  <w:abstractNum w:abstractNumId="160">
    <w:nsid w:val="4244B8DE"/>
    <w:multiLevelType w:val="hybridMultilevel"/>
    <w:lvl w:ilvl="0">
      <w:lvlJc w:val="left"/>
      <w:lvlText w:val="(%1)"/>
      <w:numFmt w:val="lowerLetter"/>
      <w:start w:val="3"/>
    </w:lvl>
  </w:abstractNum>
  <w:abstractNum w:abstractNumId="161">
    <w:nsid w:val="76490B01"/>
    <w:multiLevelType w:val="hybridMultilevel"/>
    <w:lvl w:ilvl="0">
      <w:lvlJc w:val="left"/>
      <w:lvlText w:val="(%1)"/>
      <w:numFmt w:val="lowerRoman"/>
      <w:start w:val="1"/>
    </w:lvl>
  </w:abstractNum>
  <w:abstractNum w:abstractNumId="162">
    <w:nsid w:val="36B19CBF"/>
    <w:multiLevelType w:val="hybridMultilevel"/>
    <w:lvl w:ilvl="0">
      <w:lvlJc w:val="left"/>
      <w:lvlText w:val="%1."/>
      <w:numFmt w:val="decimal"/>
      <w:start w:val="27"/>
    </w:lvl>
    <w:lvl w:ilvl="1">
      <w:lvlJc w:val="left"/>
      <w:lvlText w:val="(%2)"/>
      <w:numFmt w:val="lowerLetter"/>
      <w:start w:val="1"/>
    </w:lvl>
    <w:lvl w:ilvl="2">
      <w:lvlJc w:val="left"/>
      <w:lvlText w:val="(%3)"/>
      <w:numFmt w:val="lowerRoman"/>
      <w:start w:val="1"/>
    </w:lvl>
  </w:abstractNum>
  <w:abstractNum w:abstractNumId="163">
    <w:nsid w:val="645EC5AB"/>
    <w:multiLevelType w:val="hybridMultilevel"/>
    <w:lvl w:ilvl="0">
      <w:lvlJc w:val="left"/>
      <w:lvlText w:val="(%1)"/>
      <w:numFmt w:val="lowerLetter"/>
      <w:start w:val="3"/>
    </w:lvl>
    <w:lvl w:ilvl="1">
      <w:lvlJc w:val="left"/>
      <w:lvlText w:val="(%2)"/>
      <w:numFmt w:val="lowerRoman"/>
      <w:start w:val="1"/>
    </w:lvl>
  </w:abstractNum>
  <w:abstractNum w:abstractNumId="164">
    <w:nsid w:val="11C5ABEF"/>
    <w:multiLevelType w:val="hybridMultilevel"/>
    <w:lvl w:ilvl="0">
      <w:lvlJc w:val="left"/>
      <w:lvlText w:val="%1."/>
      <w:numFmt w:val="decimal"/>
      <w:start w:val="31"/>
    </w:lvl>
  </w:abstractNum>
  <w:abstractNum w:abstractNumId="165">
    <w:nsid w:val="5A4744BE"/>
    <w:multiLevelType w:val="hybridMultilevel"/>
    <w:lvl w:ilvl="0">
      <w:lvlJc w:val="left"/>
      <w:lvlText w:val="(%1)"/>
      <w:numFmt w:val="lowerLetter"/>
      <w:start w:val="1"/>
    </w:lvl>
  </w:abstractNum>
  <w:abstractNum w:abstractNumId="166">
    <w:nsid w:val="1DC4B111"/>
    <w:multiLevelType w:val="hybridMultilevel"/>
    <w:lvl w:ilvl="0">
      <w:lvlJc w:val="left"/>
      <w:lvlText w:val="(%1)"/>
      <w:numFmt w:val="lowerLetter"/>
      <w:start w:val="2"/>
    </w:lvl>
  </w:abstractNum>
  <w:abstractNum w:abstractNumId="167">
    <w:nsid w:val="4C6E372B"/>
    <w:multiLevelType w:val="hybridMultilevel"/>
    <w:lvl w:ilvl="0">
      <w:lvlJc w:val="left"/>
      <w:lvlText w:val="(%1)"/>
      <w:numFmt w:val="lowerLetter"/>
      <w:start w:val="3"/>
    </w:lvl>
  </w:abstractNum>
  <w:abstractNum w:abstractNumId="168">
    <w:nsid w:val="10236EF"/>
    <w:multiLevelType w:val="hybridMultilevel"/>
    <w:lvl w:ilvl="0">
      <w:lvlJc w:val="left"/>
      <w:lvlText w:val="(%1)"/>
      <w:numFmt w:val="lowerLetter"/>
      <w:start w:val="1"/>
    </w:lvl>
    <w:lvl w:ilvl="1">
      <w:lvlJc w:val="left"/>
      <w:lvlText w:val="%2."/>
      <w:numFmt w:val="decimal"/>
      <w:start w:val="33"/>
    </w:lvl>
    <w:lvl w:ilvl="2">
      <w:lvlJc w:val="left"/>
      <w:lvlText w:val="(%3)"/>
      <w:numFmt w:val="lowerRoman"/>
      <w:start w:val="1"/>
    </w:lvl>
  </w:abstractNum>
  <w:abstractNum w:abstractNumId="169">
    <w:nsid w:val="68D8526B"/>
    <w:multiLevelType w:val="hybridMultilevel"/>
    <w:lvl w:ilvl="0">
      <w:lvlJc w:val="left"/>
      <w:lvlText w:val="(%1)"/>
      <w:numFmt w:val="lowerLetter"/>
      <w:start w:val="1"/>
    </w:lvl>
  </w:abstractNum>
  <w:abstractNum w:abstractNumId="170">
    <w:nsid w:val="3C8CC138"/>
    <w:multiLevelType w:val="hybridMultilevel"/>
    <w:lvl w:ilvl="0">
      <w:lvlJc w:val="left"/>
      <w:lvlText w:val="(%1)"/>
      <w:numFmt w:val="lowerLetter"/>
      <w:start w:val="1"/>
    </w:lvl>
  </w:abstractNum>
  <w:abstractNum w:abstractNumId="171">
    <w:nsid w:val="42E8C7BE"/>
    <w:multiLevelType w:val="hybridMultilevel"/>
    <w:lvl w:ilvl="0">
      <w:lvlJc w:val="left"/>
      <w:lvlText w:val="(%1)"/>
      <w:numFmt w:val="lowerRoman"/>
      <w:start w:val="1"/>
    </w:lvl>
  </w:abstractNum>
  <w:abstractNum w:abstractNumId="172">
    <w:nsid w:val="653CDC22"/>
    <w:multiLevelType w:val="hybridMultilevel"/>
    <w:lvl w:ilvl="0">
      <w:lvlJc w:val="left"/>
      <w:lvlText w:val="(%1)"/>
      <w:numFmt w:val="lowerLetter"/>
      <w:start w:val="1"/>
    </w:lvl>
  </w:abstractNum>
  <w:abstractNum w:abstractNumId="173">
    <w:nsid w:val="103B2716"/>
    <w:multiLevelType w:val="hybridMultilevel"/>
    <w:lvl w:ilvl="0">
      <w:lvlJc w:val="left"/>
      <w:lvlText w:val="(%1)"/>
      <w:numFmt w:val="lowerRoman"/>
      <w:start w:val="1"/>
    </w:lvl>
  </w:abstractNum>
  <w:abstractNum w:abstractNumId="174">
    <w:nsid w:val="156827FB"/>
    <w:multiLevelType w:val="hybridMultilevel"/>
    <w:lvl w:ilvl="0">
      <w:lvlJc w:val="left"/>
      <w:lvlText w:val="(%1)"/>
      <w:numFmt w:val="lowerRoman"/>
      <w:start w:val="1"/>
    </w:lvl>
  </w:abstractNum>
  <w:abstractNum w:abstractNumId="175">
    <w:nsid w:val="6350AC35"/>
    <w:multiLevelType w:val="hybridMultilevel"/>
    <w:lvl w:ilvl="0">
      <w:lvlJc w:val="left"/>
      <w:lvlText w:val="(%1)"/>
      <w:numFmt w:val="lowerLetter"/>
      <w:start w:val="1"/>
    </w:lvl>
  </w:abstractNum>
  <w:abstractNum w:abstractNumId="176">
    <w:nsid w:val="767725AB"/>
    <w:multiLevelType w:val="hybridMultilevel"/>
    <w:lvl w:ilvl="0">
      <w:lvlJc w:val="left"/>
      <w:lvlText w:val="(%1)"/>
      <w:numFmt w:val="lowerLetter"/>
      <w:start w:val="7"/>
    </w:lvl>
  </w:abstractNum>
  <w:abstractNum w:abstractNumId="177">
    <w:nsid w:val="4748C06A"/>
    <w:multiLevelType w:val="hybridMultilevel"/>
    <w:lvl w:ilvl="0">
      <w:lvlJc w:val="left"/>
      <w:lvlText w:val="%1."/>
      <w:numFmt w:val="decimal"/>
      <w:start w:val="1"/>
    </w:lvl>
    <w:lvl w:ilvl="1">
      <w:lvlJc w:val="left"/>
      <w:lvlText w:val="(%2)"/>
      <w:numFmt w:val="lowerLetter"/>
      <w:start w:val="1"/>
    </w:lvl>
  </w:abstractNum>
  <w:abstractNum w:abstractNumId="178">
    <w:nsid w:val="254D9EA9"/>
    <w:multiLevelType w:val="hybridMultilevel"/>
    <w:lvl w:ilvl="0">
      <w:lvlJc w:val="left"/>
      <w:lvlText w:val="%1."/>
      <w:numFmt w:val="decimal"/>
      <w:start w:val="7"/>
    </w:lvl>
    <w:lvl w:ilvl="1">
      <w:lvlJc w:val="left"/>
      <w:lvlText w:val="(%2)"/>
      <w:numFmt w:val="lowerLetter"/>
      <w:start w:val="1"/>
    </w:lvl>
  </w:abstractNum>
  <w:abstractNum w:abstractNumId="179">
    <w:nsid w:val="1FBD3AA3"/>
    <w:multiLevelType w:val="hybridMultilevel"/>
    <w:lvl w:ilvl="0">
      <w:lvlJc w:val="left"/>
      <w:lvlText w:val="%1."/>
      <w:numFmt w:val="decimal"/>
      <w:start w:val="9"/>
    </w:lvl>
    <w:lvl w:ilvl="1">
      <w:lvlJc w:val="left"/>
      <w:lvlText w:val="(%2)"/>
      <w:numFmt w:val="lowerLetter"/>
      <w:start w:val="1"/>
    </w:lvl>
  </w:abstractNum>
  <w:abstractNum w:abstractNumId="180">
    <w:nsid w:val="18C6B4F2"/>
    <w:multiLevelType w:val="hybridMultilevel"/>
    <w:lvl w:ilvl="0">
      <w:lvlJc w:val="left"/>
      <w:lvlText w:val="(%1)"/>
      <w:numFmt w:val="lowerRoman"/>
      <w:start w:val="2"/>
    </w:lvl>
  </w:abstractNum>
  <w:abstractNum w:abstractNumId="181">
    <w:nsid w:val="40BAD55"/>
    <w:multiLevelType w:val="hybridMultilevel"/>
    <w:lvl w:ilvl="0">
      <w:lvlJc w:val="left"/>
      <w:lvlText w:val="(%1)"/>
      <w:numFmt w:val="lowerRoman"/>
      <w:start w:val="3"/>
    </w:lvl>
  </w:abstractNum>
  <w:abstractNum w:abstractNumId="182">
    <w:nsid w:val="E5B2573"/>
    <w:multiLevelType w:val="hybridMultilevel"/>
    <w:lvl w:ilvl="0">
      <w:lvlJc w:val="left"/>
      <w:lvlText w:val="(%1)"/>
      <w:numFmt w:val="lowerLetter"/>
      <w:start w:val="2"/>
    </w:lvl>
  </w:abstractNum>
  <w:abstractNum w:abstractNumId="183">
    <w:nsid w:val="5D175EF2"/>
    <w:multiLevelType w:val="hybridMultilevel"/>
    <w:lvl w:ilvl="0">
      <w:lvlJc w:val="left"/>
      <w:lvlText w:val="(%1)"/>
      <w:numFmt w:val="lowerLetter"/>
      <w:start w:val="3"/>
    </w:lvl>
  </w:abstractNum>
  <w:abstractNum w:abstractNumId="184">
    <w:nsid w:val="4ED5A137"/>
    <w:multiLevelType w:val="hybridMultilevel"/>
    <w:lvl w:ilvl="0">
      <w:lvlJc w:val="left"/>
      <w:lvlText w:val="(%1)"/>
      <w:numFmt w:val="lowerLetter"/>
      <w:start w:val="5"/>
    </w:lvl>
  </w:abstractNum>
  <w:abstractNum w:abstractNumId="185">
    <w:nsid w:val="1B1BCCF5"/>
    <w:multiLevelType w:val="hybridMultilevel"/>
    <w:lvl w:ilvl="0">
      <w:lvlJc w:val="left"/>
      <w:lvlText w:val="%1"/>
      <w:numFmt w:val="decimal"/>
      <w:start w:val="1"/>
    </w:lvl>
    <w:lvl w:ilvl="1">
      <w:lvlJc w:val="left"/>
      <w:lvlText w:val="%2"/>
      <w:numFmt w:val="lowerLetter"/>
      <w:start w:val="1"/>
    </w:lvl>
    <w:lvl w:ilvl="2">
      <w:lvlJc w:val="left"/>
      <w:lvlText w:val="(%3)"/>
      <w:numFmt w:val="decimal"/>
      <w:start w:val="60"/>
    </w:lvl>
  </w:abstractNum>
  <w:abstractNum w:abstractNumId="186">
    <w:nsid w:val="56CDFABB"/>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187">
    <w:nsid w:val="78466DAF"/>
    <w:multiLevelType w:val="hybridMultilevel"/>
    <w:lvl w:ilvl="0">
      <w:lvlJc w:val="left"/>
      <w:lvlText w:val="%1"/>
      <w:numFmt w:val="decimal"/>
      <w:start w:val="1"/>
    </w:lvl>
    <w:lvl w:ilvl="1">
      <w:lvlJc w:val="left"/>
      <w:lvlText w:val="(%2)"/>
      <w:numFmt w:val="lowerLetter"/>
      <w:start w:val="2"/>
    </w:lvl>
  </w:abstractNum>
  <w:abstractNum w:abstractNumId="188">
    <w:nsid w:val="64E5E036"/>
    <w:multiLevelType w:val="hybridMultilevel"/>
    <w:lvl w:ilvl="0">
      <w:lvlJc w:val="left"/>
      <w:lvlText w:val="%1."/>
      <w:numFmt w:val="decimal"/>
      <w:start w:val="14"/>
    </w:lvl>
    <w:lvl w:ilvl="1">
      <w:lvlJc w:val="left"/>
      <w:lvlText w:val="(%2)"/>
      <w:numFmt w:val="lowerLetter"/>
      <w:start w:val="1"/>
    </w:lvl>
  </w:abstractNum>
  <w:abstractNum w:abstractNumId="189">
    <w:nsid w:val="5C5B6C3A"/>
    <w:multiLevelType w:val="hybridMultilevel"/>
    <w:lvl w:ilvl="0">
      <w:lvlJc w:val="left"/>
      <w:lvlText w:val="%1"/>
      <w:numFmt w:val="decimal"/>
      <w:start w:val="1"/>
    </w:lvl>
    <w:lvl w:ilvl="1">
      <w:lvlJc w:val="left"/>
      <w:lvlText w:val="(%2)"/>
      <w:numFmt w:val="lowerLetter"/>
      <w:start w:val="12"/>
    </w:lvl>
  </w:abstractNum>
  <w:abstractNum w:abstractNumId="190">
    <w:nsid w:val="5D094B84"/>
    <w:multiLevelType w:val="hybridMultilevel"/>
    <w:lvl w:ilvl="0">
      <w:lvlJc w:val="left"/>
      <w:lvlText w:val="%1."/>
      <w:numFmt w:val="decimal"/>
      <w:start w:val="15"/>
    </w:lvl>
    <w:lvl w:ilvl="1">
      <w:lvlJc w:val="left"/>
      <w:lvlText w:val="(%2)"/>
      <w:numFmt w:val="lowerLetter"/>
      <w:start w:val="1"/>
    </w:lvl>
  </w:abstractNum>
  <w:abstractNum w:abstractNumId="191">
    <w:nsid w:val="272A9914"/>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192">
    <w:nsid w:val="52A4773B"/>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193">
    <w:nsid w:val="13BAE84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194">
    <w:nsid w:val="B895EB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95">
    <w:nsid w:val="646A232A"/>
    <w:multiLevelType w:val="hybridMultilevel"/>
    <w:lvl w:ilvl="0">
      <w:lvlJc w:val="left"/>
      <w:lvlText w:val="%1."/>
      <w:numFmt w:val="decimal"/>
      <w:start w:val="29"/>
    </w:lvl>
    <w:lvl w:ilvl="1">
      <w:lvlJc w:val="left"/>
      <w:lvlText w:val="%2"/>
      <w:numFmt w:val="lowerLetter"/>
      <w:start w:val="1"/>
    </w:lvl>
    <w:lvl w:ilvl="2">
      <w:lvlJc w:val="left"/>
      <w:lvlText w:val="%3"/>
      <w:numFmt w:val="lowerLetter"/>
      <w:start w:val="1"/>
    </w:lvl>
  </w:abstractNum>
  <w:abstractNum w:abstractNumId="196">
    <w:nsid w:val="6E022D01"/>
    <w:multiLevelType w:val="hybridMultilevel"/>
    <w:lvl w:ilvl="0">
      <w:lvlJc w:val="left"/>
      <w:lvlText w:val="(%1)"/>
      <w:numFmt w:val="lowerRoman"/>
      <w:start w:val="1"/>
    </w:lvl>
  </w:abstractNum>
  <w:abstractNum w:abstractNumId="197">
    <w:nsid w:val="294E0FD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198">
    <w:nsid w:val="30D85A55"/>
    <w:multiLevelType w:val="hybridMultilevel"/>
    <w:lvl w:ilvl="0">
      <w:lvlJc w:val="left"/>
      <w:lvlText w:val="%1."/>
      <w:numFmt w:val="decimal"/>
      <w:start w:val="31"/>
    </w:lvl>
    <w:lvl w:ilvl="1">
      <w:lvlJc w:val="left"/>
      <w:lvlText w:val="%2"/>
      <w:numFmt w:val="lowerLetter"/>
      <w:start w:val="1"/>
    </w:lvl>
    <w:lvl w:ilvl="2">
      <w:lvlJc w:val="left"/>
      <w:lvlText w:val="(%3)"/>
      <w:numFmt w:val="lowerLetter"/>
      <w:start w:val="1"/>
    </w:lvl>
  </w:abstractNum>
  <w:abstractNum w:abstractNumId="199">
    <w:nsid w:val="6F0463F1"/>
    <w:multiLevelType w:val="hybridMultilevel"/>
    <w:lvl w:ilvl="0">
      <w:lvlJc w:val="left"/>
      <w:lvlText w:val="%1."/>
      <w:numFmt w:val="decimal"/>
      <w:start w:val="1"/>
    </w:lvl>
    <w:lvl w:ilvl="1">
      <w:lvlJc w:val="left"/>
      <w:lvlText w:val="(%2)"/>
      <w:numFmt w:val="lowerLetter"/>
      <w:start w:val="1"/>
    </w:lvl>
  </w:abstractNum>
  <w:abstractNum w:abstractNumId="200">
    <w:nsid w:val="1226623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01">
    <w:nsid w:val="6D651B8D"/>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02">
    <w:nsid w:val="31ED2BAF"/>
    <w:multiLevelType w:val="hybridMultilevel"/>
    <w:lvl w:ilvl="0">
      <w:lvlJc w:val="left"/>
      <w:lvlText w:val="%1."/>
      <w:numFmt w:val="decimal"/>
      <w:start w:val="4"/>
    </w:lvl>
  </w:abstractNum>
  <w:abstractNum w:abstractNumId="203">
    <w:nsid w:val="77633E5E"/>
    <w:multiLevelType w:val="hybridMultilevel"/>
    <w:lvl w:ilvl="0">
      <w:lvlJc w:val="left"/>
      <w:lvlText w:val="%1."/>
      <w:numFmt w:val="decimal"/>
      <w:start w:val="1"/>
    </w:lvl>
  </w:abstractNum>
  <w:abstractNum w:abstractNumId="204">
    <w:nsid w:val="7DA042A3"/>
    <w:multiLevelType w:val="hybridMultilevel"/>
    <w:lvl w:ilvl="0">
      <w:lvlJc w:val="left"/>
      <w:lvlText w:val="%1."/>
      <w:numFmt w:val="decimal"/>
      <w:start w:val="32"/>
    </w:lvl>
    <w:lvl w:ilvl="1">
      <w:lvlJc w:val="left"/>
      <w:lvlText w:val="(%2)"/>
      <w:numFmt w:val="lowerLetter"/>
      <w:start w:val="1"/>
    </w:lvl>
  </w:abstractNum>
  <w:abstractNum w:abstractNumId="205">
    <w:nsid w:val="475553AB"/>
    <w:multiLevelType w:val="hybridMultilevel"/>
    <w:lvl w:ilvl="0">
      <w:lvlJc w:val="left"/>
      <w:lvlText w:val="(%1)"/>
      <w:numFmt w:val="lowerLetter"/>
      <w:start w:val="1"/>
    </w:lvl>
  </w:abstractNum>
  <w:abstractNum w:abstractNumId="206">
    <w:nsid w:val="5AB3EA93"/>
    <w:multiLevelType w:val="hybridMultilevel"/>
    <w:lvl w:ilvl="0">
      <w:lvlJc w:val="left"/>
      <w:lvlText w:val="(%1)"/>
      <w:numFmt w:val="lowerLetter"/>
      <w:start w:val="1"/>
    </w:lvl>
  </w:abstractNum>
  <w:abstractNum w:abstractNumId="207">
    <w:nsid w:val="7417684F"/>
    <w:multiLevelType w:val="hybridMultilevel"/>
    <w:lvl w:ilvl="0">
      <w:lvlJc w:val="left"/>
      <w:lvlText w:val="(%1)"/>
      <w:numFmt w:val="lowerLetter"/>
      <w:start w:val="2"/>
    </w:lvl>
  </w:abstractNum>
  <w:abstractNum w:abstractNumId="208">
    <w:nsid w:val="E9E1415"/>
    <w:multiLevelType w:val="hybridMultilevel"/>
    <w:lvl w:ilvl="0">
      <w:lvlJc w:val="left"/>
      <w:lvlText w:val="(%1)"/>
      <w:numFmt w:val="lowerLetter"/>
      <w:start w:val="1"/>
    </w:lvl>
  </w:abstractNum>
  <w:abstractNum w:abstractNumId="209">
    <w:nsid w:val="1893D"/>
    <w:multiLevelType w:val="hybridMultilevel"/>
    <w:lvl w:ilvl="0">
      <w:lvlJc w:val="left"/>
      <w:lvlText w:val="(%1)"/>
      <w:numFmt w:val="lowerLetter"/>
      <w:start w:val="1"/>
    </w:lvl>
  </w:abstractNum>
  <w:abstractNum w:abstractNumId="210">
    <w:nsid w:val="13D4A2F2"/>
    <w:multiLevelType w:val="hybridMultilevel"/>
    <w:lvl w:ilvl="0">
      <w:lvlJc w:val="left"/>
      <w:lvlText w:val="(%1)"/>
      <w:numFmt w:val="lowerRoman"/>
      <w:start w:val="1"/>
    </w:lvl>
  </w:abstractNum>
  <w:abstractNum w:abstractNumId="211">
    <w:nsid w:val="2764C907"/>
    <w:multiLevelType w:val="hybridMultilevel"/>
    <w:lvl w:ilvl="0">
      <w:lvlJc w:val="left"/>
      <w:lvlText w:val="(%1)"/>
      <w:numFmt w:val="lowerRoman"/>
      <w:start w:val="1"/>
    </w:lvl>
  </w:abstractNum>
  <w:abstractNum w:abstractNumId="212">
    <w:nsid w:val="40D3692"/>
    <w:multiLevelType w:val="hybridMultilevel"/>
    <w:lvl w:ilvl="0">
      <w:lvlJc w:val="left"/>
      <w:lvlText w:val="(%1)"/>
      <w:numFmt w:val="lowerLetter"/>
      <w:start w:val="1"/>
    </w:lvl>
  </w:abstractNum>
  <w:abstractNum w:abstractNumId="213">
    <w:nsid w:val="222FC865"/>
    <w:multiLevelType w:val="hybridMultilevel"/>
    <w:lvl w:ilvl="0">
      <w:lvlJc w:val="left"/>
      <w:lvlText w:val="(%1)"/>
      <w:numFmt w:val="lowerLetter"/>
      <w:start w:val="1"/>
    </w:lvl>
  </w:abstractNum>
  <w:abstractNum w:abstractNumId="214">
    <w:nsid w:val="47C27FA"/>
    <w:multiLevelType w:val="hybridMultilevel"/>
    <w:lvl w:ilvl="0">
      <w:lvlJc w:val="left"/>
      <w:lvlText w:val="(%1)"/>
      <w:numFmt w:val="lowerLetter"/>
      <w:start w:val="1"/>
    </w:lvl>
  </w:abstractNum>
  <w:abstractNum w:abstractNumId="215">
    <w:nsid w:val="52E2D7C9"/>
    <w:multiLevelType w:val="hybridMultilevel"/>
    <w:lvl w:ilvl="0">
      <w:lvlJc w:val="left"/>
      <w:lvlText w:val="(%1)"/>
      <w:numFmt w:val="lowerLetter"/>
      <w:start w:val="1"/>
    </w:lvl>
  </w:abstractNum>
  <w:abstractNum w:abstractNumId="216">
    <w:nsid w:val="3D4B955A"/>
    <w:multiLevelType w:val="hybridMultilevel"/>
    <w:lvl w:ilvl="0">
      <w:lvlJc w:val="left"/>
      <w:lvlText w:val="(%1)"/>
      <w:numFmt w:val="lowerLetter"/>
      <w:start w:val="1"/>
    </w:lvl>
  </w:abstractNum>
  <w:abstractNum w:abstractNumId="217">
    <w:nsid w:val="5B4A22B5"/>
    <w:multiLevelType w:val="hybridMultilevel"/>
    <w:lvl w:ilvl="0">
      <w:lvlJc w:val="left"/>
      <w:lvlText w:val="(%1)"/>
      <w:numFmt w:val="lowerLetter"/>
      <w:start w:val="1"/>
    </w:lvl>
    <w:lvl w:ilvl="1">
      <w:lvlJc w:val="left"/>
      <w:lvlText w:val="(%2)"/>
      <w:numFmt w:val="lowerRoman"/>
      <w:start w:val="1"/>
    </w:lvl>
  </w:abstractNum>
  <w:abstractNum w:abstractNumId="218">
    <w:nsid w:val="4B294578"/>
    <w:multiLevelType w:val="hybridMultilevel"/>
    <w:lvl w:ilvl="0">
      <w:lvlJc w:val="left"/>
      <w:lvlText w:val="(%1)"/>
      <w:numFmt w:val="lowerLetter"/>
      <w:start w:val="1"/>
    </w:lvl>
  </w:abstractNum>
  <w:abstractNum w:abstractNumId="219">
    <w:nsid w:val="22317590"/>
    <w:multiLevelType w:val="hybridMultilevel"/>
    <w:lvl w:ilvl="0">
      <w:lvlJc w:val="left"/>
      <w:lvlText w:val="(%1)"/>
      <w:numFmt w:val="lowerLetter"/>
      <w:start w:val="1"/>
    </w:lvl>
  </w:abstractNum>
  <w:abstractNum w:abstractNumId="220">
    <w:nsid w:val="37A58EEF"/>
    <w:multiLevelType w:val="hybridMultilevel"/>
    <w:lvl w:ilvl="0">
      <w:lvlJc w:val="left"/>
      <w:lvlText w:val="(%1)"/>
      <w:numFmt w:val="lowerLetter"/>
      <w:start w:val="1"/>
    </w:lvl>
  </w:abstractNum>
  <w:abstractNum w:abstractNumId="221">
    <w:nsid w:val="283290FD"/>
    <w:multiLevelType w:val="hybridMultilevel"/>
    <w:lvl w:ilvl="0">
      <w:lvlJc w:val="left"/>
      <w:lvlText w:val="(%1)"/>
      <w:numFmt w:val="lowerLetter"/>
      <w:start w:val="1"/>
    </w:lvl>
  </w:abstractNum>
  <w:abstractNum w:abstractNumId="222">
    <w:nsid w:val="495C0EA5"/>
    <w:multiLevelType w:val="hybridMultilevel"/>
    <w:lvl w:ilvl="0">
      <w:lvlJc w:val="left"/>
      <w:lvlText w:val="(%1)"/>
      <w:numFmt w:val="lowerLetter"/>
      <w:start w:val="1"/>
    </w:lvl>
  </w:abstractNum>
  <w:abstractNum w:abstractNumId="223">
    <w:nsid w:val="A4A062B"/>
    <w:multiLevelType w:val="hybridMultilevel"/>
    <w:lvl w:ilvl="0">
      <w:lvlJc w:val="left"/>
      <w:lvlText w:val="(%1)"/>
      <w:numFmt w:val="lowerLetter"/>
      <w:start w:val="1"/>
    </w:lvl>
  </w:abstractNum>
  <w:abstractNum w:abstractNumId="224">
    <w:nsid w:val="3BED7940"/>
    <w:multiLevelType w:val="hybridMultilevel"/>
    <w:lvl w:ilvl="0">
      <w:lvlJc w:val="left"/>
      <w:lvlText w:val="(%1)"/>
      <w:numFmt w:val="lowerLetter"/>
      <w:start w:val="1"/>
    </w:lvl>
  </w:abstractNum>
  <w:abstractNum w:abstractNumId="225">
    <w:nsid w:val="54E56D64"/>
    <w:multiLevelType w:val="hybridMultilevel"/>
    <w:lvl w:ilvl="0">
      <w:lvlJc w:val="left"/>
      <w:lvlText w:val="(%1)"/>
      <w:numFmt w:val="lowerLetter"/>
      <w:start w:val="1"/>
    </w:lvl>
  </w:abstractNum>
  <w:abstractNum w:abstractNumId="226">
    <w:nsid w:val="6EB42955"/>
    <w:multiLevelType w:val="hybridMultilevel"/>
    <w:lvl w:ilvl="0">
      <w:lvlJc w:val="left"/>
      <w:lvlText w:val="(%1)"/>
      <w:numFmt w:val="lowerLetter"/>
      <w:start w:val="1"/>
    </w:lvl>
  </w:abstractNum>
  <w:abstractNum w:abstractNumId="227">
    <w:nsid w:val="29EFA642"/>
    <w:multiLevelType w:val="hybridMultilevel"/>
    <w:lvl w:ilvl="0">
      <w:lvlJc w:val="left"/>
      <w:lvlText w:val="(%1)"/>
      <w:numFmt w:val="lowerLetter"/>
      <w:start w:val="1"/>
    </w:lvl>
  </w:abstractNum>
  <w:abstractNum w:abstractNumId="228">
    <w:nsid w:val="7E337D35"/>
    <w:multiLevelType w:val="hybridMultilevel"/>
    <w:lvl w:ilvl="0">
      <w:lvlJc w:val="left"/>
      <w:lvlText w:val="(%1)"/>
      <w:numFmt w:val="lowerLetter"/>
      <w:start w:val="1"/>
    </w:lvl>
  </w:abstractNum>
  <w:abstractNum w:abstractNumId="229">
    <w:nsid w:val="1F8C83AB"/>
    <w:multiLevelType w:val="hybridMultilevel"/>
    <w:lvl w:ilvl="0">
      <w:lvlJc w:val="left"/>
      <w:lvlText w:val="(%1)"/>
      <w:numFmt w:val="lowerLetter"/>
      <w:start w:val="1"/>
    </w:lvl>
  </w:abstractNum>
  <w:abstractNum w:abstractNumId="230">
    <w:nsid w:val="18F40A33"/>
    <w:multiLevelType w:val="hybridMultilevel"/>
    <w:lvl w:ilvl="0">
      <w:lvlJc w:val="left"/>
      <w:lvlText w:val="(%1)"/>
      <w:numFmt w:val="lowerLetter"/>
      <w:start w:val="2"/>
    </w:lvl>
  </w:abstractNum>
  <w:abstractNum w:abstractNumId="231">
    <w:nsid w:val="1059DF71"/>
    <w:multiLevelType w:val="hybridMultilevel"/>
    <w:lvl w:ilvl="0">
      <w:lvlJc w:val="left"/>
      <w:lvlText w:val="(%1)"/>
      <w:numFmt w:val="lowerLetter"/>
      <w:start w:val="1"/>
    </w:lvl>
  </w:abstractNum>
  <w:abstractNum w:abstractNumId="232">
    <w:nsid w:val="CF19F38"/>
    <w:multiLevelType w:val="hybridMultilevel"/>
    <w:lvl w:ilvl="0">
      <w:lvlJc w:val="left"/>
      <w:lvlText w:val="(%1)"/>
      <w:numFmt w:val="lowerLetter"/>
      <w:start w:val="1"/>
    </w:lvl>
    <w:lvl w:ilvl="1">
      <w:lvlJc w:val="left"/>
      <w:lvlText w:val="(%2)"/>
      <w:numFmt w:val="upperLetter"/>
      <w:start w:val="1"/>
    </w:lvl>
  </w:abstractNum>
  <w:abstractNum w:abstractNumId="233">
    <w:nsid w:val="4AE135E2"/>
    <w:multiLevelType w:val="hybridMultilevel"/>
    <w:lvl w:ilvl="0">
      <w:lvlJc w:val="left"/>
      <w:lvlText w:val="%1"/>
      <w:numFmt w:val="lowerLetter"/>
      <w:start w:val="1"/>
    </w:lvl>
    <w:lvl w:ilvl="1">
      <w:lvlJc w:val="left"/>
      <w:lvlText w:val="(%2)"/>
      <w:numFmt w:val="upperLetter"/>
      <w:start w:val="3"/>
    </w:lvl>
  </w:abstractNum>
  <w:abstractNum w:abstractNumId="234">
    <w:nsid w:val="7BD1DCF"/>
    <w:multiLevelType w:val="hybridMultilevel"/>
    <w:lvl w:ilvl="0">
      <w:lvlJc w:val="left"/>
      <w:lvlText w:val="(%1)"/>
      <w:numFmt w:val="lowerLetter"/>
      <w:start w:val="3"/>
    </w:lvl>
    <w:lvl w:ilvl="1">
      <w:lvlJc w:val="left"/>
      <w:lvlText w:val="%2"/>
      <w:numFmt w:val="upperLetter"/>
      <w:start w:val="1"/>
    </w:lvl>
  </w:abstractNum>
  <w:abstractNum w:abstractNumId="235">
    <w:nsid w:val="A91E1DC"/>
    <w:multiLevelType w:val="hybridMultilevel"/>
    <w:lvl w:ilvl="0">
      <w:lvlJc w:val="left"/>
      <w:lvlText w:val="(%1)"/>
      <w:numFmt w:val="lowerRoman"/>
      <w:start w:val="1"/>
    </w:lvl>
  </w:abstractNum>
  <w:abstractNum w:abstractNumId="236">
    <w:nsid w:val="1236898D"/>
    <w:multiLevelType w:val="hybridMultilevel"/>
    <w:lvl w:ilvl="0">
      <w:lvlJc w:val="left"/>
      <w:lvlText w:val="(%1)"/>
      <w:numFmt w:val="lowerLetter"/>
      <w:start w:val="1"/>
    </w:lvl>
  </w:abstractNum>
  <w:abstractNum w:abstractNumId="237">
    <w:nsid w:val="62710862"/>
    <w:multiLevelType w:val="hybridMultilevel"/>
    <w:lvl w:ilvl="0">
      <w:lvlJc w:val="left"/>
      <w:lvlText w:val="(%1)"/>
      <w:numFmt w:val="lowerLetter"/>
      <w:start w:val="1"/>
    </w:lvl>
  </w:abstractNum>
  <w:abstractNum w:abstractNumId="238">
    <w:nsid w:val="7EA94A2B"/>
    <w:multiLevelType w:val="hybridMultilevel"/>
    <w:lvl w:ilvl="0">
      <w:lvlJc w:val="left"/>
      <w:lvlText w:val="(%1)"/>
      <w:numFmt w:val="lowerLetter"/>
      <w:start w:val="1"/>
    </w:lvl>
  </w:abstractNum>
  <w:abstractNum w:abstractNumId="239">
    <w:nsid w:val="20D49DA3"/>
    <w:multiLevelType w:val="hybridMultilevel"/>
    <w:lvl w:ilvl="0">
      <w:lvlJc w:val="left"/>
      <w:lvlText w:val="(%1)"/>
      <w:numFmt w:val="lowerLetter"/>
      <w:start w:val="1"/>
    </w:lvl>
  </w:abstractNum>
  <w:abstractNum w:abstractNumId="240">
    <w:nsid w:val="6272919F"/>
    <w:multiLevelType w:val="hybridMultilevel"/>
    <w:lvl w:ilvl="0">
      <w:lvlJc w:val="left"/>
      <w:lvlText w:val="%1."/>
      <w:numFmt w:val="decimal"/>
      <w:start w:val="33"/>
    </w:lvl>
    <w:lvl w:ilvl="1">
      <w:lvlJc w:val="left"/>
      <w:lvlText w:val="(%2)"/>
      <w:numFmt w:val="lowerLetter"/>
      <w:start w:val="1"/>
    </w:lvl>
    <w:lvl w:ilvl="2">
      <w:lvlJc w:val="left"/>
      <w:lvlText w:val="(%3)"/>
      <w:numFmt w:val="lowerRoman"/>
      <w:start w:val="1"/>
    </w:lvl>
  </w:abstractNum>
  <w:abstractNum w:abstractNumId="241">
    <w:nsid w:val="127DED1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8"/>
    </w:lvl>
  </w:abstractNum>
  <w:abstractNum w:abstractNumId="242">
    <w:nsid w:val="483966A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3">
    <w:nsid w:val="667FC831"/>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244">
    <w:nsid w:val="34ADB58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45">
    <w:nsid w:val="4CB58EA4"/>
    <w:multiLevelType w:val="hybridMultilevel"/>
    <w:lvl w:ilvl="0">
      <w:lvlJc w:val="left"/>
      <w:lvlText w:val="%1."/>
      <w:numFmt w:val="decimal"/>
      <w:start w:val="35"/>
    </w:lvl>
    <w:lvl w:ilvl="1">
      <w:lvlJc w:val="left"/>
      <w:lvlText w:val="(%2)"/>
      <w:numFmt w:val="lowerLetter"/>
      <w:start w:val="1"/>
    </w:lvl>
    <w:lvl w:ilvl="2">
      <w:lvlJc w:val="left"/>
      <w:lvlText w:val="(%3)"/>
      <w:numFmt w:val="lowerRoman"/>
      <w:start w:val="1"/>
    </w:lvl>
  </w:abstractNum>
  <w:abstractNum w:abstractNumId="246">
    <w:nsid w:val="39629FFA"/>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47">
    <w:nsid w:val="71F94AD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248">
    <w:nsid w:val="27FFB15A"/>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49">
    <w:nsid w:val="48BE573"/>
    <w:multiLevelType w:val="hybridMultilevel"/>
    <w:lvl w:ilvl="0">
      <w:lvlJc w:val="left"/>
      <w:lvlText w:val="(%1)"/>
      <w:numFmt w:val="lowerRoman"/>
      <w:start w:val="2"/>
    </w:lvl>
    <w:lvl w:ilvl="1">
      <w:lvlJc w:val="left"/>
      <w:lvlText w:val="(%2)"/>
      <w:numFmt w:val="upperLetter"/>
      <w:start w:val="1"/>
    </w:lvl>
  </w:abstractNum>
  <w:abstractNum w:abstractNumId="250">
    <w:nsid w:val="142AC06C"/>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251">
    <w:nsid w:val="5FA54049"/>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252">
    <w:nsid w:val="2CBE767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53">
    <w:nsid w:val="5D86CF11"/>
    <w:multiLevelType w:val="hybridMultilevel"/>
    <w:lvl w:ilvl="0">
      <w:lvlJc w:val="left"/>
      <w:lvlText w:val="%1"/>
      <w:numFmt w:val="lowerRoman"/>
      <w:start w:val="1"/>
    </w:lvl>
    <w:lvl w:ilvl="1">
      <w:lvlJc w:val="left"/>
      <w:lvlText w:val="(%2)"/>
      <w:numFmt w:val="upperLetter"/>
      <w:start w:val="2"/>
    </w:lvl>
  </w:abstractNum>
  <w:abstractNum w:abstractNumId="254">
    <w:nsid w:val="69EF4674"/>
    <w:multiLevelType w:val="hybridMultilevel"/>
    <w:lvl w:ilvl="0">
      <w:lvlJc w:val="left"/>
      <w:lvlText w:val="(%1)"/>
      <w:numFmt w:val="lowerRoman"/>
      <w:start w:val="2"/>
    </w:lvl>
    <w:lvl w:ilvl="1">
      <w:lvlJc w:val="left"/>
      <w:lvlText w:val="(%2)"/>
      <w:numFmt w:val="upperLetter"/>
      <w:start w:val="1"/>
    </w:lvl>
  </w:abstractNum>
  <w:abstractNum w:abstractNumId="255">
    <w:nsid w:val="68ABEFB0"/>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3"/>
    </w:lvl>
  </w:abstractNum>
  <w:abstractNum w:abstractNumId="256">
    <w:nsid w:val="326C3C76"/>
    <w:multiLevelType w:val="hybridMultilevel"/>
    <w:lvl w:ilvl="0">
      <w:lvlJc w:val="left"/>
      <w:lvlText w:val="(%1)"/>
      <w:numFmt w:val="lowerRoman"/>
      <w:start w:val="7"/>
    </w:lvl>
  </w:abstractNum>
  <w:abstractNum w:abstractNumId="257">
    <w:nsid w:val="58A36FCA"/>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258">
    <w:nsid w:val="129B95F2"/>
    <w:multiLevelType w:val="hybridMultilevel"/>
    <w:lvl w:ilvl="0">
      <w:lvlJc w:val="left"/>
      <w:lvlText w:val="(%1)"/>
      <w:numFmt w:val="lowerRoman"/>
      <w:start w:val="2"/>
    </w:lvl>
    <w:lvl w:ilvl="1">
      <w:lvlJc w:val="left"/>
      <w:lvlText w:val="(%2)"/>
      <w:numFmt w:val="upperLetter"/>
      <w:start w:val="1"/>
    </w:lvl>
  </w:abstractNum>
  <w:abstractNum w:abstractNumId="259">
    <w:nsid w:val="309FB9AB"/>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0">
    <w:nsid w:val="782FF37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261">
    <w:nsid w:val="2B8FA0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262">
    <w:nsid w:val="40F9991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263">
    <w:nsid w:val="52192AD"/>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64">
    <w:nsid w:val="7670D60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265">
    <w:nsid w:val="48B6B6E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Letter"/>
      <w:start w:val="1"/>
    </w:lvl>
  </w:abstractNum>
  <w:abstractNum w:abstractNumId="266">
    <w:nsid w:val="FB37489"/>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lvl w:ilvl="3">
      <w:lvlJc w:val="left"/>
      <w:lvlText w:val="(%4)"/>
      <w:numFmt w:val="lowerLetter"/>
      <w:start w:val="24"/>
    </w:lvl>
  </w:abstractNum>
  <w:abstractNum w:abstractNumId="267">
    <w:nsid w:val="8A75F9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268">
    <w:nsid w:val="2B27BF4D"/>
    <w:multiLevelType w:val="hybridMultilevel"/>
    <w:lvl w:ilvl="0">
      <w:lvlJc w:val="left"/>
      <w:lvlText w:val="(%1)"/>
      <w:numFmt w:val="lowerRoman"/>
      <w:start w:val="2"/>
    </w:lvl>
  </w:abstractNum>
  <w:abstractNum w:abstractNumId="269">
    <w:nsid w:val="E5CBEB4"/>
    <w:multiLevelType w:val="hybridMultilevel"/>
    <w:lvl w:ilvl="0">
      <w:lvlJc w:val="left"/>
      <w:lvlText w:val="(%1)"/>
      <w:numFmt w:val="lowerRoman"/>
      <w:start w:val="3"/>
    </w:lvl>
  </w:abstractNum>
  <w:abstractNum w:abstractNumId="270">
    <w:nsid w:val="297BFD38"/>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271">
    <w:nsid w:val="D9A50ED"/>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272">
    <w:nsid w:val="20DAABD1"/>
    <w:multiLevelType w:val="hybridMultilevel"/>
    <w:lvl w:ilvl="0">
      <w:lvlJc w:val="left"/>
      <w:lvlText w:val="(%1)"/>
      <w:numFmt w:val="lowerRoman"/>
      <w:start w:val="2"/>
    </w:lvl>
  </w:abstractNum>
  <w:abstractNum w:abstractNumId="273">
    <w:nsid w:val="71B563E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upperLetter"/>
      <w:start w:val="1"/>
    </w:lvl>
  </w:abstractNum>
  <w:abstractNum w:abstractNumId="274">
    <w:nsid w:val="741A191E"/>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lvl w:ilvl="3">
      <w:lvlJc w:val="left"/>
      <w:lvlText w:val="(%4)"/>
      <w:numFmt w:val="upperLetter"/>
      <w:start w:val="1"/>
    </w:lvl>
  </w:abstractNum>
  <w:abstractNum w:abstractNumId="275">
    <w:nsid w:val="55886153"/>
    <w:multiLevelType w:val="hybridMultilevel"/>
    <w:lvl w:ilvl="0">
      <w:lvlJc w:val="left"/>
      <w:lvlText w:val="%1."/>
      <w:numFmt w:val="decimal"/>
      <w:start w:val="4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276">
    <w:nsid w:val="3E6AF287"/>
    <w:multiLevelType w:val="hybridMultilevel"/>
    <w:lvl w:ilvl="0">
      <w:lvlJc w:val="left"/>
      <w:lvlText w:val="%1"/>
      <w:numFmt w:val="lowerLetter"/>
      <w:start w:val="1"/>
    </w:lvl>
    <w:lvl w:ilvl="1">
      <w:lvlJc w:val="left"/>
      <w:lvlText w:val="(%2)"/>
      <w:numFmt w:val="lowerLetter"/>
      <w:start w:val="35"/>
    </w:lvl>
  </w:abstractNum>
  <w:abstractNum w:abstractNumId="277">
    <w:nsid w:val="2D7CB919"/>
    <w:multiLevelType w:val="hybridMultilevel"/>
    <w:lvl w:ilvl="0">
      <w:lvlJc w:val="left"/>
      <w:lvlText w:val="(%1)"/>
      <w:numFmt w:val="lowerLetter"/>
      <w:start w:val="2"/>
    </w:lvl>
    <w:lvl w:ilvl="1">
      <w:lvlJc w:val="left"/>
      <w:lvlText w:val="(%2)"/>
      <w:numFmt w:val="lowerLetter"/>
      <w:start w:val="9"/>
    </w:lvl>
  </w:abstractNum>
  <w:abstractNum w:abstractNumId="278">
    <w:nsid w:val="4781AC2F"/>
    <w:multiLevelType w:val="hybridMultilevel"/>
    <w:lvl w:ilvl="0">
      <w:lvlJc w:val="left"/>
      <w:lvlText w:val="%1"/>
      <w:numFmt w:val="lowerLetter"/>
      <w:start w:val="1"/>
    </w:lvl>
    <w:lvl w:ilvl="1">
      <w:lvlJc w:val="left"/>
      <w:lvlText w:val="(%2)"/>
      <w:numFmt w:val="lowerRoman"/>
      <w:start w:val="2"/>
    </w:lvl>
  </w:abstractNum>
  <w:abstractNum w:abstractNumId="279">
    <w:nsid w:val="666AA3E1"/>
    <w:multiLevelType w:val="hybridMultilevel"/>
    <w:lvl w:ilvl="0">
      <w:lvlJc w:val="left"/>
      <w:lvlText w:val="(%1)"/>
      <w:numFmt w:val="lowerLetter"/>
      <w:start w:val="8"/>
    </w:lvl>
    <w:lvl w:ilvl="1">
      <w:lvlJc w:val="left"/>
      <w:lvlText w:val="%2"/>
      <w:numFmt w:val="lowerRoman"/>
      <w:start w:val="1"/>
    </w:lvl>
  </w:abstractNum>
  <w:abstractNum w:abstractNumId="280">
    <w:nsid w:val="32089E8C"/>
    <w:multiLevelType w:val="hybridMultilevel"/>
    <w:lvl w:ilvl="0">
      <w:lvlJc w:val="left"/>
      <w:lvlText w:val="(%1)"/>
      <w:numFmt w:val="lowerLetter"/>
      <w:start w:val="10"/>
    </w:lvl>
    <w:lvl w:ilvl="1">
      <w:lvlJc w:val="left"/>
      <w:lvlText w:val="(%2)"/>
      <w:numFmt w:val="lowerRoman"/>
      <w:start w:val="1"/>
    </w:lvl>
  </w:abstractNum>
  <w:abstractNum w:abstractNumId="281">
    <w:nsid w:val="5BAC6C9C"/>
    <w:multiLevelType w:val="hybridMultilevel"/>
    <w:lvl w:ilvl="0">
      <w:lvlJc w:val="left"/>
      <w:lvlText w:val="(%1)"/>
      <w:numFmt w:val="lowerLetter"/>
      <w:start w:val="16"/>
    </w:lvl>
    <w:lvl w:ilvl="1">
      <w:lvlJc w:val="left"/>
      <w:lvlText w:val="(%2)"/>
      <w:numFmt w:val="lowerRoman"/>
      <w:start w:val="1"/>
    </w:lvl>
    <w:lvl w:ilvl="2">
      <w:lvlJc w:val="left"/>
      <w:lvlText w:val="(%3)"/>
      <w:numFmt w:val="upperLetter"/>
      <w:start w:val="1"/>
    </w:lvl>
  </w:abstractNum>
  <w:abstractNum w:abstractNumId="282">
    <w:nsid w:val="460FE42B"/>
    <w:multiLevelType w:val="hybridMultilevel"/>
    <w:lvl w:ilvl="0">
      <w:lvlJc w:val="left"/>
      <w:lvlText w:val="(%1)"/>
      <w:numFmt w:val="lowerLetter"/>
      <w:start w:val="19"/>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283">
    <w:nsid w:val="5EC714FC"/>
    <w:multiLevelType w:val="hybridMultilevel"/>
    <w:lvl w:ilvl="0">
      <w:lvlJc w:val="left"/>
      <w:lvlText w:val="%1"/>
      <w:numFmt w:val="decimal"/>
      <w:start w:val="1"/>
    </w:lvl>
    <w:lvl w:ilvl="1">
      <w:lvlJc w:val="left"/>
      <w:lvlText w:val="(%2)"/>
      <w:numFmt w:val="lowerLetter"/>
      <w:start w:val="22"/>
    </w:lvl>
    <w:lvl w:ilvl="2">
      <w:lvlJc w:val="left"/>
      <w:lvlText w:val="%3"/>
      <w:numFmt w:val="lowerRoman"/>
      <w:start w:val="1"/>
    </w:lvl>
  </w:abstractNum>
  <w:abstractNum w:abstractNumId="284">
    <w:nsid w:val="39333BAD"/>
    <w:multiLevelType w:val="hybridMultilevel"/>
    <w:lvl w:ilvl="0">
      <w:lvlJc w:val="left"/>
      <w:lvlText w:val="%1."/>
      <w:numFmt w:val="decimal"/>
      <w:start w:val="42"/>
    </w:lvl>
    <w:lvl w:ilvl="1">
      <w:lvlJc w:val="left"/>
      <w:lvlText w:val="(%2)"/>
      <w:numFmt w:val="lowerLetter"/>
      <w:start w:val="1"/>
    </w:lvl>
    <w:lvl w:ilvl="2">
      <w:lvlJc w:val="left"/>
      <w:lvlText w:val="(%3)"/>
      <w:numFmt w:val="lowerRoman"/>
      <w:start w:val="1"/>
    </w:lvl>
  </w:abstractNum>
  <w:abstractNum w:abstractNumId="285">
    <w:nsid w:val="2FFF2A9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6"/>
    </w:lvl>
  </w:abstractNum>
  <w:abstractNum w:abstractNumId="286">
    <w:nsid w:val="477304AC"/>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87">
    <w:nsid w:val="6B9F7823"/>
    <w:multiLevelType w:val="hybridMultilevel"/>
    <w:lvl w:ilvl="0">
      <w:lvlJc w:val="left"/>
      <w:lvlText w:val="%1."/>
      <w:numFmt w:val="decimal"/>
      <w:start w:val="44"/>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88">
    <w:nsid w:val="8A29A6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89">
    <w:nsid w:val="5A0E9A9F"/>
    <w:multiLevelType w:val="hybridMultilevel"/>
    <w:lvl w:ilvl="0">
      <w:lvlJc w:val="left"/>
      <w:lvlText w:val="%1."/>
      <w:numFmt w:val="decimal"/>
      <w:start w:val="45"/>
    </w:lvl>
    <w:lvl w:ilvl="1">
      <w:lvlJc w:val="left"/>
      <w:lvlText w:val="(%2)"/>
      <w:numFmt w:val="lowerLetter"/>
      <w:start w:val="1"/>
    </w:lvl>
    <w:lvl w:ilvl="2">
      <w:lvlJc w:val="left"/>
      <w:lvlText w:val="(%3)"/>
      <w:numFmt w:val="lowerRoman"/>
      <w:start w:val="1"/>
    </w:lvl>
  </w:abstractNum>
  <w:abstractNum w:abstractNumId="290">
    <w:nsid w:val="1C3F31CE"/>
    <w:multiLevelType w:val="hybridMultilevel"/>
    <w:lvl w:ilvl="0">
      <w:lvlJc w:val="left"/>
      <w:lvlText w:val="%1"/>
      <w:numFmt w:val="decimal"/>
      <w:start w:val="1"/>
    </w:lvl>
    <w:lvl w:ilvl="1">
      <w:lvlJc w:val="left"/>
      <w:lvlText w:val="(%2)"/>
      <w:numFmt w:val="lowerLetter"/>
      <w:start w:val="2"/>
    </w:lvl>
  </w:abstractNum>
  <w:abstractNum w:abstractNumId="291">
    <w:nsid w:val="D28DDE"/>
    <w:multiLevelType w:val="hybridMultilevel"/>
    <w:lvl w:ilvl="0">
      <w:lvlJc w:val="left"/>
      <w:lvlText w:val="%1."/>
      <w:numFmt w:val="decimal"/>
      <w:start w:val="46"/>
    </w:lvl>
    <w:lvl w:ilvl="1">
      <w:lvlJc w:val="left"/>
      <w:lvlText w:val="(%2)"/>
      <w:numFmt w:val="lowerLetter"/>
      <w:start w:val="1"/>
    </w:lvl>
  </w:abstractNum>
  <w:abstractNum w:abstractNumId="292">
    <w:nsid w:val="59E3AC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93">
    <w:nsid w:val="5D38CAE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294">
    <w:nsid w:val="5F4208C"/>
    <w:multiLevelType w:val="hybridMultilevel"/>
    <w:lvl w:ilvl="0">
      <w:lvlJc w:val="left"/>
      <w:lvlText w:val="%1."/>
      <w:numFmt w:val="decimal"/>
      <w:start w:val="47"/>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95">
    <w:nsid w:val="7C0F10CC"/>
    <w:multiLevelType w:val="hybridMultilevel"/>
    <w:lvl w:ilvl="0">
      <w:lvlJc w:val="left"/>
      <w:lvlText w:val="(%1)"/>
      <w:numFmt w:val="lowerRoman"/>
      <w:start w:val="3"/>
    </w:lvl>
    <w:lvl w:ilvl="1">
      <w:lvlJc w:val="left"/>
      <w:lvlText w:val="(%2)"/>
      <w:numFmt w:val="upperLetter"/>
      <w:start w:val="1"/>
    </w:lvl>
  </w:abstractNum>
  <w:abstractNum w:abstractNumId="296">
    <w:nsid w:val="25EF81D5"/>
    <w:multiLevelType w:val="hybridMultilevel"/>
    <w:lvl w:ilvl="0">
      <w:lvlJc w:val="left"/>
      <w:lvlText w:val="(%1)"/>
      <w:numFmt w:val="lowerRoman"/>
      <w:start w:val="6"/>
    </w:lvl>
  </w:abstractNum>
  <w:abstractNum w:abstractNumId="297">
    <w:nsid w:val="15A79515"/>
    <w:multiLevelType w:val="hybridMultilevel"/>
    <w:lvl w:ilvl="0">
      <w:lvlJc w:val="left"/>
      <w:lvlText w:val="(%1)"/>
      <w:numFmt w:val="lowerRoman"/>
      <w:start w:val="11"/>
    </w:lvl>
    <w:lvl w:ilvl="1">
      <w:lvlJc w:val="left"/>
      <w:lvlText w:val="(%2)"/>
      <w:numFmt w:val="upperLetter"/>
      <w:start w:val="1"/>
    </w:lvl>
  </w:abstractNum>
  <w:abstractNum w:abstractNumId="298">
    <w:nsid w:val="4B6706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299">
    <w:nsid w:val="5117412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lvl w:ilvl="3">
      <w:lvlJc w:val="left"/>
      <w:lvlText w:val="(%4)"/>
      <w:numFmt w:val="upperLetter"/>
      <w:start w:val="1"/>
    </w:lvl>
  </w:abstractNum>
  <w:abstractNum w:abstractNumId="300">
    <w:nsid w:val="240453CA"/>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01">
    <w:nsid w:val="2E326D9A"/>
    <w:multiLevelType w:val="hybridMultilevel"/>
    <w:lvl w:ilvl="0">
      <w:lvlJc w:val="left"/>
      <w:lvlText w:val="%1."/>
      <w:numFmt w:val="decimal"/>
      <w:start w:val="4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02">
    <w:nsid w:val="5EB19210"/>
    <w:multiLevelType w:val="hybridMultilevel"/>
    <w:lvl w:ilvl="0">
      <w:lvlJc w:val="left"/>
      <w:lvlText w:val="(%1)"/>
      <w:numFmt w:val="lowerLetter"/>
      <w:start w:val="1"/>
    </w:lvl>
    <w:lvl w:ilvl="1">
      <w:lvlJc w:val="left"/>
      <w:lvlText w:val="(%2)"/>
      <w:numFmt w:val="lowerRoman"/>
      <w:start w:val="1"/>
    </w:lvl>
  </w:abstractNum>
  <w:abstractNum w:abstractNumId="303">
    <w:nsid w:val="44DEFF9B"/>
    <w:multiLevelType w:val="hybridMultilevel"/>
    <w:lvl w:ilvl="0">
      <w:lvlJc w:val="left"/>
      <w:lvlText w:val="(%1)"/>
      <w:numFmt w:val="lowerLetter"/>
      <w:start w:val="2"/>
    </w:lvl>
    <w:lvl w:ilvl="1">
      <w:lvlJc w:val="left"/>
      <w:lvlText w:val="(%2)"/>
      <w:numFmt w:val="lowerRoman"/>
      <w:start w:val="1"/>
    </w:lvl>
  </w:abstractNum>
  <w:abstractNum w:abstractNumId="304">
    <w:nsid w:val="1FE7D17D"/>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305">
    <w:nsid w:val="52CBAB2E"/>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306">
    <w:nsid w:val="1A6760EF"/>
    <w:multiLevelType w:val="hybridMultilevel"/>
    <w:lvl w:ilvl="0">
      <w:lvlJc w:val="left"/>
      <w:lvlText w:val="%1"/>
      <w:numFmt w:val="lowerLetter"/>
      <w:start w:val="1"/>
    </w:lvl>
    <w:lvl w:ilvl="1">
      <w:lvlJc w:val="left"/>
      <w:lvlText w:val="(%2)"/>
      <w:numFmt w:val="lowerLetter"/>
      <w:start w:val="61"/>
    </w:lvl>
  </w:abstractNum>
  <w:abstractNum w:abstractNumId="307">
    <w:nsid w:val="5E52C405"/>
    <w:multiLevelType w:val="hybridMultilevel"/>
    <w:lvl w:ilvl="0">
      <w:lvlJc w:val="left"/>
      <w:lvlText w:val="(%1)"/>
      <w:numFmt w:val="lowerLetter"/>
      <w:start w:val="10"/>
    </w:lvl>
    <w:lvl w:ilvl="1">
      <w:lvlJc w:val="left"/>
      <w:lvlText w:val="(%2)"/>
      <w:numFmt w:val="lowerLetter"/>
      <w:start w:val="9"/>
    </w:lvl>
  </w:abstractNum>
  <w:abstractNum w:abstractNumId="308">
    <w:nsid w:val="486447"/>
    <w:multiLevelType w:val="hybridMultilevel"/>
    <w:lvl w:ilvl="0">
      <w:lvlJc w:val="left"/>
      <w:lvlText w:val="(%1)"/>
      <w:numFmt w:val="lowerRoman"/>
      <w:start w:val="2"/>
    </w:lvl>
  </w:abstractNum>
  <w:abstractNum w:abstractNumId="309">
    <w:nsid w:val="61E90D1E"/>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310">
    <w:nsid w:val="44BD67E6"/>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311">
    <w:nsid w:val="325102D3"/>
    <w:multiLevelType w:val="hybridMultilevel"/>
    <w:lvl w:ilvl="0">
      <w:lvlJc w:val="left"/>
      <w:lvlText w:val="(%1)"/>
      <w:numFmt w:val="lowerLetter"/>
      <w:start w:val="16"/>
    </w:lvl>
    <w:lvl w:ilvl="1">
      <w:lvlJc w:val="left"/>
      <w:lvlText w:val="(%2)"/>
      <w:numFmt w:val="lowerRoman"/>
      <w:start w:val="3"/>
    </w:lvl>
  </w:abstractNum>
  <w:abstractNum w:abstractNumId="312">
    <w:nsid w:val="3D9579BA"/>
    <w:multiLevelType w:val="hybridMultilevel"/>
    <w:lvl w:ilvl="0">
      <w:lvlJc w:val="left"/>
      <w:lvlText w:val="(%1)"/>
      <w:numFmt w:val="lowerLetter"/>
      <w:start w:val="19"/>
    </w:lvl>
    <w:lvl w:ilvl="1">
      <w:lvlJc w:val="left"/>
      <w:lvlText w:val="(%2)"/>
      <w:numFmt w:val="lowerRoman"/>
      <w:start w:val="1"/>
    </w:lvl>
  </w:abstractNum>
  <w:abstractNum w:abstractNumId="313">
    <w:nsid w:val="ACD4C11"/>
    <w:multiLevelType w:val="hybridMultilevel"/>
    <w:lvl w:ilvl="0">
      <w:lvlJc w:val="left"/>
      <w:lvlText w:val="(%1)"/>
      <w:numFmt w:val="lowerLetter"/>
      <w:start w:val="20"/>
    </w:lvl>
    <w:lvl w:ilvl="1">
      <w:lvlJc w:val="left"/>
      <w:lvlText w:val="(%2)"/>
      <w:numFmt w:val="lowerRoman"/>
      <w:start w:val="1"/>
    </w:lvl>
  </w:abstractNum>
  <w:abstractNum w:abstractNumId="314">
    <w:nsid w:val="111817CF"/>
    <w:multiLevelType w:val="hybridMultilevel"/>
    <w:lvl w:ilvl="0">
      <w:lvlJc w:val="left"/>
      <w:lvlText w:val="%1"/>
      <w:numFmt w:val="lowerLetter"/>
      <w:start w:val="1"/>
    </w:lvl>
    <w:lvl w:ilvl="1">
      <w:lvlJc w:val="left"/>
      <w:lvlText w:val="(%2)"/>
      <w:numFmt w:val="lowerLetter"/>
      <w:start w:val="61"/>
    </w:lvl>
  </w:abstractNum>
  <w:abstractNum w:abstractNumId="315">
    <w:nsid w:val="76C8B568"/>
    <w:multiLevelType w:val="hybridMultilevel"/>
    <w:lvl w:ilvl="0">
      <w:lvlJc w:val="left"/>
      <w:lvlText w:val="(%1)"/>
      <w:numFmt w:val="lowerLetter"/>
      <w:start w:val="21"/>
    </w:lvl>
    <w:lvl w:ilvl="1">
      <w:lvlJc w:val="left"/>
      <w:lvlText w:val="(%2)"/>
      <w:numFmt w:val="lowerLetter"/>
      <w:start w:val="9"/>
    </w:lvl>
  </w:abstractNum>
  <w:abstractNum w:abstractNumId="316">
    <w:nsid w:val="3ACC76B1"/>
    <w:multiLevelType w:val="hybridMultilevel"/>
    <w:lvl w:ilvl="0">
      <w:lvlJc w:val="left"/>
      <w:lvlText w:val="(%1)"/>
      <w:numFmt w:val="lowerRoman"/>
      <w:start w:val="2"/>
    </w:lvl>
  </w:abstractNum>
  <w:abstractNum w:abstractNumId="317">
    <w:nsid w:val="588B1C7C"/>
    <w:multiLevelType w:val="hybridMultilevel"/>
    <w:lvl w:ilvl="0">
      <w:lvlJc w:val="left"/>
      <w:lvlText w:val="(%1)"/>
      <w:numFmt w:val="lowerLetter"/>
      <w:start w:val="24"/>
    </w:lvl>
    <w:lvl w:ilvl="1">
      <w:lvlJc w:val="left"/>
      <w:lvlText w:val="(%2)"/>
      <w:numFmt w:val="lowerRoman"/>
      <w:start w:val="1"/>
    </w:lvl>
  </w:abstractNum>
  <w:abstractNum w:abstractNumId="318">
    <w:nsid w:val="62682D8B"/>
    <w:multiLevelType w:val="hybridMultilevel"/>
    <w:lvl w:ilvl="0">
      <w:lvlJc w:val="left"/>
      <w:lvlText w:val="(%1)"/>
      <w:numFmt w:val="lowerLetter"/>
      <w:start w:val="26"/>
    </w:lvl>
    <w:lvl w:ilvl="1">
      <w:lvlJc w:val="left"/>
      <w:lvlText w:val="(%2)"/>
      <w:numFmt w:val="lowerRoman"/>
      <w:start w:val="1"/>
    </w:lvl>
  </w:abstractNum>
  <w:abstractNum w:abstractNumId="319">
    <w:nsid w:val="436F111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320">
    <w:nsid w:val="3299B71B"/>
    <w:multiLevelType w:val="hybridMultilevel"/>
    <w:lvl w:ilvl="0">
      <w:lvlJc w:val="left"/>
      <w:lvlText w:val="(%1)"/>
      <w:numFmt w:val="lowerLetter"/>
      <w:start w:val="27"/>
    </w:lvl>
    <w:lvl w:ilvl="1">
      <w:lvlJc w:val="left"/>
      <w:lvlText w:val="(%2)"/>
      <w:numFmt w:val="lowerRoman"/>
      <w:start w:val="1"/>
    </w:lvl>
    <w:lvl w:ilvl="2">
      <w:lvlJc w:val="left"/>
      <w:lvlText w:val="%3"/>
      <w:numFmt w:val="lowerLetter"/>
      <w:start w:val="1"/>
    </w:lvl>
  </w:abstractNum>
  <w:abstractNum w:abstractNumId="321">
    <w:nsid w:val="7EA75F5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3"/>
    </w:lvl>
  </w:abstractNum>
  <w:abstractNum w:abstractNumId="322">
    <w:nsid w:val="44419EF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Letter"/>
      <w:start w:val="1"/>
    </w:lvl>
    <w:lvl w:ilvl="4">
      <w:lvlJc w:val="left"/>
      <w:lvlText w:val="%5"/>
      <w:numFmt w:val="lowerRoman"/>
      <w:start w:val="1"/>
    </w:lvl>
  </w:abstractNum>
  <w:abstractNum w:abstractNumId="323">
    <w:nsid w:val="3837F1DF"/>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lowerLetter"/>
      <w:start w:val="1"/>
    </w:lvl>
    <w:lvl w:ilvl="4">
      <w:lvlJc w:val="left"/>
      <w:lvlText w:val="%5"/>
      <w:numFmt w:val="lowerRoman"/>
      <w:start w:val="1"/>
    </w:lvl>
  </w:abstractNum>
  <w:abstractNum w:abstractNumId="324">
    <w:nsid w:val="5BE02A44"/>
    <w:multiLevelType w:val="hybridMultilevel"/>
    <w:lvl w:ilvl="0">
      <w:lvlJc w:val="left"/>
      <w:lvlText w:val="(%1)"/>
      <w:numFmt w:val="lowerRoman"/>
      <w:start w:val="1"/>
    </w:lvl>
  </w:abstractNum>
  <w:abstractNum w:abstractNumId="325">
    <w:nsid w:val="4A35BF85"/>
    <w:multiLevelType w:val="hybridMultilevel"/>
    <w:lvl w:ilvl="0">
      <w:lvlJc w:val="left"/>
      <w:lvlText w:val="(%1)"/>
      <w:numFmt w:val="lowerRoman"/>
      <w:start w:val="5"/>
    </w:lvl>
    <w:lvl w:ilvl="1">
      <w:lvlJc w:val="left"/>
      <w:lvlText w:val="(%2)"/>
      <w:numFmt w:val="upperLetter"/>
      <w:start w:val="1"/>
    </w:lvl>
  </w:abstractNum>
  <w:abstractNum w:abstractNumId="326">
    <w:nsid w:val="344702AC"/>
    <w:multiLevelType w:val="hybridMultilevel"/>
    <w:lvl w:ilvl="0">
      <w:lvlJc w:val="left"/>
      <w:lvlText w:val="(%1)"/>
      <w:numFmt w:val="lowerRoman"/>
      <w:start w:val="6"/>
    </w:lvl>
    <w:lvl w:ilvl="1">
      <w:lvlJc w:val="left"/>
      <w:lvlText w:val="(%2)"/>
      <w:numFmt w:val="upperLetter"/>
      <w:start w:val="1"/>
    </w:lvl>
    <w:lvl w:ilvl="2">
      <w:lvlJc w:val="left"/>
      <w:lvlText w:val="(%3)"/>
      <w:numFmt w:val="lowerLetter"/>
      <w:start w:val="24"/>
    </w:lvl>
  </w:abstractNum>
  <w:abstractNum w:abstractNumId="327">
    <w:nsid w:val="1CFAC1A"/>
    <w:multiLevelType w:val="hybridMultilevel"/>
    <w:lvl w:ilvl="0">
      <w:lvlJc w:val="left"/>
      <w:lvlText w:val="(%1)"/>
      <w:numFmt w:val="upperLetter"/>
      <w:start w:val="2"/>
    </w:lvl>
  </w:abstractNum>
  <w:abstractNum w:abstractNumId="328">
    <w:nsid w:val="5FDD549A"/>
    <w:multiLevelType w:val="hybridMultilevel"/>
    <w:lvl w:ilvl="0">
      <w:lvlJc w:val="left"/>
      <w:lvlText w:val="(%1)"/>
      <w:numFmt w:val="lowerRoman"/>
      <w:start w:val="7"/>
    </w:lvl>
    <w:lvl w:ilvl="1">
      <w:lvlJc w:val="left"/>
      <w:lvlText w:val="(%2)"/>
      <w:numFmt w:val="upperLetter"/>
      <w:start w:val="1"/>
    </w:lvl>
  </w:abstractNum>
  <w:abstractNum w:abstractNumId="329">
    <w:nsid w:val="38FD730E"/>
    <w:multiLevelType w:val="hybridMultilevel"/>
    <w:lvl w:ilvl="0">
      <w:lvlJc w:val="left"/>
      <w:lvlText w:val="(%1)"/>
      <w:numFmt w:val="lowerRoman"/>
      <w:start w:val="8"/>
    </w:lvl>
    <w:lvl w:ilvl="1">
      <w:lvlJc w:val="left"/>
      <w:lvlText w:val="(%2)"/>
      <w:numFmt w:val="upperLetter"/>
      <w:start w:val="1"/>
    </w:lvl>
  </w:abstractNum>
  <w:abstractNum w:abstractNumId="330">
    <w:nsid w:val="52E6ED3D"/>
    <w:multiLevelType w:val="hybridMultilevel"/>
    <w:lvl w:ilvl="0">
      <w:lvlJc w:val="left"/>
      <w:lvlText w:val="(%1)"/>
      <w:numFmt w:val="lowerRoman"/>
      <w:start w:val="10"/>
    </w:lvl>
    <w:lvl w:ilvl="1">
      <w:lvlJc w:val="left"/>
      <w:lvlText w:val="(%2)"/>
      <w:numFmt w:val="upperLetter"/>
      <w:start w:val="1"/>
    </w:lvl>
  </w:abstractNum>
  <w:abstractNum w:abstractNumId="331">
    <w:nsid w:val="3E1A864"/>
    <w:multiLevelType w:val="hybridMultilevel"/>
    <w:lvl w:ilvl="0">
      <w:lvlJc w:val="left"/>
      <w:lvlText w:val="(%1)"/>
      <w:numFmt w:val="lowerRoman"/>
      <w:start w:val="12"/>
    </w:lvl>
    <w:lvl w:ilvl="1">
      <w:lvlJc w:val="left"/>
      <w:lvlText w:val="(%2)"/>
      <w:numFmt w:val="upperLetter"/>
      <w:start w:val="1"/>
    </w:lvl>
  </w:abstractNum>
  <w:abstractNum w:abstractNumId="332">
    <w:nsid w:val="672FE0A8"/>
    <w:multiLevelType w:val="hybridMultilevel"/>
    <w:lvl w:ilvl="0">
      <w:lvlJc w:val="left"/>
      <w:lvlText w:val="(%1)"/>
      <w:numFmt w:val="lowerRoman"/>
      <w:start w:val="13"/>
    </w:lvl>
    <w:lvl w:ilvl="1">
      <w:lvlJc w:val="left"/>
      <w:lvlText w:val="(%2)"/>
      <w:numFmt w:val="upperLetter"/>
      <w:start w:val="1"/>
    </w:lvl>
  </w:abstractNum>
  <w:abstractNum w:abstractNumId="333">
    <w:nsid w:val="31987F4D"/>
    <w:multiLevelType w:val="hybridMultilevel"/>
    <w:lvl w:ilvl="0">
      <w:lvlJc w:val="left"/>
      <w:lvlText w:val="%1"/>
      <w:numFmt w:val="lowerLetter"/>
      <w:start w:val="1"/>
    </w:lvl>
    <w:lvl w:ilvl="1">
      <w:lvlJc w:val="left"/>
      <w:lvlText w:val="(%2)"/>
      <w:numFmt w:val="lowerRoman"/>
      <w:start w:val="19"/>
    </w:lvl>
    <w:lvl w:ilvl="2">
      <w:lvlJc w:val="left"/>
      <w:lvlText w:val="%3"/>
      <w:numFmt w:val="upperLetter"/>
      <w:start w:val="1"/>
    </w:lvl>
  </w:abstractNum>
  <w:abstractNum w:abstractNumId="334">
    <w:nsid w:val="48C0A800"/>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35">
    <w:nsid w:val="717B226"/>
    <w:multiLevelType w:val="hybridMultilevel"/>
    <w:lvl w:ilvl="0">
      <w:lvlJc w:val="left"/>
      <w:lvlText w:val="(%1)"/>
      <w:numFmt w:val="lowerRoman"/>
      <w:start w:val="1"/>
    </w:lvl>
  </w:abstractNum>
  <w:abstractNum w:abstractNumId="336">
    <w:nsid w:val="4642A7B"/>
    <w:multiLevelType w:val="hybridMultilevel"/>
    <w:lvl w:ilvl="0">
      <w:lvlJc w:val="left"/>
      <w:lvlText w:val="(%1)"/>
      <w:numFmt w:val="upperLetter"/>
      <w:start w:val="1"/>
    </w:lvl>
  </w:abstractNum>
  <w:abstractNum w:abstractNumId="337">
    <w:nsid w:val="632808EF"/>
    <w:multiLevelType w:val="hybridMultilevel"/>
    <w:lvl w:ilvl="0">
      <w:lvlJc w:val="left"/>
      <w:lvlText w:val="(%1)"/>
      <w:numFmt w:val="lowerRoman"/>
      <w:start w:val="1"/>
    </w:lvl>
  </w:abstractNum>
  <w:abstractNum w:abstractNumId="338">
    <w:nsid w:val="656A762B"/>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1"/>
    </w:lvl>
  </w:abstractNum>
  <w:abstractNum w:abstractNumId="339">
    <w:nsid w:val="4AC8EC3"/>
    <w:multiLevelType w:val="hybridMultilevel"/>
    <w:lvl w:ilvl="0">
      <w:lvlJc w:val="left"/>
      <w:lvlText w:val="%1."/>
      <w:numFmt w:val="decimal"/>
      <w:start w:val="50"/>
    </w:lvl>
    <w:lvl w:ilvl="1">
      <w:lvlJc w:val="left"/>
      <w:lvlText w:val="(%2)"/>
      <w:numFmt w:val="lowerLetter"/>
      <w:start w:val="1"/>
    </w:lvl>
    <w:lvl w:ilvl="2">
      <w:lvlJc w:val="left"/>
      <w:lvlText w:val="(%3)"/>
      <w:numFmt w:val="lowerLetter"/>
      <w:start w:val="9"/>
    </w:lvl>
  </w:abstractNum>
  <w:abstractNum w:abstractNumId="340">
    <w:nsid w:val="4511160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41">
    <w:nsid w:val="2A27DE1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2">
    <w:nsid w:val="36FD9196"/>
    <w:multiLevelType w:val="hybridMultilevel"/>
    <w:lvl w:ilvl="0">
      <w:lvlJc w:val="left"/>
      <w:lvlText w:val="%1."/>
      <w:numFmt w:val="decimal"/>
      <w:start w:val="51"/>
    </w:lvl>
    <w:lvl w:ilvl="1">
      <w:lvlJc w:val="left"/>
      <w:lvlText w:val="(%2)"/>
      <w:numFmt w:val="lowerLetter"/>
      <w:start w:val="1"/>
    </w:lvl>
    <w:lvl w:ilvl="2">
      <w:lvlJc w:val="left"/>
      <w:lvlText w:val="(%3)"/>
      <w:numFmt w:val="lowerRoman"/>
      <w:start w:val="1"/>
    </w:lvl>
  </w:abstractNum>
  <w:abstractNum w:abstractNumId="343">
    <w:nsid w:val="2A68FC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344">
    <w:nsid w:val="34F52A23"/>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45">
    <w:nsid w:val="4815A966"/>
    <w:multiLevelType w:val="hybridMultilevel"/>
    <w:lvl w:ilvl="0">
      <w:lvlJc w:val="left"/>
      <w:lvlText w:val="%1."/>
      <w:numFmt w:val="decimal"/>
      <w:start w:val="52"/>
    </w:lvl>
    <w:lvl w:ilvl="1">
      <w:lvlJc w:val="left"/>
      <w:lvlText w:val="(%2)"/>
      <w:numFmt w:val="lowerLetter"/>
      <w:start w:val="1"/>
    </w:lvl>
    <w:lvl w:ilvl="2">
      <w:lvlJc w:val="left"/>
      <w:lvlText w:val="(%3)"/>
      <w:numFmt w:val="lowerLetter"/>
      <w:start w:val="9"/>
    </w:lvl>
  </w:abstractNum>
  <w:abstractNum w:abstractNumId="346">
    <w:nsid w:val="796F4530"/>
    <w:multiLevelType w:val="hybridMultilevel"/>
    <w:lvl w:ilvl="0">
      <w:lvlJc w:val="left"/>
      <w:lvlText w:val="%1"/>
      <w:numFmt w:val="lowerLetter"/>
      <w:start w:val="1"/>
    </w:lvl>
    <w:lvl w:ilvl="1">
      <w:lvlJc w:val="left"/>
      <w:lvlText w:val="(%2)"/>
      <w:numFmt w:val="lowerRoman"/>
      <w:start w:val="2"/>
    </w:lvl>
  </w:abstractNum>
  <w:abstractNum w:abstractNumId="347">
    <w:nsid w:val="6FC1A0D4"/>
    <w:multiLevelType w:val="hybridMultilevel"/>
    <w:lvl w:ilvl="0">
      <w:lvlJc w:val="left"/>
      <w:lvlText w:val="(%1)"/>
      <w:numFmt w:val="lowerLetter"/>
      <w:start w:val="2"/>
    </w:lvl>
    <w:lvl w:ilvl="1">
      <w:lvlJc w:val="left"/>
      <w:lvlText w:val="%2"/>
      <w:numFmt w:val="lowerRoman"/>
      <w:start w:val="1"/>
    </w:lvl>
  </w:abstractNum>
  <w:abstractNum w:abstractNumId="348">
    <w:nsid w:val="20A0C5E2"/>
    <w:multiLevelType w:val="hybridMultilevel"/>
    <w:lvl w:ilvl="0">
      <w:lvlJc w:val="left"/>
      <w:lvlText w:val="(%1)"/>
      <w:numFmt w:val="lowerLetter"/>
      <w:start w:val="3"/>
    </w:lvl>
  </w:abstractNum>
  <w:abstractNum w:abstractNumId="349">
    <w:nsid w:val="5BD772BB"/>
    <w:multiLevelType w:val="hybridMultilevel"/>
    <w:lvl w:ilvl="0">
      <w:lvlJc w:val="left"/>
      <w:lvlText w:val="(%1)"/>
      <w:numFmt w:val="lowerLetter"/>
      <w:start w:val="4"/>
    </w:lvl>
  </w:abstractNum>
  <w:abstractNum w:abstractNumId="350">
    <w:nsid w:val="3330B1EE"/>
    <w:multiLevelType w:val="hybridMultilevel"/>
    <w:lvl w:ilvl="0">
      <w:lvlJc w:val="left"/>
      <w:lvlText w:val="(%1)"/>
      <w:numFmt w:val="upperLetter"/>
      <w:start w:val="2"/>
    </w:lvl>
  </w:abstractNum>
  <w:abstractNum w:abstractNumId="351">
    <w:nsid w:val="533A7CFD"/>
    <w:multiLevelType w:val="hybridMultilevel"/>
    <w:lvl w:ilvl="0">
      <w:lvlJc w:val="left"/>
      <w:lvlText w:val="(%1)"/>
      <w:numFmt w:val="lowerRoman"/>
      <w:start w:val="1"/>
    </w:lvl>
    <w:lvl w:ilvl="1">
      <w:lvlJc w:val="left"/>
      <w:lvlText w:val="(%2)"/>
      <w:numFmt w:val="upperLetter"/>
      <w:start w:val="1"/>
    </w:lvl>
  </w:abstractNum>
  <w:abstractNum w:abstractNumId="352">
    <w:nsid w:val="5A7ED215"/>
    <w:multiLevelType w:val="hybridMultilevel"/>
    <w:lvl w:ilvl="0">
      <w:lvlJc w:val="left"/>
      <w:lvlText w:val="(%1)"/>
      <w:numFmt w:val="lowerLetter"/>
      <w:start w:val="5"/>
    </w:lvl>
  </w:abstractNum>
  <w:abstractNum w:abstractNumId="353">
    <w:nsid w:val="777250E7"/>
    <w:multiLevelType w:val="hybridMultilevel"/>
    <w:lvl w:ilvl="0">
      <w:lvlJc w:val="left"/>
      <w:lvlText w:val="(%1)"/>
      <w:numFmt w:val="lowerRoman"/>
      <w:start w:val="1"/>
    </w:lvl>
    <w:lvl w:ilvl="1">
      <w:lvlJc w:val="left"/>
      <w:lvlText w:val="(%2)"/>
      <w:numFmt w:val="upperLetter"/>
      <w:start w:val="1"/>
    </w:lvl>
  </w:abstractNum>
  <w:abstractNum w:abstractNumId="354">
    <w:nsid w:val="B726EDC"/>
    <w:multiLevelType w:val="hybridMultilevel"/>
    <w:lvl w:ilvl="0">
      <w:lvlJc w:val="left"/>
      <w:lvlText w:val="%1."/>
      <w:numFmt w:val="decimal"/>
      <w:start w:val="53"/>
    </w:lvl>
    <w:lvl w:ilvl="1">
      <w:lvlJc w:val="left"/>
      <w:lvlText w:val="(%2)"/>
      <w:numFmt w:val="lowerLetter"/>
      <w:start w:val="1"/>
    </w:lvl>
  </w:abstractNum>
  <w:abstractNum w:abstractNumId="355">
    <w:nsid w:val="365EFC5A"/>
    <w:multiLevelType w:val="hybridMultilevel"/>
    <w:lvl w:ilvl="0">
      <w:lvlJc w:val="left"/>
      <w:lvlText w:val="%1."/>
      <w:numFmt w:val="decimal"/>
      <w:start w:val="54"/>
    </w:lvl>
    <w:lvl w:ilvl="1">
      <w:lvlJc w:val="left"/>
      <w:lvlText w:val="(%2)"/>
      <w:numFmt w:val="lowerLetter"/>
      <w:start w:val="1"/>
    </w:lvl>
    <w:lvl w:ilvl="2">
      <w:lvlJc w:val="left"/>
      <w:lvlText w:val="(%3)"/>
      <w:numFmt w:val="lowerRoman"/>
      <w:start w:val="1"/>
    </w:lvl>
  </w:abstractNum>
  <w:abstractNum w:abstractNumId="356">
    <w:nsid w:val="41A8106C"/>
    <w:multiLevelType w:val="hybridMultilevel"/>
    <w:lvl w:ilvl="0">
      <w:lvlJc w:val="left"/>
      <w:lvlText w:val="%1."/>
      <w:numFmt w:val="decimal"/>
      <w:start w:val="56"/>
    </w:lvl>
    <w:lvl w:ilvl="1">
      <w:lvlJc w:val="left"/>
      <w:lvlText w:val="(%2)"/>
      <w:numFmt w:val="lowerLetter"/>
      <w:start w:val="1"/>
    </w:lvl>
    <w:lvl w:ilvl="2">
      <w:lvlJc w:val="left"/>
      <w:lvlText w:val="(%3)"/>
      <w:numFmt w:val="lowerRoman"/>
      <w:start w:val="1"/>
    </w:lvl>
  </w:abstractNum>
  <w:abstractNum w:abstractNumId="357">
    <w:nsid w:val="3FB97188"/>
    <w:multiLevelType w:val="hybridMultilevel"/>
    <w:lvl w:ilvl="0">
      <w:lvlJc w:val="left"/>
      <w:lvlText w:val="(%1)"/>
      <w:numFmt w:val="lowerRoman"/>
      <w:start w:val="1"/>
    </w:lvl>
    <w:lvl w:ilvl="1">
      <w:lvlJc w:val="left"/>
      <w:lvlText w:val="(%2)"/>
      <w:numFmt w:val="upperLetter"/>
      <w:start w:val="1"/>
    </w:lvl>
  </w:abstractNum>
  <w:abstractNum w:abstractNumId="358">
    <w:nsid w:val="382EA87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359">
    <w:nsid w:val="2185650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lvl w:ilvl="3">
      <w:lvlJc w:val="left"/>
      <w:lvlText w:val="(%4)"/>
      <w:numFmt w:val="upperLetter"/>
      <w:start w:val="1"/>
    </w:lvl>
  </w:abstractNum>
  <w:abstractNum w:abstractNumId="360">
    <w:nsid w:val="78B6E4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361">
    <w:nsid w:val="B1595B1"/>
    <w:multiLevelType w:val="hybridMultilevel"/>
    <w:lvl w:ilvl="0">
      <w:lvlJc w:val="left"/>
      <w:lvlText w:val="%1."/>
      <w:numFmt w:val="decimal"/>
      <w:start w:val="5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2">
    <w:nsid w:val="25670D6B"/>
    <w:multiLevelType w:val="hybridMultilevel"/>
    <w:lvl w:ilvl="0">
      <w:lvlJc w:val="left"/>
      <w:lvlText w:val="%1."/>
      <w:numFmt w:val="decimal"/>
      <w:start w:val="62"/>
    </w:lvl>
    <w:lvl w:ilvl="1">
      <w:lvlJc w:val="left"/>
      <w:lvlText w:val="(%2)"/>
      <w:numFmt w:val="lowerLetter"/>
      <w:start w:val="1"/>
    </w:lvl>
  </w:abstractNum>
  <w:abstractNum w:abstractNumId="363">
    <w:nsid w:val="5FE6C53F"/>
    <w:multiLevelType w:val="hybridMultilevel"/>
    <w:lvl w:ilvl="0">
      <w:lvlJc w:val="left"/>
      <w:lvlText w:val="(%1)"/>
      <w:numFmt w:val="lowerLetter"/>
      <w:start w:val="2"/>
    </w:lvl>
  </w:abstractNum>
  <w:abstractNum w:abstractNumId="364">
    <w:nsid w:val="3CAE14F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65">
    <w:nsid w:val="6E27B56B"/>
    <w:multiLevelType w:val="hybridMultilevel"/>
    <w:lvl w:ilvl="0">
      <w:lvlJc w:val="left"/>
      <w:lvlText w:val="%1."/>
      <w:numFmt w:val="decimal"/>
      <w:start w:val="67"/>
    </w:lvl>
    <w:lvl w:ilvl="1">
      <w:lvlJc w:val="left"/>
      <w:lvlText w:val="%2"/>
      <w:numFmt w:val="lowerLetter"/>
      <w:start w:val="1"/>
    </w:lvl>
    <w:lvl w:ilvl="2">
      <w:lvlJc w:val="left"/>
      <w:lvlText w:val="%3"/>
      <w:numFmt w:val="lowerRoman"/>
      <w:start w:val="1"/>
    </w:lvl>
  </w:abstractNum>
  <w:abstractNum w:abstractNumId="366">
    <w:nsid w:val="66FE7765"/>
    <w:multiLevelType w:val="hybridMultilevel"/>
    <w:lvl w:ilvl="0">
      <w:lvlJc w:val="left"/>
      <w:lvlText w:val="%1."/>
      <w:numFmt w:val="decimal"/>
      <w:start w:val="70"/>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7">
    <w:nsid w:val="41123F79"/>
    <w:multiLevelType w:val="hybridMultilevel"/>
    <w:lvl w:ilvl="0">
      <w:lvlJc w:val="left"/>
      <w:lvlText w:val="(%1)"/>
      <w:numFmt w:val="lowerLetter"/>
      <w:start w:val="3"/>
    </w:lvl>
    <w:lvl w:ilvl="1">
      <w:lvlJc w:val="left"/>
      <w:lvlText w:val="(%2)"/>
      <w:numFmt w:val="lowerRoman"/>
      <w:start w:val="1"/>
    </w:lvl>
  </w:abstractNum>
  <w:abstractNum w:abstractNumId="368">
    <w:nsid w:val="514FBE5A"/>
    <w:multiLevelType w:val="hybridMultilevel"/>
    <w:lvl w:ilvl="0">
      <w:lvlJc w:val="left"/>
      <w:lvlText w:val="%1."/>
      <w:numFmt w:val="decimal"/>
      <w:start w:val="73"/>
    </w:lvl>
    <w:lvl w:ilvl="1">
      <w:lvlJc w:val="left"/>
      <w:lvlText w:val="(%2)"/>
      <w:numFmt w:val="lowerLetter"/>
      <w:start w:val="1"/>
    </w:lvl>
  </w:abstractNum>
  <w:abstractNum w:abstractNumId="369">
    <w:nsid w:val="4C68ED90"/>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70">
    <w:nsid w:val="45BECE3C"/>
    <w:multiLevelType w:val="hybridMultilevel"/>
    <w:lvl w:ilvl="0">
      <w:lvlJc w:val="left"/>
      <w:lvlText w:val="%1."/>
      <w:numFmt w:val="decimal"/>
      <w:start w:val="75"/>
    </w:lvl>
    <w:lvl w:ilvl="1">
      <w:lvlJc w:val="left"/>
      <w:lvlText w:val="(%2)"/>
      <w:numFmt w:val="lowerLetter"/>
      <w:start w:val="1"/>
    </w:lvl>
    <w:lvl w:ilvl="2">
      <w:lvlJc w:val="left"/>
      <w:lvlText w:val="(%3)"/>
      <w:numFmt w:val="lowerRoman"/>
      <w:start w:val="1"/>
    </w:lvl>
  </w:abstractNum>
  <w:abstractNum w:abstractNumId="371">
    <w:nsid w:val="1660D468"/>
    <w:multiLevelType w:val="hybridMultilevel"/>
    <w:lvl w:ilvl="0">
      <w:lvlJc w:val="left"/>
      <w:lvlText w:val="%1."/>
      <w:numFmt w:val="decimal"/>
      <w:start w:val="76"/>
    </w:lvl>
    <w:lvl w:ilvl="1">
      <w:lvlJc w:val="left"/>
      <w:lvlText w:val="(%2)"/>
      <w:numFmt w:val="lowerLetter"/>
      <w:start w:val="1"/>
    </w:lvl>
  </w:abstractNum>
  <w:abstractNum w:abstractNumId="372">
    <w:nsid w:val="7690CBA1"/>
    <w:multiLevelType w:val="hybridMultilevel"/>
    <w:lvl w:ilvl="0">
      <w:lvlJc w:val="left"/>
      <w:lvlText w:val="%1."/>
      <w:numFmt w:val="decimal"/>
      <w:start w:val="1"/>
    </w:lvl>
    <w:lvl w:ilvl="1">
      <w:lvlJc w:val="left"/>
      <w:lvlText w:val="(%2)"/>
      <w:numFmt w:val="lowerLetter"/>
      <w:start w:val="1"/>
    </w:lvl>
  </w:abstractNum>
  <w:abstractNum w:abstractNumId="373">
    <w:nsid w:val="7CBC5FD3"/>
    <w:multiLevelType w:val="hybridMultilevel"/>
    <w:lvl w:ilvl="0">
      <w:lvlJc w:val="left"/>
      <w:lvlText w:val="%1."/>
      <w:numFmt w:val="decimal"/>
      <w:start w:val="8"/>
    </w:lvl>
    <w:lvl w:ilvl="1">
      <w:lvlJc w:val="left"/>
      <w:lvlText w:val="(%2)"/>
      <w:numFmt w:val="lowerLetter"/>
      <w:start w:val="1"/>
    </w:lvl>
  </w:abstractNum>
  <w:abstractNum w:abstractNumId="374">
    <w:nsid w:val="19076430"/>
    <w:multiLevelType w:val="hybridMultilevel"/>
    <w:lvl w:ilvl="0">
      <w:lvlJc w:val="left"/>
      <w:lvlText w:val="%1."/>
      <w:numFmt w:val="decimal"/>
      <w:start w:val="9"/>
    </w:lvl>
    <w:lvl w:ilvl="1">
      <w:lvlJc w:val="left"/>
      <w:lvlText w:val="(%2)"/>
      <w:numFmt w:val="lowerLetter"/>
      <w:start w:val="1"/>
    </w:lvl>
  </w:abstractNum>
  <w:abstractNum w:abstractNumId="375">
    <w:nsid w:val="2B85F5C4"/>
    <w:multiLevelType w:val="hybridMultilevel"/>
    <w:lvl w:ilvl="0">
      <w:lvlJc w:val="left"/>
      <w:lvlText w:val="(%1)"/>
      <w:numFmt w:val="lowerRoman"/>
      <w:start w:val="2"/>
    </w:lvl>
  </w:abstractNum>
  <w:abstractNum w:abstractNumId="376">
    <w:nsid w:val="44D20939"/>
    <w:multiLevelType w:val="hybridMultilevel"/>
    <w:lvl w:ilvl="0">
      <w:lvlJc w:val="left"/>
      <w:lvlText w:val="(%1)"/>
      <w:numFmt w:val="lowerRoman"/>
      <w:start w:val="3"/>
    </w:lvl>
  </w:abstractNum>
  <w:abstractNum w:abstractNumId="377">
    <w:nsid w:val="1276A960"/>
    <w:multiLevelType w:val="hybridMultilevel"/>
    <w:lvl w:ilvl="0">
      <w:lvlJc w:val="left"/>
      <w:lvlText w:val="(%1)"/>
      <w:numFmt w:val="lowerLetter"/>
      <w:start w:val="2"/>
    </w:lvl>
  </w:abstractNum>
  <w:abstractNum w:abstractNumId="378">
    <w:nsid w:val="1B479698"/>
    <w:multiLevelType w:val="hybridMultilevel"/>
    <w:lvl w:ilvl="0">
      <w:lvlJc w:val="left"/>
      <w:lvlText w:val="(%1)"/>
      <w:numFmt w:val="lowerLetter"/>
      <w:start w:val="3"/>
    </w:lvl>
  </w:abstractNum>
  <w:abstractNum w:abstractNumId="379">
    <w:nsid w:val="6572CF1B"/>
    <w:multiLevelType w:val="hybridMultilevel"/>
    <w:lvl w:ilvl="0">
      <w:lvlJc w:val="left"/>
      <w:lvlText w:val="(%1)"/>
      <w:numFmt w:val="lowerLetter"/>
      <w:start w:val="5"/>
    </w:lvl>
  </w:abstractNum>
  <w:abstractNum w:abstractNumId="380">
    <w:nsid w:val="6E4E1C1B"/>
    <w:multiLevelType w:val="hybridMultilevel"/>
    <w:lvl w:ilvl="0">
      <w:lvlJc w:val="left"/>
      <w:lvlText w:val="%1"/>
      <w:numFmt w:val="decimal"/>
      <w:start w:val="1"/>
    </w:lvl>
    <w:lvl w:ilvl="1">
      <w:lvlJc w:val="left"/>
      <w:lvlText w:val="%2"/>
      <w:numFmt w:val="lowerLetter"/>
      <w:start w:val="1"/>
    </w:lvl>
    <w:lvl w:ilvl="2">
      <w:lvlJc w:val="left"/>
      <w:lvlText w:val="(%3)"/>
      <w:numFmt w:val="decimal"/>
      <w:start w:val="60"/>
    </w:lvl>
  </w:abstractNum>
  <w:abstractNum w:abstractNumId="381">
    <w:nsid w:val="4E784887"/>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abstractNum>
  <w:abstractNum w:abstractNumId="382">
    <w:nsid w:val="38AD4C18"/>
    <w:multiLevelType w:val="hybridMultilevel"/>
    <w:lvl w:ilvl="0">
      <w:lvlJc w:val="left"/>
      <w:lvlText w:val="%1"/>
      <w:numFmt w:val="decimal"/>
      <w:start w:val="1"/>
    </w:lvl>
    <w:lvl w:ilvl="1">
      <w:lvlJc w:val="left"/>
      <w:lvlText w:val="(%2)"/>
      <w:numFmt w:val="lowerLetter"/>
      <w:start w:val="2"/>
    </w:lvl>
  </w:abstractNum>
  <w:abstractNum w:abstractNumId="383">
    <w:nsid w:val="48CCEE31"/>
    <w:multiLevelType w:val="hybridMultilevel"/>
    <w:lvl w:ilvl="0">
      <w:lvlJc w:val="left"/>
      <w:lvlText w:val="%1."/>
      <w:numFmt w:val="decimal"/>
      <w:start w:val="14"/>
    </w:lvl>
    <w:lvl w:ilvl="1">
      <w:lvlJc w:val="left"/>
      <w:lvlText w:val="(%2)"/>
      <w:numFmt w:val="lowerLetter"/>
      <w:start w:val="1"/>
    </w:lvl>
  </w:abstractNum>
  <w:abstractNum w:abstractNumId="384">
    <w:nsid w:val="45EA996E"/>
    <w:multiLevelType w:val="hybridMultilevel"/>
    <w:lvl w:ilvl="0">
      <w:lvlJc w:val="left"/>
      <w:lvlText w:val="%1"/>
      <w:numFmt w:val="decimal"/>
      <w:start w:val="1"/>
    </w:lvl>
    <w:lvl w:ilvl="1">
      <w:lvlJc w:val="left"/>
      <w:lvlText w:val="(%2)"/>
      <w:numFmt w:val="lowerLetter"/>
      <w:start w:val="12"/>
    </w:lvl>
  </w:abstractNum>
  <w:abstractNum w:abstractNumId="385">
    <w:nsid w:val="441FBAF4"/>
    <w:multiLevelType w:val="hybridMultilevel"/>
    <w:lvl w:ilvl="0">
      <w:lvlJc w:val="left"/>
      <w:lvlText w:val="%1."/>
      <w:numFmt w:val="decimal"/>
      <w:start w:val="15"/>
    </w:lvl>
    <w:lvl w:ilvl="1">
      <w:lvlJc w:val="left"/>
      <w:lvlText w:val="(%2)"/>
      <w:numFmt w:val="lowerLetter"/>
      <w:start w:val="1"/>
    </w:lvl>
  </w:abstractNum>
  <w:abstractNum w:abstractNumId="386">
    <w:nsid w:val="7F2BEA8B"/>
    <w:multiLevelType w:val="hybridMultilevel"/>
    <w:lvl w:ilvl="0">
      <w:lvlJc w:val="left"/>
      <w:lvlText w:val="%1."/>
      <w:numFmt w:val="decimal"/>
      <w:start w:val="24"/>
    </w:lvl>
    <w:lvl w:ilvl="1">
      <w:lvlJc w:val="left"/>
      <w:lvlText w:val="(%2)"/>
      <w:numFmt w:val="lowerLetter"/>
      <w:start w:val="1"/>
    </w:lvl>
    <w:lvl w:ilvl="2">
      <w:lvlJc w:val="left"/>
      <w:lvlText w:val="(%3)"/>
      <w:numFmt w:val="lowerRoman"/>
      <w:start w:val="1"/>
    </w:lvl>
  </w:abstractNum>
  <w:abstractNum w:abstractNumId="387">
    <w:nsid w:val="792A9DB"/>
    <w:multiLevelType w:val="hybridMultilevel"/>
    <w:lvl w:ilvl="0">
      <w:lvlJc w:val="left"/>
      <w:lvlText w:val="%1."/>
      <w:numFmt w:val="decimal"/>
      <w:start w:val="28"/>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388">
    <w:nsid w:val="3D92C7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89">
    <w:nsid w:val="375A92FF"/>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390">
    <w:nsid w:val="29180EE2"/>
    <w:multiLevelType w:val="hybridMultilevel"/>
    <w:lvl w:ilvl="0">
      <w:lvlJc w:val="left"/>
      <w:lvlText w:val="%1."/>
      <w:numFmt w:val="decimal"/>
      <w:start w:val="29"/>
    </w:lvl>
    <w:lvl w:ilvl="1">
      <w:lvlJc w:val="left"/>
      <w:lvlText w:val="%2"/>
      <w:numFmt w:val="lowerLetter"/>
      <w:start w:val="1"/>
    </w:lvl>
    <w:lvl w:ilvl="2">
      <w:lvlJc w:val="left"/>
      <w:lvlText w:val="%3"/>
      <w:numFmt w:val="lowerLetter"/>
      <w:start w:val="1"/>
    </w:lvl>
  </w:abstractNum>
  <w:abstractNum w:abstractNumId="391">
    <w:nsid w:val="7C901113"/>
    <w:multiLevelType w:val="hybridMultilevel"/>
    <w:lvl w:ilvl="0">
      <w:lvlJc w:val="left"/>
      <w:lvlText w:val="(%1)"/>
      <w:numFmt w:val="lowerRoman"/>
      <w:start w:val="1"/>
    </w:lvl>
  </w:abstractNum>
  <w:abstractNum w:abstractNumId="392">
    <w:nsid w:val="427028B0"/>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1"/>
    </w:lvl>
  </w:abstractNum>
  <w:abstractNum w:abstractNumId="393">
    <w:nsid w:val="4E7F1C4D"/>
    <w:multiLevelType w:val="hybridMultilevel"/>
    <w:lvl w:ilvl="0">
      <w:lvlJc w:val="left"/>
      <w:lvlText w:val="%1."/>
      <w:numFmt w:val="decimal"/>
      <w:start w:val="31"/>
    </w:lvl>
    <w:lvl w:ilvl="1">
      <w:lvlJc w:val="left"/>
      <w:lvlText w:val="%2"/>
      <w:numFmt w:val="lowerLetter"/>
      <w:start w:val="1"/>
    </w:lvl>
    <w:lvl w:ilvl="2">
      <w:lvlJc w:val="left"/>
      <w:lvlText w:val="(%3)"/>
      <w:numFmt w:val="lowerLetter"/>
      <w:start w:val="1"/>
    </w:lvl>
  </w:abstractNum>
  <w:abstractNum w:abstractNumId="394">
    <w:nsid w:val="5C76D652"/>
    <w:multiLevelType w:val="hybridMultilevel"/>
    <w:lvl w:ilvl="0">
      <w:lvlJc w:val="left"/>
      <w:lvlText w:val="%1."/>
      <w:numFmt w:val="decimal"/>
      <w:start w:val="1"/>
    </w:lvl>
    <w:lvl w:ilvl="1">
      <w:lvlJc w:val="left"/>
      <w:lvlText w:val="(%2)"/>
      <w:numFmt w:val="lowerLetter"/>
      <w:start w:val="1"/>
    </w:lvl>
  </w:abstractNum>
  <w:abstractNum w:abstractNumId="395">
    <w:nsid w:val="7F1E3DA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6">
    <w:nsid w:val="3CA6D1B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97">
    <w:nsid w:val="43754DB7"/>
    <w:multiLevelType w:val="hybridMultilevel"/>
    <w:lvl w:ilvl="0">
      <w:lvlJc w:val="left"/>
      <w:lvlText w:val="%1."/>
      <w:numFmt w:val="decimal"/>
      <w:start w:val="4"/>
    </w:lvl>
  </w:abstractNum>
  <w:abstractNum w:abstractNumId="398">
    <w:nsid w:val="40307D27"/>
    <w:multiLevelType w:val="hybridMultilevel"/>
    <w:lvl w:ilvl="0">
      <w:lvlJc w:val="left"/>
      <w:lvlText w:val="%1."/>
      <w:numFmt w:val="decimal"/>
      <w:start w:val="1"/>
    </w:lvl>
  </w:abstractNum>
  <w:abstractNum w:abstractNumId="399">
    <w:nsid w:val="DF69013"/>
    <w:multiLevelType w:val="hybridMultilevel"/>
    <w:lvl w:ilvl="0">
      <w:lvlJc w:val="left"/>
      <w:lvlText w:val="%1."/>
      <w:numFmt w:val="decimal"/>
      <w:start w:val="32"/>
    </w:lvl>
  </w:abstractNum>
  <w:abstractNum w:abstractNumId="400">
    <w:nsid w:val="FDE3B47"/>
    <w:multiLevelType w:val="hybridMultilevel"/>
    <w:lvl w:ilvl="0">
      <w:lvlJc w:val="left"/>
      <w:lvlText w:val="(%1)"/>
      <w:numFmt w:val="lowerLetter"/>
      <w:start w:val="1"/>
    </w:lvl>
  </w:abstractNum>
  <w:abstractNum w:abstractNumId="401">
    <w:nsid w:val="5EF4B64"/>
    <w:multiLevelType w:val="hybridMultilevel"/>
    <w:lvl w:ilvl="0">
      <w:lvlJc w:val="left"/>
      <w:lvlText w:val="(%1)"/>
      <w:numFmt w:val="lowerLetter"/>
      <w:start w:val="1"/>
    </w:lvl>
  </w:abstractNum>
  <w:abstractNum w:abstractNumId="402">
    <w:nsid w:val="2457647B"/>
    <w:multiLevelType w:val="hybridMultilevel"/>
    <w:lvl w:ilvl="0">
      <w:lvlJc w:val="left"/>
      <w:lvlText w:val="(%1)"/>
      <w:numFmt w:val="lowerLetter"/>
      <w:start w:val="1"/>
    </w:lvl>
  </w:abstractNum>
  <w:abstractNum w:abstractNumId="403">
    <w:nsid w:val="66F06E9"/>
    <w:multiLevelType w:val="hybridMultilevel"/>
    <w:lvl w:ilvl="0">
      <w:lvlJc w:val="left"/>
      <w:lvlText w:val="(%1)"/>
      <w:numFmt w:val="lowerLetter"/>
      <w:start w:val="2"/>
    </w:lvl>
  </w:abstractNum>
  <w:abstractNum w:abstractNumId="404">
    <w:nsid w:val="2ABAB37"/>
    <w:multiLevelType w:val="hybridMultilevel"/>
    <w:lvl w:ilvl="0">
      <w:lvlJc w:val="left"/>
      <w:lvlText w:val="(%1)"/>
      <w:numFmt w:val="lowerLetter"/>
      <w:start w:val="1"/>
    </w:lvl>
  </w:abstractNum>
  <w:abstractNum w:abstractNumId="405">
    <w:nsid w:val="3D5EC8AB"/>
    <w:multiLevelType w:val="hybridMultilevel"/>
    <w:lvl w:ilvl="0">
      <w:lvlJc w:val="left"/>
      <w:lvlText w:val="(%1)"/>
      <w:numFmt w:val="lowerLetter"/>
      <w:start w:val="1"/>
    </w:lvl>
  </w:abstractNum>
  <w:abstractNum w:abstractNumId="406">
    <w:nsid w:val="31F4FCAD"/>
    <w:multiLevelType w:val="hybridMultilevel"/>
    <w:lvl w:ilvl="0">
      <w:lvlJc w:val="left"/>
      <w:lvlText w:val="(%1)"/>
      <w:numFmt w:val="lowerRoman"/>
      <w:start w:val="1"/>
    </w:lvl>
  </w:abstractNum>
  <w:abstractNum w:abstractNumId="407">
    <w:nsid w:val="477DB470"/>
    <w:multiLevelType w:val="hybridMultilevel"/>
    <w:lvl w:ilvl="0">
      <w:lvlJc w:val="left"/>
      <w:lvlText w:val="(%1)"/>
      <w:numFmt w:val="lowerRoman"/>
      <w:start w:val="1"/>
    </w:lvl>
  </w:abstractNum>
  <w:abstractNum w:abstractNumId="408">
    <w:nsid w:val="4FD5720B"/>
    <w:multiLevelType w:val="hybridMultilevel"/>
    <w:lvl w:ilvl="0">
      <w:lvlJc w:val="left"/>
      <w:lvlText w:val="(%1)"/>
      <w:numFmt w:val="lowerLetter"/>
      <w:start w:val="1"/>
    </w:lvl>
  </w:abstractNum>
  <w:abstractNum w:abstractNumId="409">
    <w:nsid w:val="4D3C9346"/>
    <w:multiLevelType w:val="hybridMultilevel"/>
    <w:lvl w:ilvl="0">
      <w:lvlJc w:val="left"/>
      <w:lvlText w:val="(%1)"/>
      <w:numFmt w:val="lowerLetter"/>
      <w:start w:val="1"/>
    </w:lvl>
  </w:abstractNum>
  <w:abstractNum w:abstractNumId="410">
    <w:nsid w:val="2CF0838B"/>
    <w:multiLevelType w:val="hybridMultilevel"/>
    <w:lvl w:ilvl="0">
      <w:lvlJc w:val="left"/>
      <w:lvlText w:val="(%1)"/>
      <w:numFmt w:val="lowerLetter"/>
      <w:start w:val="1"/>
    </w:lvl>
  </w:abstractNum>
  <w:abstractNum w:abstractNumId="411">
    <w:nsid w:val="3E238E27"/>
    <w:multiLevelType w:val="hybridMultilevel"/>
    <w:lvl w:ilvl="0">
      <w:lvlJc w:val="left"/>
      <w:lvlText w:val="(%1)"/>
      <w:numFmt w:val="lowerLetter"/>
      <w:start w:val="1"/>
    </w:lvl>
  </w:abstractNum>
  <w:abstractNum w:abstractNumId="412">
    <w:nsid w:val="1BB4DBCD"/>
    <w:multiLevelType w:val="hybridMultilevel"/>
    <w:lvl w:ilvl="0">
      <w:lvlJc w:val="left"/>
      <w:lvlText w:val="(%1)"/>
      <w:numFmt w:val="lowerLetter"/>
      <w:start w:val="1"/>
    </w:lvl>
  </w:abstractNum>
  <w:abstractNum w:abstractNumId="413">
    <w:nsid w:val="659DCFA3"/>
    <w:multiLevelType w:val="hybridMultilevel"/>
    <w:lvl w:ilvl="0">
      <w:lvlJc w:val="left"/>
      <w:lvlText w:val="(%1)"/>
      <w:numFmt w:val="lowerLetter"/>
      <w:start w:val="1"/>
    </w:lvl>
    <w:lvl w:ilvl="1">
      <w:lvlJc w:val="left"/>
      <w:lvlText w:val="(%2)"/>
      <w:numFmt w:val="lowerRoman"/>
      <w:start w:val="1"/>
    </w:lvl>
  </w:abstractNum>
  <w:abstractNum w:abstractNumId="414">
    <w:nsid w:val="6F07C58"/>
    <w:multiLevelType w:val="hybridMultilevel"/>
    <w:lvl w:ilvl="0">
      <w:lvlJc w:val="left"/>
      <w:lvlText w:val="(%1)"/>
      <w:numFmt w:val="lowerLetter"/>
      <w:start w:val="1"/>
    </w:lvl>
  </w:abstractNum>
  <w:abstractNum w:abstractNumId="415">
    <w:nsid w:val="619F753B"/>
    <w:multiLevelType w:val="hybridMultilevel"/>
    <w:lvl w:ilvl="0">
      <w:lvlJc w:val="left"/>
      <w:lvlText w:val="(%1)"/>
      <w:numFmt w:val="lowerLetter"/>
      <w:start w:val="4"/>
    </w:lvl>
  </w:abstractNum>
  <w:abstractNum w:abstractNumId="416">
    <w:nsid w:val="29BD8A97"/>
    <w:multiLevelType w:val="hybridMultilevel"/>
    <w:lvl w:ilvl="0">
      <w:lvlJc w:val="left"/>
      <w:lvlText w:val="(%1)"/>
      <w:numFmt w:val="lowerLetter"/>
      <w:start w:val="1"/>
    </w:lvl>
  </w:abstractNum>
  <w:abstractNum w:abstractNumId="417">
    <w:nsid w:val="61C66E3"/>
    <w:multiLevelType w:val="hybridMultilevel"/>
    <w:lvl w:ilvl="0">
      <w:lvlJc w:val="left"/>
      <w:lvlText w:val="(%1)"/>
      <w:numFmt w:val="lowerLetter"/>
      <w:start w:val="1"/>
    </w:lvl>
  </w:abstractNum>
  <w:abstractNum w:abstractNumId="418">
    <w:nsid w:val="69321F16"/>
    <w:multiLevelType w:val="hybridMultilevel"/>
    <w:lvl w:ilvl="0">
      <w:lvlJc w:val="left"/>
      <w:lvlText w:val="(%1)"/>
      <w:numFmt w:val="lowerLetter"/>
      <w:start w:val="1"/>
    </w:lvl>
  </w:abstractNum>
  <w:abstractNum w:abstractNumId="419">
    <w:nsid w:val="2D96B714"/>
    <w:multiLevelType w:val="hybridMultilevel"/>
    <w:lvl w:ilvl="0">
      <w:lvlJc w:val="left"/>
      <w:lvlText w:val="(%1)"/>
      <w:numFmt w:val="lowerLetter"/>
      <w:start w:val="4"/>
    </w:lvl>
  </w:abstractNum>
  <w:abstractNum w:abstractNumId="420">
    <w:nsid w:val="3D76F9E2"/>
    <w:multiLevelType w:val="hybridMultilevel"/>
    <w:lvl w:ilvl="0">
      <w:lvlJc w:val="left"/>
      <w:lvlText w:val="(%1)"/>
      <w:numFmt w:val="lowerLetter"/>
      <w:start w:val="1"/>
    </w:lvl>
  </w:abstractNum>
  <w:abstractNum w:abstractNumId="421">
    <w:nsid w:val="124A2DF8"/>
    <w:multiLevelType w:val="hybridMultilevel"/>
    <w:lvl w:ilvl="0">
      <w:lvlJc w:val="left"/>
      <w:lvlText w:val="(%1)"/>
      <w:numFmt w:val="lowerLetter"/>
      <w:start w:val="1"/>
    </w:lvl>
  </w:abstractNum>
  <w:abstractNum w:abstractNumId="422">
    <w:nsid w:val="2A26C828"/>
    <w:multiLevelType w:val="hybridMultilevel"/>
    <w:lvl w:ilvl="0">
      <w:lvlJc w:val="left"/>
      <w:lvlText w:val="(%1)"/>
      <w:numFmt w:val="lowerLetter"/>
      <w:start w:val="1"/>
    </w:lvl>
  </w:abstractNum>
  <w:abstractNum w:abstractNumId="423">
    <w:nsid w:val="7FE72292"/>
    <w:multiLevelType w:val="hybridMultilevel"/>
    <w:lvl w:ilvl="0">
      <w:lvlJc w:val="left"/>
      <w:lvlText w:val="(%1)"/>
      <w:numFmt w:val="lowerLetter"/>
      <w:start w:val="1"/>
    </w:lvl>
  </w:abstractNum>
  <w:abstractNum w:abstractNumId="424">
    <w:nsid w:val="60C94A46"/>
    <w:multiLevelType w:val="hybridMultilevel"/>
    <w:lvl w:ilvl="0">
      <w:lvlJc w:val="left"/>
      <w:lvlText w:val="(%1)"/>
      <w:numFmt w:val="lowerLetter"/>
      <w:start w:val="1"/>
    </w:lvl>
  </w:abstractNum>
  <w:abstractNum w:abstractNumId="425">
    <w:nsid w:val="69D9E7A"/>
    <w:multiLevelType w:val="hybridMultilevel"/>
    <w:lvl w:ilvl="0">
      <w:lvlJc w:val="left"/>
      <w:lvlText w:val="(%1)"/>
      <w:numFmt w:val="lowerLetter"/>
      <w:start w:val="1"/>
    </w:lvl>
  </w:abstractNum>
  <w:abstractNum w:abstractNumId="426">
    <w:nsid w:val="7F056040"/>
    <w:multiLevelType w:val="hybridMultilevel"/>
    <w:lvl w:ilvl="0">
      <w:lvlJc w:val="left"/>
      <w:lvlText w:val="(%1)"/>
      <w:numFmt w:val="lowerLetter"/>
      <w:start w:val="1"/>
    </w:lvl>
  </w:abstractNum>
  <w:abstractNum w:abstractNumId="427">
    <w:nsid w:val="1D701BFF"/>
    <w:multiLevelType w:val="hybridMultilevel"/>
    <w:lvl w:ilvl="0">
      <w:lvlJc w:val="left"/>
      <w:lvlText w:val="(%1)"/>
      <w:numFmt w:val="lowerLetter"/>
      <w:start w:val="1"/>
    </w:lvl>
  </w:abstractNum>
  <w:abstractNum w:abstractNumId="428">
    <w:nsid w:val="4A12EC32"/>
    <w:multiLevelType w:val="hybridMultilevel"/>
    <w:lvl w:ilvl="0">
      <w:lvlJc w:val="left"/>
      <w:lvlText w:val="(%1)"/>
      <w:numFmt w:val="lowerLetter"/>
      <w:start w:val="2"/>
    </w:lvl>
  </w:abstractNum>
  <w:abstractNum w:abstractNumId="429">
    <w:nsid w:val="3F35DD67"/>
    <w:multiLevelType w:val="hybridMultilevel"/>
    <w:lvl w:ilvl="0">
      <w:lvlJc w:val="left"/>
      <w:lvlText w:val="(%1)"/>
      <w:numFmt w:val="lowerLetter"/>
      <w:start w:val="1"/>
    </w:lvl>
  </w:abstractNum>
  <w:abstractNum w:abstractNumId="430">
    <w:nsid w:val="2B66AC12"/>
    <w:multiLevelType w:val="hybridMultilevel"/>
    <w:lvl w:ilvl="0">
      <w:lvlJc w:val="left"/>
      <w:lvlText w:val="(%1)"/>
      <w:numFmt w:val="lowerLetter"/>
      <w:start w:val="1"/>
    </w:lvl>
    <w:lvl w:ilvl="1">
      <w:lvlJc w:val="left"/>
      <w:lvlText w:val="(%2)"/>
      <w:numFmt w:val="upperLetter"/>
      <w:start w:val="1"/>
    </w:lvl>
  </w:abstractNum>
  <w:abstractNum w:abstractNumId="431">
    <w:nsid w:val="59F12779"/>
    <w:multiLevelType w:val="hybridMultilevel"/>
    <w:lvl w:ilvl="0">
      <w:lvlJc w:val="left"/>
      <w:lvlText w:val="%1"/>
      <w:numFmt w:val="lowerLetter"/>
      <w:start w:val="1"/>
    </w:lvl>
    <w:lvl w:ilvl="1">
      <w:lvlJc w:val="left"/>
      <w:lvlText w:val="(%2)"/>
      <w:numFmt w:val="upperLetter"/>
      <w:start w:val="3"/>
    </w:lvl>
  </w:abstractNum>
  <w:abstractNum w:abstractNumId="432">
    <w:nsid w:val="452528CB"/>
    <w:multiLevelType w:val="hybridMultilevel"/>
    <w:lvl w:ilvl="0">
      <w:lvlJc w:val="left"/>
      <w:lvlText w:val="(%1)"/>
      <w:numFmt w:val="lowerLetter"/>
      <w:start w:val="3"/>
    </w:lvl>
    <w:lvl w:ilvl="1">
      <w:lvlJc w:val="left"/>
      <w:lvlText w:val="%2"/>
      <w:numFmt w:val="upperLetter"/>
      <w:start w:val="1"/>
    </w:lvl>
  </w:abstractNum>
  <w:abstractNum w:abstractNumId="433">
    <w:nsid w:val="4FBE108E"/>
    <w:multiLevelType w:val="hybridMultilevel"/>
    <w:lvl w:ilvl="0">
      <w:lvlJc w:val="left"/>
      <w:lvlText w:val="(%1)"/>
      <w:numFmt w:val="lowerRoman"/>
      <w:start w:val="1"/>
    </w:lvl>
  </w:abstractNum>
  <w:abstractNum w:abstractNumId="434">
    <w:nsid w:val="60602E62"/>
    <w:multiLevelType w:val="hybridMultilevel"/>
    <w:lvl w:ilvl="0">
      <w:lvlJc w:val="left"/>
      <w:lvlText w:val="(%1)"/>
      <w:numFmt w:val="lowerLetter"/>
      <w:start w:val="1"/>
    </w:lvl>
  </w:abstractNum>
  <w:abstractNum w:abstractNumId="435">
    <w:nsid w:val="47D0D402"/>
    <w:multiLevelType w:val="hybridMultilevel"/>
    <w:lvl w:ilvl="0">
      <w:lvlJc w:val="left"/>
      <w:lvlText w:val="(%1)"/>
      <w:numFmt w:val="lowerLetter"/>
      <w:start w:val="1"/>
    </w:lvl>
  </w:abstractNum>
  <w:abstractNum w:abstractNumId="436">
    <w:nsid w:val="D1CD939"/>
    <w:multiLevelType w:val="hybridMultilevel"/>
    <w:lvl w:ilvl="0">
      <w:lvlJc w:val="left"/>
      <w:lvlText w:val="(%1)"/>
      <w:numFmt w:val="lowerLetter"/>
      <w:start w:val="1"/>
    </w:lvl>
  </w:abstractNum>
  <w:abstractNum w:abstractNumId="437">
    <w:nsid w:val="12552B10"/>
    <w:multiLevelType w:val="hybridMultilevel"/>
    <w:lvl w:ilvl="0">
      <w:lvlJc w:val="left"/>
      <w:lvlText w:val="(%1)"/>
      <w:numFmt w:val="lowerLetter"/>
      <w:start w:val="1"/>
    </w:lvl>
  </w:abstractNum>
  <w:abstractNum w:abstractNumId="438">
    <w:nsid w:val="F4E8872"/>
    <w:multiLevelType w:val="hybridMultilevel"/>
    <w:lvl w:ilvl="0">
      <w:lvlJc w:val="left"/>
      <w:lvlText w:val="%1"/>
      <w:numFmt w:val="lowerLetter"/>
      <w:start w:val="1"/>
    </w:lvl>
    <w:lvl w:ilvl="1">
      <w:lvlJc w:val="left"/>
      <w:lvlText w:val="%2."/>
      <w:numFmt w:val="decimal"/>
      <w:start w:val="33"/>
    </w:lvl>
    <w:lvl w:ilvl="2">
      <w:lvlJc w:val="left"/>
      <w:lvlText w:val="%3"/>
      <w:numFmt w:val="lowerRoman"/>
      <w:start w:val="1"/>
    </w:lvl>
  </w:abstractNum>
  <w:abstractNum w:abstractNumId="439">
    <w:nsid w:val="5CF24B45"/>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40">
    <w:nsid w:val="5F91BE56"/>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7"/>
    </w:lvl>
  </w:abstractNum>
  <w:abstractNum w:abstractNumId="441">
    <w:nsid w:val="3C3F0BFD"/>
    <w:multiLevelType w:val="hybridMultilevel"/>
    <w:lvl w:ilvl="0">
      <w:lvlJc w:val="left"/>
      <w:lvlText w:val="(%1)"/>
      <w:numFmt w:val="lowerLetter"/>
      <w:start w:val="2"/>
    </w:lvl>
    <w:lvl w:ilvl="1">
      <w:lvlJc w:val="left"/>
      <w:lvlText w:val="%2."/>
      <w:numFmt w:val="decimal"/>
      <w:start w:val="34"/>
    </w:lvl>
    <w:lvl w:ilvl="2">
      <w:lvlJc w:val="left"/>
      <w:lvlText w:val="%3"/>
      <w:numFmt w:val="lowerRoman"/>
      <w:start w:val="1"/>
    </w:lvl>
  </w:abstractNum>
  <w:abstractNum w:abstractNumId="442">
    <w:nsid w:val="1B15D96C"/>
    <w:multiLevelType w:val="hybridMultilevel"/>
    <w:lvl w:ilvl="0">
      <w:lvlJc w:val="left"/>
      <w:lvlText w:val="(%1)"/>
      <w:numFmt w:val="lowerLetter"/>
      <w:start w:val="1"/>
    </w:lvl>
  </w:abstractNum>
  <w:abstractNum w:abstractNumId="443">
    <w:nsid w:val="7B469A23"/>
    <w:multiLevelType w:val="hybridMultilevel"/>
    <w:lvl w:ilvl="0">
      <w:lvlJc w:val="left"/>
      <w:lvlText w:val="(%1)"/>
      <w:numFmt w:val="lowerLetter"/>
      <w:start w:val="2"/>
    </w:lvl>
    <w:lvl w:ilvl="1">
      <w:lvlJc w:val="left"/>
      <w:lvlText w:val="%2."/>
      <w:numFmt w:val="decimal"/>
      <w:start w:val="35"/>
    </w:lvl>
  </w:abstractNum>
  <w:abstractNum w:abstractNumId="444">
    <w:nsid w:val="21DCDBA0"/>
    <w:multiLevelType w:val="hybridMultilevel"/>
    <w:lvl w:ilvl="0">
      <w:lvlJc w:val="left"/>
      <w:lvlText w:val="(%1)"/>
      <w:numFmt w:val="lowerLetter"/>
      <w:start w:val="1"/>
    </w:lvl>
    <w:lvl w:ilvl="1">
      <w:lvlJc w:val="left"/>
      <w:lvlText w:val="(%2)"/>
      <w:numFmt w:val="lowerRoman"/>
      <w:start w:val="1"/>
    </w:lvl>
  </w:abstractNum>
  <w:abstractNum w:abstractNumId="445">
    <w:nsid w:val="220655C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446">
    <w:nsid w:val="5CE60F5E"/>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447">
    <w:nsid w:val="4B9A6638"/>
    <w:multiLevelType w:val="hybridMultilevel"/>
    <w:lvl w:ilvl="0">
      <w:lvlJc w:val="left"/>
      <w:lvlText w:val="%1."/>
      <w:numFmt w:val="decimal"/>
      <w:start w:val="36"/>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48">
    <w:nsid w:val="2822BCA7"/>
    <w:multiLevelType w:val="hybridMultilevel"/>
    <w:lvl w:ilvl="0">
      <w:lvlJc w:val="left"/>
      <w:lvlText w:val="(%1)"/>
      <w:numFmt w:val="lowerRoman"/>
      <w:start w:val="2"/>
    </w:lvl>
    <w:lvl w:ilvl="1">
      <w:lvlJc w:val="left"/>
      <w:lvlText w:val="(%2)"/>
      <w:numFmt w:val="upperLetter"/>
      <w:start w:val="1"/>
    </w:lvl>
  </w:abstractNum>
  <w:abstractNum w:abstractNumId="449">
    <w:nsid w:val="46182E75"/>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450">
    <w:nsid w:val="79311D4C"/>
    <w:multiLevelType w:val="hybridMultilevel"/>
    <w:lvl w:ilvl="0">
      <w:lvlJc w:val="left"/>
      <w:lvlText w:val="(%1)"/>
      <w:numFmt w:val="lowerRoman"/>
      <w:start w:val="3"/>
    </w:lvl>
    <w:lvl w:ilvl="1">
      <w:lvlJc w:val="left"/>
      <w:lvlText w:val="(%2)"/>
      <w:numFmt w:val="upperLetter"/>
      <w:start w:val="1"/>
    </w:lvl>
    <w:lvl w:ilvl="2">
      <w:lvlJc w:val="left"/>
      <w:lvlText w:val="(%3)"/>
      <w:numFmt w:val="decimal"/>
      <w:start w:val="1"/>
    </w:lvl>
  </w:abstractNum>
  <w:abstractNum w:abstractNumId="451">
    <w:nsid w:val="6599B68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452">
    <w:nsid w:val="58625C6D"/>
    <w:multiLevelType w:val="hybridMultilevel"/>
    <w:lvl w:ilvl="0">
      <w:lvlJc w:val="left"/>
      <w:lvlText w:val="%1"/>
      <w:numFmt w:val="lowerRoman"/>
      <w:start w:val="1"/>
    </w:lvl>
    <w:lvl w:ilvl="1">
      <w:lvlJc w:val="left"/>
      <w:lvlText w:val="(%2)"/>
      <w:numFmt w:val="upperLetter"/>
      <w:start w:val="2"/>
    </w:lvl>
  </w:abstractNum>
  <w:abstractNum w:abstractNumId="453">
    <w:nsid w:val="2357E574"/>
    <w:multiLevelType w:val="hybridMultilevel"/>
    <w:lvl w:ilvl="0">
      <w:lvlJc w:val="left"/>
      <w:lvlText w:val="(%1)"/>
      <w:numFmt w:val="lowerRoman"/>
      <w:start w:val="2"/>
    </w:lvl>
    <w:lvl w:ilvl="1">
      <w:lvlJc w:val="left"/>
      <w:lvlText w:val="(%2)"/>
      <w:numFmt w:val="upperLetter"/>
      <w:start w:val="1"/>
    </w:lvl>
  </w:abstractNum>
  <w:abstractNum w:abstractNumId="454">
    <w:nsid w:val="6580D91B"/>
    <w:multiLevelType w:val="hybridMultilevel"/>
    <w:lvl w:ilvl="0">
      <w:lvlJc w:val="left"/>
      <w:lvlText w:val="(%1)"/>
      <w:numFmt w:val="lowerRoman"/>
      <w:start w:val="5"/>
    </w:lvl>
    <w:lvl w:ilvl="1">
      <w:lvlJc w:val="left"/>
      <w:lvlText w:val="(%2)"/>
      <w:numFmt w:val="upperLetter"/>
      <w:start w:val="1"/>
    </w:lvl>
    <w:lvl w:ilvl="2">
      <w:lvlJc w:val="left"/>
      <w:lvlText w:val="(%3)"/>
      <w:numFmt w:val="upperLetter"/>
      <w:start w:val="3"/>
    </w:lvl>
  </w:abstractNum>
  <w:abstractNum w:abstractNumId="455">
    <w:nsid w:val="392BA6B3"/>
    <w:multiLevelType w:val="hybridMultilevel"/>
    <w:lvl w:ilvl="0">
      <w:lvlJc w:val="left"/>
      <w:lvlText w:val="(%1)"/>
      <w:numFmt w:val="lowerRoman"/>
      <w:start w:val="7"/>
    </w:lvl>
  </w:abstractNum>
  <w:abstractNum w:abstractNumId="456">
    <w:nsid w:val="29F583EF"/>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457">
    <w:nsid w:val="6486395B"/>
    <w:multiLevelType w:val="hybridMultilevel"/>
    <w:lvl w:ilvl="0">
      <w:lvlJc w:val="left"/>
      <w:lvlText w:val="%1"/>
      <w:numFmt w:val="lowerRoman"/>
      <w:start w:val="1"/>
    </w:lvl>
    <w:lvl w:ilvl="1">
      <w:lvlJc w:val="left"/>
      <w:lvlText w:val="(%2)"/>
      <w:numFmt w:val="upperLetter"/>
      <w:start w:val="1"/>
    </w:lvl>
  </w:abstractNum>
  <w:abstractNum w:abstractNumId="458">
    <w:nsid w:val="569BC2B2"/>
    <w:multiLevelType w:val="hybridMultilevel"/>
    <w:lvl w:ilvl="0">
      <w:lvlJc w:val="left"/>
      <w:lvlText w:val="(%1)"/>
      <w:numFmt w:val="lowerRoman"/>
      <w:start w:val="3"/>
    </w:lvl>
    <w:lvl w:ilvl="1">
      <w:lvlJc w:val="left"/>
      <w:lvlText w:val="(%2)"/>
      <w:numFmt w:val="upperLetter"/>
      <w:start w:val="1"/>
    </w:lvl>
  </w:abstractNum>
  <w:abstractNum w:abstractNumId="459">
    <w:nsid w:val="74087021"/>
    <w:multiLevelType w:val="hybridMultilevel"/>
    <w:lvl w:ilvl="0">
      <w:lvlJc w:val="left"/>
      <w:lvlText w:val="%1"/>
      <w:numFmt w:val="decimal"/>
      <w:start w:val="1"/>
    </w:lvl>
    <w:lvl w:ilvl="1">
      <w:lvlJc w:val="left"/>
      <w:lvlText w:val="%2."/>
      <w:numFmt w:val="decimal"/>
      <w:start w:val="37"/>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460">
    <w:nsid w:val="23BC16C2"/>
    <w:multiLevelType w:val="hybridMultilevel"/>
    <w:lvl w:ilvl="0">
      <w:lvlJc w:val="left"/>
      <w:lvlText w:val="%1."/>
      <w:numFmt w:val="decimal"/>
      <w:start w:val="38"/>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461">
    <w:nsid w:val="2026EC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4"/>
    </w:lvl>
  </w:abstractNum>
  <w:abstractNum w:abstractNumId="462">
    <w:nsid w:val="4DF9979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lvl w:ilvl="3">
      <w:lvlJc w:val="left"/>
      <w:lvlText w:val="(%4)"/>
      <w:numFmt w:val="upperLetter"/>
      <w:start w:val="1"/>
    </w:lvl>
  </w:abstractNum>
  <w:abstractNum w:abstractNumId="463">
    <w:nsid w:val="68E13F8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464">
    <w:nsid w:val="51C07F53"/>
    <w:multiLevelType w:val="hybridMultilevel"/>
    <w:lvl w:ilvl="0">
      <w:lvlJc w:val="left"/>
      <w:lvlText w:val="%1."/>
      <w:numFmt w:val="decimal"/>
      <w:start w:val="39"/>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65">
    <w:nsid w:val="2E59C5F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66">
    <w:nsid w:val="30B21390"/>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40"/>
    </w:lvl>
  </w:abstractNum>
  <w:abstractNum w:abstractNumId="467">
    <w:nsid w:val="5EDD588C"/>
    <w:multiLevelType w:val="hybridMultilevel"/>
    <w:lvl w:ilvl="0">
      <w:lvlJc w:val="left"/>
      <w:lvlText w:val="(%1)"/>
      <w:numFmt w:val="lowerLetter"/>
      <w:start w:val="1"/>
    </w:lvl>
    <w:lvl w:ilvl="1">
      <w:lvlJc w:val="left"/>
      <w:lvlText w:val="(%2)"/>
      <w:numFmt w:val="lowerLetter"/>
      <w:start w:val="24"/>
    </w:lvl>
  </w:abstractNum>
  <w:abstractNum w:abstractNumId="468">
    <w:nsid w:val="40AEF10D"/>
    <w:multiLevelType w:val="hybridMultilevel"/>
    <w:lvl w:ilvl="0">
      <w:lvlJc w:val="left"/>
      <w:lvlText w:val="%1"/>
      <w:numFmt w:val="lowerLetter"/>
      <w:start w:val="1"/>
    </w:lvl>
    <w:lvl w:ilvl="1">
      <w:lvlJc w:val="left"/>
      <w:lvlText w:val="(%2)"/>
      <w:numFmt w:val="lowerLetter"/>
      <w:start w:val="9"/>
    </w:lvl>
  </w:abstractNum>
  <w:abstractNum w:abstractNumId="469">
    <w:nsid w:val="40009C03"/>
    <w:multiLevelType w:val="hybridMultilevel"/>
    <w:lvl w:ilvl="0">
      <w:lvlJc w:val="left"/>
      <w:lvlText w:val="(%1)"/>
      <w:numFmt w:val="lowerRoman"/>
      <w:start w:val="2"/>
    </w:lvl>
  </w:abstractNum>
  <w:abstractNum w:abstractNumId="470">
    <w:nsid w:val="3BCFA3D1"/>
    <w:multiLevelType w:val="hybridMultilevel"/>
    <w:lvl w:ilvl="0">
      <w:lvlJc w:val="left"/>
      <w:lvlText w:val="(%1)"/>
      <w:numFmt w:val="lowerRoman"/>
      <w:start w:val="3"/>
    </w:lvl>
  </w:abstractNum>
  <w:abstractNum w:abstractNumId="471">
    <w:nsid w:val="2040AF63"/>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472">
    <w:nsid w:val="7C3FA800"/>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473">
    <w:nsid w:val="56E57D3D"/>
    <w:multiLevelType w:val="hybridMultilevel"/>
    <w:lvl w:ilvl="0">
      <w:lvlJc w:val="left"/>
      <w:lvlText w:val="(%1)"/>
      <w:numFmt w:val="lowerRoman"/>
      <w:start w:val="2"/>
    </w:lvl>
  </w:abstractNum>
  <w:abstractNum w:abstractNumId="474">
    <w:nsid w:val="1B874986"/>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475">
    <w:nsid w:val="1E1C83A1"/>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476">
    <w:nsid w:val="78EBD301"/>
    <w:multiLevelType w:val="hybridMultilevel"/>
    <w:lvl w:ilvl="0">
      <w:lvlJc w:val="left"/>
      <w:lvlText w:val="%1"/>
      <w:numFmt w:val="lowerLetter"/>
      <w:start w:val="1"/>
    </w:lvl>
    <w:lvl w:ilvl="1">
      <w:lvlJc w:val="left"/>
      <w:lvlText w:val="%2."/>
      <w:numFmt w:val="decimal"/>
      <w:start w:val="41"/>
    </w:lvl>
    <w:lvl w:ilvl="2">
      <w:lvlJc w:val="left"/>
      <w:lvlText w:val="%3"/>
      <w:numFmt w:val="lowerRoman"/>
      <w:start w:val="1"/>
    </w:lvl>
  </w:abstractNum>
  <w:abstractNum w:abstractNumId="477">
    <w:nsid w:val="786D58E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78">
    <w:nsid w:val="69B6E9D9"/>
    <w:multiLevelType w:val="hybridMultilevel"/>
    <w:lvl w:ilvl="0">
      <w:lvlJc w:val="left"/>
      <w:lvlText w:val="%1"/>
      <w:numFmt w:val="lowerLetter"/>
      <w:start w:val="1"/>
    </w:lvl>
    <w:lvl w:ilvl="1">
      <w:lvlJc w:val="left"/>
      <w:lvlText w:val="(%2)"/>
      <w:numFmt w:val="lowerRoman"/>
      <w:start w:val="2"/>
    </w:lvl>
  </w:abstractNum>
  <w:abstractNum w:abstractNumId="479">
    <w:nsid w:val="210E8FA8"/>
    <w:multiLevelType w:val="hybridMultilevel"/>
    <w:lvl w:ilvl="0">
      <w:lvlJc w:val="left"/>
      <w:lvlText w:val="(%1)"/>
      <w:numFmt w:val="lowerLetter"/>
      <w:start w:val="8"/>
    </w:lvl>
    <w:lvl w:ilvl="1">
      <w:lvlJc w:val="left"/>
      <w:lvlText w:val="%2"/>
      <w:numFmt w:val="lowerRoman"/>
      <w:start w:val="1"/>
    </w:lvl>
  </w:abstractNum>
  <w:abstractNum w:abstractNumId="480">
    <w:nsid w:val="3E858759"/>
    <w:multiLevelType w:val="hybridMultilevel"/>
    <w:lvl w:ilvl="0">
      <w:lvlJc w:val="left"/>
      <w:lvlText w:val="(%1)"/>
      <w:numFmt w:val="lowerLetter"/>
      <w:start w:val="10"/>
    </w:lvl>
    <w:lvl w:ilvl="1">
      <w:lvlJc w:val="left"/>
      <w:lvlText w:val="(%2)"/>
      <w:numFmt w:val="lowerRoman"/>
      <w:start w:val="1"/>
    </w:lvl>
  </w:abstractNum>
  <w:abstractNum w:abstractNumId="481">
    <w:nsid w:val="62E80725"/>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482">
    <w:nsid w:val="6A84631"/>
    <w:multiLevelType w:val="hybridMultilevel"/>
    <w:lvl w:ilvl="0">
      <w:lvlJc w:val="left"/>
      <w:lvlText w:val="(%1)"/>
      <w:numFmt w:val="lowerLetter"/>
      <w:start w:val="17"/>
    </w:lvl>
    <w:lvl w:ilvl="1">
      <w:lvlJc w:val="left"/>
      <w:lvlText w:val="%2"/>
      <w:numFmt w:val="lowerLetter"/>
      <w:start w:val="1"/>
    </w:lvl>
    <w:lvl w:ilvl="2">
      <w:lvlJc w:val="left"/>
      <w:lvlText w:val="%3"/>
      <w:numFmt w:val="upperLetter"/>
      <w:start w:val="1"/>
    </w:lvl>
  </w:abstractNum>
  <w:abstractNum w:abstractNumId="483">
    <w:nsid w:val="16E7E3C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84">
    <w:nsid w:val="63FEC9A"/>
    <w:multiLevelType w:val="hybridMultilevel"/>
    <w:lvl w:ilvl="0">
      <w:lvlJc w:val="left"/>
      <w:lvlText w:val="(%1)"/>
      <w:numFmt w:val="lowerLetter"/>
      <w:start w:val="20"/>
    </w:lvl>
    <w:lvl w:ilvl="1">
      <w:lvlJc w:val="left"/>
      <w:lvlText w:val="(%2)"/>
      <w:numFmt w:val="lowerRoman"/>
      <w:start w:val="1"/>
    </w:lvl>
    <w:lvl w:ilvl="2">
      <w:lvlJc w:val="left"/>
      <w:lvlText w:val="%3"/>
      <w:numFmt w:val="lowerRoman"/>
      <w:start w:val="1"/>
    </w:lvl>
    <w:lvl w:ilvl="3">
      <w:lvlJc w:val="left"/>
      <w:lvlText w:val="%4"/>
      <w:numFmt w:val="upperLetter"/>
      <w:start w:val="1"/>
    </w:lvl>
  </w:abstractNum>
  <w:abstractNum w:abstractNumId="485">
    <w:nsid w:val="6C291F4C"/>
    <w:multiLevelType w:val="hybridMultilevel"/>
    <w:lvl w:ilvl="0">
      <w:lvlJc w:val="left"/>
      <w:lvlText w:val="(%1)"/>
      <w:numFmt w:val="lowerLetter"/>
      <w:start w:val="22"/>
    </w:lvl>
    <w:lvl w:ilvl="1">
      <w:lvlJc w:val="left"/>
      <w:lvlText w:val="%2."/>
      <w:numFmt w:val="decimal"/>
      <w:start w:val="42"/>
    </w:lvl>
  </w:abstractNum>
  <w:abstractNum w:abstractNumId="486">
    <w:nsid w:val="50138A7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87">
    <w:nsid w:val="30357089"/>
    <w:multiLevelType w:val="hybridMultilevel"/>
    <w:lvl w:ilvl="0">
      <w:lvlJc w:val="left"/>
      <w:lvlText w:val="%1."/>
      <w:numFmt w:val="decimal"/>
      <w:start w:val="43"/>
    </w:lvl>
    <w:lvl w:ilvl="1">
      <w:lvlJc w:val="left"/>
      <w:lvlText w:val="(%2)"/>
      <w:numFmt w:val="lowerLetter"/>
      <w:start w:val="1"/>
    </w:lvl>
    <w:lvl w:ilvl="2">
      <w:lvlJc w:val="left"/>
      <w:lvlText w:val="(%3)"/>
      <w:numFmt w:val="lowerRoman"/>
      <w:start w:val="1"/>
    </w:lvl>
  </w:abstractNum>
  <w:abstractNum w:abstractNumId="488">
    <w:nsid w:val="50AF58A7"/>
    <w:multiLevelType w:val="hybridMultilevel"/>
    <w:lvl w:ilvl="0">
      <w:lvlJc w:val="left"/>
      <w:lvlText w:val="%1"/>
      <w:numFmt w:val="lowerLetter"/>
      <w:start w:val="1"/>
    </w:lvl>
    <w:lvl w:ilvl="1">
      <w:lvlJc w:val="left"/>
      <w:lvlText w:val="(%2)"/>
      <w:numFmt w:val="lowerRoman"/>
      <w:start w:val="3"/>
    </w:lvl>
  </w:abstractNum>
  <w:abstractNum w:abstractNumId="489">
    <w:nsid w:val="26AF4D2D"/>
    <w:multiLevelType w:val="hybridMultilevel"/>
    <w:lvl w:ilvl="0">
      <w:lvlJc w:val="left"/>
      <w:lvlText w:val="(%1)"/>
      <w:numFmt w:val="lowerLetter"/>
      <w:start w:val="2"/>
    </w:lvl>
    <w:lvl w:ilvl="1">
      <w:lvlJc w:val="left"/>
      <w:lvlText w:val="(%2)"/>
      <w:numFmt w:val="lowerRoman"/>
      <w:start w:val="1"/>
    </w:lvl>
  </w:abstractNum>
  <w:abstractNum w:abstractNumId="490">
    <w:nsid w:val="243DE0AA"/>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Roman"/>
      <w:start w:val="1"/>
    </w:lvl>
  </w:abstractNum>
  <w:abstractNum w:abstractNumId="491">
    <w:nsid w:val="746B6F6A"/>
    <w:multiLevelType w:val="hybridMultilevel"/>
    <w:lvl w:ilvl="0">
      <w:lvlJc w:val="left"/>
      <w:lvlText w:val="%1."/>
      <w:numFmt w:val="decimal"/>
      <w:start w:val="44"/>
    </w:lvl>
    <w:lvl w:ilvl="1">
      <w:lvlJc w:val="left"/>
      <w:lvlText w:val="%2."/>
      <w:numFmt w:val="decimal"/>
      <w:start w:val="44"/>
    </w:lvl>
    <w:lvl w:ilvl="2">
      <w:lvlJc w:val="left"/>
      <w:lvlText w:val="(%3)"/>
      <w:numFmt w:val="lowerLetter"/>
      <w:start w:val="1"/>
    </w:lvl>
    <w:lvl w:ilvl="3">
      <w:lvlJc w:val="left"/>
      <w:lvlText w:val="(%4)"/>
      <w:numFmt w:val="lowerRoman"/>
      <w:start w:val="1"/>
    </w:lvl>
  </w:abstractNum>
  <w:abstractNum w:abstractNumId="492">
    <w:nsid w:val="28B1BBF2"/>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lowerRoman"/>
      <w:start w:val="1"/>
    </w:lvl>
  </w:abstractNum>
  <w:abstractNum w:abstractNumId="493">
    <w:nsid w:val="72377844"/>
    <w:multiLevelType w:val="hybridMultilevel"/>
    <w:lvl w:ilvl="0">
      <w:lvlJc w:val="left"/>
      <w:lvlText w:val="%1"/>
      <w:numFmt w:val="decimal"/>
      <w:start w:val="1"/>
    </w:lvl>
    <w:lvl w:ilvl="1">
      <w:lvlJc w:val="left"/>
      <w:lvlText w:val="%2."/>
      <w:numFmt w:val="decimal"/>
      <w:start w:val="46"/>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494">
    <w:nsid w:val="5D4CAEF8"/>
    <w:multiLevelType w:val="hybridMultilevel"/>
    <w:lvl w:ilvl="0">
      <w:lvlJc w:val="left"/>
      <w:lvlText w:val="%1."/>
      <w:numFmt w:val="decimal"/>
      <w:start w:val="47"/>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495">
    <w:nsid w:val="7A723B45"/>
    <w:multiLevelType w:val="hybridMultilevel"/>
    <w:lvl w:ilvl="0">
      <w:lvlJc w:val="left"/>
      <w:lvlText w:val="(%1)"/>
      <w:numFmt w:val="lowerRoman"/>
      <w:start w:val="1"/>
    </w:lvl>
    <w:lvl w:ilvl="1">
      <w:lvlJc w:val="left"/>
      <w:lvlText w:val="(%2)"/>
      <w:numFmt w:val="upperLetter"/>
      <w:start w:val="1"/>
    </w:lvl>
  </w:abstractNum>
  <w:abstractNum w:abstractNumId="496">
    <w:nsid w:val="20913E41"/>
    <w:multiLevelType w:val="hybridMultilevel"/>
    <w:lvl w:ilvl="0">
      <w:lvlJc w:val="left"/>
      <w:lvlText w:val="(%1)"/>
      <w:numFmt w:val="lowerRoman"/>
      <w:start w:val="6"/>
    </w:lvl>
  </w:abstractNum>
  <w:abstractNum w:abstractNumId="497">
    <w:nsid w:val="DFEC288"/>
    <w:multiLevelType w:val="hybridMultilevel"/>
    <w:lvl w:ilvl="0">
      <w:lvlJc w:val="left"/>
      <w:lvlText w:val="(%1)"/>
      <w:numFmt w:val="lowerRoman"/>
      <w:start w:val="9"/>
    </w:lvl>
    <w:lvl w:ilvl="1">
      <w:lvlJc w:val="left"/>
      <w:lvlText w:val="(%2)"/>
      <w:numFmt w:val="upperLetter"/>
      <w:start w:val="1"/>
    </w:lvl>
  </w:abstractNum>
  <w:abstractNum w:abstractNumId="498">
    <w:nsid w:val="594F93D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
    </w:lvl>
  </w:abstractNum>
  <w:abstractNum w:abstractNumId="499">
    <w:nsid w:val="61402F4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7"/>
    </w:lvl>
    <w:lvl w:ilvl="3">
      <w:lvlJc w:val="left"/>
      <w:lvlText w:val="(%4)"/>
      <w:numFmt w:val="upperLetter"/>
      <w:start w:val="1"/>
    </w:lvl>
  </w:abstractNum>
  <w:abstractNum w:abstractNumId="500">
    <w:nsid w:val="4DFF5E8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upperLetter"/>
      <w:start w:val="1"/>
    </w:lvl>
  </w:abstractNum>
  <w:abstractNum w:abstractNumId="501">
    <w:nsid w:val="151F37A3"/>
    <w:multiLevelType w:val="hybridMultilevel"/>
    <w:lvl w:ilvl="0">
      <w:lvlJc w:val="left"/>
      <w:lvlText w:val="%1."/>
      <w:numFmt w:val="decimal"/>
      <w:start w:val="48"/>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502">
    <w:nsid w:val="180DEB1"/>
    <w:multiLevelType w:val="hybridMultilevel"/>
    <w:lvl w:ilvl="0">
      <w:lvlJc w:val="left"/>
      <w:lvlText w:val="(%1)"/>
      <w:numFmt w:val="lowerLetter"/>
      <w:start w:val="1"/>
    </w:lvl>
    <w:lvl w:ilvl="1">
      <w:lvlJc w:val="left"/>
      <w:lvlText w:val="(%2)"/>
      <w:numFmt w:val="lowerRoman"/>
      <w:start w:val="1"/>
    </w:lvl>
  </w:abstractNum>
  <w:abstractNum w:abstractNumId="503">
    <w:nsid w:val="4A3F068C"/>
    <w:multiLevelType w:val="hybridMultilevel"/>
    <w:lvl w:ilvl="0">
      <w:lvlJc w:val="left"/>
      <w:lvlText w:val="(%1)"/>
      <w:numFmt w:val="lowerLetter"/>
      <w:start w:val="2"/>
    </w:lvl>
    <w:lvl w:ilvl="1">
      <w:lvlJc w:val="left"/>
      <w:lvlText w:val="(%2)"/>
      <w:numFmt w:val="lowerRoman"/>
      <w:start w:val="1"/>
    </w:lvl>
  </w:abstractNum>
  <w:abstractNum w:abstractNumId="504">
    <w:nsid w:val="6C04B4E0"/>
    <w:multiLevelType w:val="hybridMultilevel"/>
    <w:lvl w:ilvl="0">
      <w:lvlJc w:val="left"/>
      <w:lvlText w:val="(%1)"/>
      <w:numFmt w:val="lowerLetter"/>
      <w:start w:val="5"/>
    </w:lvl>
    <w:lvl w:ilvl="1">
      <w:lvlJc w:val="left"/>
      <w:lvlText w:val="(%2)"/>
      <w:numFmt w:val="lowerLetter"/>
      <w:start w:val="6"/>
    </w:lvl>
    <w:lvl w:ilvl="2">
      <w:lvlJc w:val="left"/>
      <w:lvlText w:val="(%3)"/>
      <w:numFmt w:val="lowerRoman"/>
      <w:start w:val="1"/>
    </w:lvl>
    <w:lvl w:ilvl="3">
      <w:lvlJc w:val="left"/>
      <w:lvlText w:val="%4"/>
      <w:numFmt w:val="upperLetter"/>
      <w:start w:val="1"/>
    </w:lvl>
  </w:abstractNum>
  <w:abstractNum w:abstractNumId="505">
    <w:nsid w:val="1D082837"/>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4)"/>
      <w:numFmt w:val="upperLetter"/>
      <w:start w:val="1"/>
    </w:lvl>
  </w:abstractNum>
  <w:abstractNum w:abstractNumId="506">
    <w:nsid w:val="685B8A2D"/>
    <w:multiLevelType w:val="hybridMultilevel"/>
    <w:lvl w:ilvl="0">
      <w:lvlJc w:val="left"/>
      <w:lvlText w:val="%1"/>
      <w:numFmt w:val="lowerLetter"/>
      <w:start w:val="1"/>
    </w:lvl>
    <w:lvl w:ilvl="1">
      <w:lvlJc w:val="left"/>
      <w:lvlText w:val="(%2)"/>
      <w:numFmt w:val="lowerLetter"/>
      <w:start w:val="61"/>
    </w:lvl>
  </w:abstractNum>
  <w:abstractNum w:abstractNumId="507">
    <w:nsid w:val="64F087E2"/>
    <w:multiLevelType w:val="hybridMultilevel"/>
    <w:lvl w:ilvl="0">
      <w:lvlJc w:val="left"/>
      <w:lvlText w:val="(%1)"/>
      <w:numFmt w:val="lowerLetter"/>
      <w:start w:val="10"/>
    </w:lvl>
    <w:lvl w:ilvl="1">
      <w:lvlJc w:val="left"/>
      <w:lvlText w:val="(%2)"/>
      <w:numFmt w:val="lowerLetter"/>
      <w:start w:val="9"/>
    </w:lvl>
  </w:abstractNum>
  <w:abstractNum w:abstractNumId="508">
    <w:nsid w:val="1575811C"/>
    <w:multiLevelType w:val="hybridMultilevel"/>
    <w:lvl w:ilvl="0">
      <w:lvlJc w:val="left"/>
      <w:lvlText w:val="(%1)"/>
      <w:numFmt w:val="lowerRoman"/>
      <w:start w:val="2"/>
    </w:lvl>
  </w:abstractNum>
  <w:abstractNum w:abstractNumId="509">
    <w:nsid w:val="52127406"/>
    <w:multiLevelType w:val="hybridMultilevel"/>
    <w:lvl w:ilvl="0">
      <w:lvlJc w:val="left"/>
      <w:lvlText w:val="%1"/>
      <w:numFmt w:val="lowerLetter"/>
      <w:start w:val="1"/>
    </w:lvl>
    <w:lvl w:ilvl="1">
      <w:lvlJc w:val="left"/>
      <w:lvlText w:val="(%2)"/>
      <w:numFmt w:val="lowerRoman"/>
      <w:start w:val="7"/>
    </w:lvl>
    <w:lvl w:ilvl="2">
      <w:lvlJc w:val="left"/>
      <w:lvlText w:val="%3"/>
      <w:numFmt w:val="upperLetter"/>
      <w:start w:val="1"/>
    </w:lvl>
  </w:abstractNum>
  <w:abstractNum w:abstractNumId="510">
    <w:nsid w:val="5FF178A"/>
    <w:multiLevelType w:val="hybridMultilevel"/>
    <w:lvl w:ilvl="0">
      <w:lvlJc w:val="left"/>
      <w:lvlText w:val="(%1)"/>
      <w:numFmt w:val="lowerLetter"/>
      <w:start w:val="11"/>
    </w:lvl>
    <w:lvl w:ilvl="1">
      <w:lvlJc w:val="left"/>
      <w:lvlText w:val="(%2)"/>
      <w:numFmt w:val="lowerRoman"/>
      <w:start w:val="1"/>
    </w:lvl>
    <w:lvl w:ilvl="2">
      <w:lvlJc w:val="left"/>
      <w:lvlText w:val="(%3)"/>
      <w:numFmt w:val="upperLetter"/>
      <w:start w:val="1"/>
    </w:lvl>
  </w:abstractNum>
  <w:abstractNum w:abstractNumId="511">
    <w:nsid w:val="53FB0875"/>
    <w:multiLevelType w:val="hybridMultilevel"/>
    <w:lvl w:ilvl="0">
      <w:lvlJc w:val="left"/>
      <w:lvlText w:val="(%1)"/>
      <w:numFmt w:val="lowerLetter"/>
      <w:start w:val="17"/>
    </w:lvl>
    <w:lvl w:ilvl="1">
      <w:lvlJc w:val="left"/>
      <w:lvlText w:val="(%2)"/>
      <w:numFmt w:val="lowerRoman"/>
      <w:start w:val="3"/>
    </w:lvl>
  </w:abstractNum>
  <w:abstractNum w:abstractNumId="512">
    <w:nsid w:val="34FA7B2B"/>
    <w:multiLevelType w:val="hybridMultilevel"/>
    <w:lvl w:ilvl="0">
      <w:lvlJc w:val="left"/>
      <w:lvlText w:val="(%1)"/>
      <w:numFmt w:val="lowerLetter"/>
      <w:start w:val="19"/>
    </w:lvl>
    <w:lvl w:ilvl="1">
      <w:lvlJc w:val="left"/>
      <w:lvlText w:val="(%2)"/>
      <w:numFmt w:val="lowerRoman"/>
      <w:start w:val="1"/>
    </w:lvl>
  </w:abstractNum>
  <w:abstractNum w:abstractNumId="513">
    <w:nsid w:val="CA75DBC"/>
    <w:multiLevelType w:val="hybridMultilevel"/>
    <w:lvl w:ilvl="0">
      <w:lvlJc w:val="left"/>
      <w:lvlText w:val="(%1)"/>
      <w:numFmt w:val="lowerLetter"/>
      <w:start w:val="20"/>
    </w:lvl>
    <w:lvl w:ilvl="1">
      <w:lvlJc w:val="left"/>
      <w:lvlText w:val="(%2)"/>
      <w:numFmt w:val="lowerRoman"/>
      <w:start w:val="1"/>
    </w:lvl>
  </w:abstractNum>
  <w:abstractNum w:abstractNumId="514">
    <w:nsid w:val="6AE2EC3C"/>
    <w:multiLevelType w:val="hybridMultilevel"/>
    <w:lvl w:ilvl="0">
      <w:lvlJc w:val="left"/>
      <w:lvlText w:val="%1"/>
      <w:numFmt w:val="lowerLetter"/>
      <w:start w:val="1"/>
    </w:lvl>
    <w:lvl w:ilvl="1">
      <w:lvlJc w:val="left"/>
      <w:lvlText w:val="(%2)"/>
      <w:numFmt w:val="lowerLetter"/>
      <w:start w:val="61"/>
    </w:lvl>
  </w:abstractNum>
  <w:abstractNum w:abstractNumId="515">
    <w:nsid w:val="3B3A67C5"/>
    <w:multiLevelType w:val="hybridMultilevel"/>
    <w:lvl w:ilvl="0">
      <w:lvlJc w:val="left"/>
      <w:lvlText w:val="(%1)"/>
      <w:numFmt w:val="lowerLetter"/>
      <w:start w:val="21"/>
    </w:lvl>
    <w:lvl w:ilvl="1">
      <w:lvlJc w:val="left"/>
      <w:lvlText w:val="(%2)"/>
      <w:numFmt w:val="lowerLetter"/>
      <w:start w:val="9"/>
    </w:lvl>
  </w:abstractNum>
  <w:abstractNum w:abstractNumId="516">
    <w:nsid w:val="78D07D08"/>
    <w:multiLevelType w:val="hybridMultilevel"/>
    <w:lvl w:ilvl="0">
      <w:lvlJc w:val="left"/>
      <w:lvlText w:val="(%1)"/>
      <w:numFmt w:val="lowerRoman"/>
      <w:start w:val="2"/>
    </w:lvl>
  </w:abstractNum>
  <w:abstractNum w:abstractNumId="517">
    <w:nsid w:val="3AF676B7"/>
    <w:multiLevelType w:val="hybridMultilevel"/>
    <w:lvl w:ilvl="0">
      <w:lvlJc w:val="left"/>
      <w:lvlText w:val="(%1)"/>
      <w:numFmt w:val="lowerLetter"/>
      <w:start w:val="24"/>
    </w:lvl>
    <w:lvl w:ilvl="1">
      <w:lvlJc w:val="left"/>
      <w:lvlText w:val="(%2)"/>
      <w:numFmt w:val="lowerRoman"/>
      <w:start w:val="1"/>
    </w:lvl>
  </w:abstractNum>
  <w:abstractNum w:abstractNumId="518">
    <w:nsid w:val="6B6FD84E"/>
    <w:multiLevelType w:val="hybridMultilevel"/>
    <w:lvl w:ilvl="0">
      <w:lvlJc w:val="left"/>
      <w:lvlText w:val="(%1)"/>
      <w:numFmt w:val="lowerLetter"/>
      <w:start w:val="26"/>
    </w:lvl>
    <w:lvl w:ilvl="1">
      <w:lvlJc w:val="left"/>
      <w:lvlText w:val="(%2)"/>
      <w:numFmt w:val="lowerRoman"/>
      <w:start w:val="1"/>
    </w:lvl>
  </w:abstractNum>
  <w:abstractNum w:abstractNumId="519">
    <w:nsid w:val="497FD5B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9"/>
    </w:lvl>
  </w:abstractNum>
  <w:abstractNum w:abstractNumId="520">
    <w:nsid w:val="61A5C3E4"/>
    <w:multiLevelType w:val="hybridMultilevel"/>
    <w:lvl w:ilvl="0">
      <w:lvlJc w:val="left"/>
      <w:lvlText w:val="(%1)"/>
      <w:numFmt w:val="lowerLetter"/>
      <w:start w:val="27"/>
    </w:lvl>
    <w:lvl w:ilvl="1">
      <w:lvlJc w:val="left"/>
      <w:lvlText w:val="(%2)"/>
      <w:numFmt w:val="lowerRoman"/>
      <w:start w:val="1"/>
    </w:lvl>
    <w:lvl w:ilvl="2">
      <w:lvlJc w:val="left"/>
      <w:lvlText w:val="%3"/>
      <w:numFmt w:val="lowerLetter"/>
      <w:start w:val="1"/>
    </w:lvl>
  </w:abstractNum>
  <w:abstractNum w:abstractNumId="521">
    <w:nsid w:val="FADB8F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lvl w:ilvl="3">
      <w:lvlJc w:val="left"/>
      <w:lvlText w:val="(%4)"/>
      <w:numFmt w:val="lowerLetter"/>
      <w:start w:val="1"/>
    </w:lvl>
  </w:abstractNum>
  <w:abstractNum w:abstractNumId="522">
    <w:nsid w:val="3DEB451A"/>
    <w:multiLevelType w:val="hybridMultilevel"/>
    <w:lvl w:ilvl="0">
      <w:lvlJc w:val="left"/>
      <w:lvlText w:val="%1."/>
      <w:numFmt w:val="decimal"/>
      <w:start w:val="49"/>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523">
    <w:nsid w:val="A577FD6"/>
    <w:multiLevelType w:val="hybridMultilevel"/>
    <w:lvl w:ilvl="0">
      <w:lvlJc w:val="left"/>
      <w:lvlText w:val="(%1)"/>
      <w:numFmt w:val="lowerRoman"/>
      <w:start w:val="1"/>
    </w:lvl>
  </w:abstractNum>
  <w:abstractNum w:abstractNumId="524">
    <w:nsid w:val="1E5313D"/>
    <w:multiLevelType w:val="hybridMultilevel"/>
    <w:lvl w:ilvl="0">
      <w:lvlJc w:val="left"/>
      <w:lvlText w:val="(%1)"/>
      <w:numFmt w:val="lowerRoman"/>
      <w:start w:val="5"/>
    </w:lvl>
    <w:lvl w:ilvl="1">
      <w:lvlJc w:val="left"/>
      <w:lvlText w:val="(%2)"/>
      <w:numFmt w:val="upperLetter"/>
      <w:start w:val="1"/>
    </w:lvl>
  </w:abstractNum>
  <w:abstractNum w:abstractNumId="525">
    <w:nsid w:val="1B37F412"/>
    <w:multiLevelType w:val="hybridMultilevel"/>
    <w:lvl w:ilvl="0">
      <w:lvlJc w:val="left"/>
      <w:lvlText w:val="(%1)"/>
      <w:numFmt w:val="lowerRoman"/>
      <w:start w:val="6"/>
    </w:lvl>
    <w:lvl w:ilvl="1">
      <w:lvlJc w:val="left"/>
      <w:lvlText w:val="(%2)"/>
      <w:numFmt w:val="upperLetter"/>
      <w:start w:val="1"/>
    </w:lvl>
    <w:lvl w:ilvl="2">
      <w:lvlJc w:val="left"/>
      <w:lvlText w:val="(%3)"/>
      <w:numFmt w:val="lowerLetter"/>
      <w:start w:val="24"/>
    </w:lvl>
  </w:abstractNum>
  <w:abstractNum w:abstractNumId="526">
    <w:nsid w:val="4C9BB1B"/>
    <w:multiLevelType w:val="hybridMultilevel"/>
    <w:lvl w:ilvl="0">
      <w:lvlJc w:val="left"/>
      <w:lvlText w:val="%1"/>
      <w:numFmt w:val="lowerRoman"/>
      <w:start w:val="1"/>
    </w:lvl>
    <w:lvl w:ilvl="1">
      <w:lvlJc w:val="left"/>
      <w:lvlText w:val="(%2)"/>
      <w:numFmt w:val="upperLetter"/>
      <w:start w:val="2"/>
    </w:lvl>
  </w:abstractNum>
  <w:abstractNum w:abstractNumId="527">
    <w:nsid w:val="22766F7E"/>
    <w:multiLevelType w:val="hybridMultilevel"/>
    <w:lvl w:ilvl="0">
      <w:lvlJc w:val="left"/>
      <w:lvlText w:val="(%1)"/>
      <w:numFmt w:val="lowerRoman"/>
      <w:start w:val="7"/>
    </w:lvl>
    <w:lvl w:ilvl="1">
      <w:lvlJc w:val="left"/>
      <w:lvlText w:val="%2"/>
      <w:numFmt w:val="upperLetter"/>
      <w:start w:val="1"/>
    </w:lvl>
  </w:abstractNum>
  <w:abstractNum w:abstractNumId="528">
    <w:nsid w:val="2936B69A"/>
    <w:multiLevelType w:val="hybridMultilevel"/>
    <w:lvl w:ilvl="0">
      <w:lvlJc w:val="left"/>
      <w:lvlText w:val="(%1)"/>
      <w:numFmt w:val="upperLetter"/>
      <w:start w:val="1"/>
    </w:lvl>
  </w:abstractNum>
  <w:abstractNum w:abstractNumId="529">
    <w:nsid w:val="5E194EEC"/>
    <w:multiLevelType w:val="hybridMultilevel"/>
    <w:lvl w:ilvl="0">
      <w:lvlJc w:val="left"/>
      <w:lvlText w:val="(%1)"/>
      <w:numFmt w:val="lowerRoman"/>
      <w:start w:val="8"/>
    </w:lvl>
    <w:lvl w:ilvl="1">
      <w:lvlJc w:val="left"/>
      <w:lvlText w:val="(%2)"/>
      <w:numFmt w:val="upperLetter"/>
      <w:start w:val="1"/>
    </w:lvl>
  </w:abstractNum>
  <w:abstractNum w:abstractNumId="530">
    <w:nsid w:val="3B69ECD"/>
    <w:multiLevelType w:val="hybridMultilevel"/>
    <w:lvl w:ilvl="0">
      <w:lvlJc w:val="left"/>
      <w:lvlText w:val="(%1)"/>
      <w:numFmt w:val="lowerRoman"/>
      <w:start w:val="10"/>
    </w:lvl>
    <w:lvl w:ilvl="1">
      <w:lvlJc w:val="left"/>
      <w:lvlText w:val="(%2)"/>
      <w:numFmt w:val="upperLetter"/>
      <w:start w:val="1"/>
    </w:lvl>
  </w:abstractNum>
  <w:abstractNum w:abstractNumId="531">
    <w:nsid w:val="77361526"/>
    <w:multiLevelType w:val="hybridMultilevel"/>
    <w:lvl w:ilvl="0">
      <w:lvlJc w:val="left"/>
      <w:lvlText w:val="(%1)"/>
      <w:numFmt w:val="lowerRoman"/>
      <w:start w:val="12"/>
    </w:lvl>
    <w:lvl w:ilvl="1">
      <w:lvlJc w:val="left"/>
      <w:lvlText w:val="(%2)"/>
      <w:numFmt w:val="upperLetter"/>
      <w:start w:val="1"/>
    </w:lvl>
  </w:abstractNum>
  <w:abstractNum w:abstractNumId="532">
    <w:nsid w:val="7338868F"/>
    <w:multiLevelType w:val="hybridMultilevel"/>
    <w:lvl w:ilvl="0">
      <w:lvlJc w:val="left"/>
      <w:lvlText w:val="(%1)"/>
      <w:numFmt w:val="lowerRoman"/>
      <w:start w:val="13"/>
    </w:lvl>
    <w:lvl w:ilvl="1">
      <w:lvlJc w:val="left"/>
      <w:lvlText w:val="(%2)"/>
      <w:numFmt w:val="upperLetter"/>
      <w:start w:val="1"/>
    </w:lvl>
  </w:abstractNum>
  <w:abstractNum w:abstractNumId="533">
    <w:nsid w:val="5377D7E"/>
    <w:multiLevelType w:val="hybridMultilevel"/>
    <w:lvl w:ilvl="0">
      <w:lvlJc w:val="left"/>
      <w:lvlText w:val="%1"/>
      <w:numFmt w:val="lowerLetter"/>
      <w:start w:val="1"/>
    </w:lvl>
    <w:lvl w:ilvl="1">
      <w:lvlJc w:val="left"/>
      <w:lvlText w:val="(%2)"/>
      <w:numFmt w:val="lowerRoman"/>
      <w:start w:val="19"/>
    </w:lvl>
    <w:lvl w:ilvl="2">
      <w:lvlJc w:val="left"/>
      <w:lvlText w:val="%3"/>
      <w:numFmt w:val="upperLetter"/>
      <w:start w:val="1"/>
    </w:lvl>
  </w:abstractNum>
  <w:abstractNum w:abstractNumId="534">
    <w:nsid w:val="41751BB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35">
    <w:nsid w:val="5F3D3B70"/>
    <w:multiLevelType w:val="hybridMultilevel"/>
    <w:lvl w:ilvl="0">
      <w:lvlJc w:val="left"/>
      <w:lvlText w:val="(%1)"/>
      <w:numFmt w:val="lowerRoman"/>
      <w:start w:val="1"/>
    </w:lvl>
  </w:abstractNum>
  <w:abstractNum w:abstractNumId="536">
    <w:nsid w:val="223FA5B6"/>
    <w:multiLevelType w:val="hybridMultilevel"/>
    <w:lvl w:ilvl="0">
      <w:lvlJc w:val="left"/>
      <w:lvlText w:val="(%1)"/>
      <w:numFmt w:val="upperLetter"/>
      <w:start w:val="1"/>
    </w:lvl>
  </w:abstractNum>
  <w:abstractNum w:abstractNumId="537">
    <w:nsid w:val="29D0A5DF"/>
    <w:multiLevelType w:val="hybridMultilevel"/>
    <w:lvl w:ilvl="0">
      <w:lvlJc w:val="left"/>
      <w:lvlText w:val="(%1)"/>
      <w:numFmt w:val="lowerRoman"/>
      <w:start w:val="1"/>
    </w:lvl>
  </w:abstractNum>
  <w:abstractNum w:abstractNumId="538">
    <w:nsid w:val="442DC352"/>
    <w:multiLevelType w:val="hybridMultilevel"/>
    <w:lvl w:ilvl="0">
      <w:lvlJc w:val="left"/>
      <w:lvlText w:val="(%1)"/>
      <w:numFmt w:val="lowerLetter"/>
      <w:start w:val="7"/>
    </w:lvl>
  </w:abstractNum>
  <w:abstractNum w:abstractNumId="539">
    <w:nsid w:val="37B526D2"/>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540">
    <w:nsid w:val="7BE319E5"/>
    <w:multiLevelType w:val="hybridMultilevel"/>
    <w:lvl w:ilvl="0">
      <w:lvlJc w:val="left"/>
      <w:lvlText w:val="%1."/>
      <w:numFmt w:val="decimal"/>
      <w:start w:val="50"/>
    </w:lvl>
    <w:lvl w:ilvl="1">
      <w:lvlJc w:val="left"/>
      <w:lvlText w:val="(%2)"/>
      <w:numFmt w:val="lowerLetter"/>
      <w:start w:val="1"/>
    </w:lvl>
    <w:lvl w:ilvl="2">
      <w:lvlJc w:val="left"/>
      <w:lvlText w:val="(%3)"/>
      <w:numFmt w:val="lowerRoman"/>
      <w:start w:val="1"/>
    </w:lvl>
  </w:abstractNum>
  <w:abstractNum w:abstractNumId="541">
    <w:nsid w:val="4A2CDADC"/>
    <w:multiLevelType w:val="hybridMultilevel"/>
    <w:lvl w:ilvl="0">
      <w:lvlJc w:val="left"/>
      <w:lvlText w:val="%1"/>
      <w:numFmt w:val="lowerLetter"/>
      <w:start w:val="1"/>
    </w:lvl>
    <w:lvl w:ilvl="1">
      <w:lvlJc w:val="left"/>
      <w:lvlText w:val="%2"/>
      <w:numFmt w:val="decimal"/>
      <w:start w:val="1"/>
    </w:lvl>
    <w:lvl w:ilvl="2">
      <w:lvlJc w:val="left"/>
      <w:lvlText w:val="%3."/>
      <w:numFmt w:val="decimal"/>
      <w:start w:val="51"/>
    </w:lvl>
    <w:lvl w:ilvl="3">
      <w:lvlJc w:val="left"/>
      <w:lvlText w:val="%4"/>
      <w:numFmt w:val="lowerRoman"/>
      <w:start w:val="1"/>
    </w:lvl>
  </w:abstractNum>
  <w:abstractNum w:abstractNumId="542">
    <w:nsid w:val="BB02F47"/>
    <w:multiLevelType w:val="hybridMultilevel"/>
    <w:lvl w:ilvl="0">
      <w:lvlJc w:val="left"/>
      <w:lvlText w:val="(%1)"/>
      <w:numFmt w:val="lowerLetter"/>
      <w:start w:val="1"/>
    </w:lvl>
    <w:lvl w:ilvl="1">
      <w:lvlJc w:val="left"/>
      <w:lvlText w:val="%2."/>
      <w:numFmt w:val="decimal"/>
      <w:start w:val="52"/>
    </w:lvl>
    <w:lvl w:ilvl="2">
      <w:lvlJc w:val="left"/>
      <w:lvlText w:val="%3"/>
      <w:numFmt w:val="decimal"/>
      <w:start w:val="1"/>
    </w:lvl>
    <w:lvl w:ilvl="3">
      <w:lvlJc w:val="left"/>
      <w:lvlText w:val="(%4)"/>
      <w:numFmt w:val="lowerRoman"/>
      <w:start w:val="1"/>
    </w:lvl>
  </w:abstractNum>
  <w:abstractNum w:abstractNumId="543">
    <w:nsid w:val="30DD9510"/>
    <w:multiLevelType w:val="hybridMultilevel"/>
    <w:lvl w:ilvl="0">
      <w:lvlJc w:val="left"/>
      <w:lvlText w:val="(%1)"/>
      <w:numFmt w:val="lowerLetter"/>
      <w:start w:val="1"/>
    </w:lvl>
    <w:lvl w:ilvl="1">
      <w:lvlJc w:val="left"/>
      <w:lvlText w:val="(%2)"/>
      <w:numFmt w:val="lowerRoman"/>
      <w:start w:val="1"/>
    </w:lvl>
  </w:abstractNum>
  <w:abstractNum w:abstractNumId="544">
    <w:nsid w:val="56D43898"/>
    <w:multiLevelType w:val="hybridMultilevel"/>
    <w:lvl w:ilvl="0">
      <w:lvlJc w:val="left"/>
      <w:lvlText w:val="(%1)"/>
      <w:numFmt w:val="lowerLetter"/>
      <w:start w:val="3"/>
    </w:lvl>
  </w:abstractNum>
  <w:abstractNum w:abstractNumId="545">
    <w:nsid w:val="76931B84"/>
    <w:multiLevelType w:val="hybridMultilevel"/>
    <w:lvl w:ilvl="0">
      <w:lvlJc w:val="left"/>
      <w:lvlText w:val="(%1)"/>
      <w:numFmt w:val="lowerLetter"/>
      <w:start w:val="4"/>
    </w:lvl>
    <w:lvl w:ilvl="1">
      <w:lvlJc w:val="left"/>
      <w:lvlText w:val="(%2)"/>
      <w:numFmt w:val="upperLetter"/>
      <w:start w:val="2"/>
    </w:lvl>
  </w:abstractNum>
  <w:abstractNum w:abstractNumId="546">
    <w:nsid w:val="6C17FCD6"/>
    <w:multiLevelType w:val="hybridMultilevel"/>
    <w:lvl w:ilvl="0">
      <w:lvlJc w:val="left"/>
      <w:lvlText w:val="(%1)"/>
      <w:numFmt w:val="lowerRoman"/>
      <w:start w:val="1"/>
    </w:lvl>
    <w:lvl w:ilvl="1">
      <w:lvlJc w:val="left"/>
      <w:lvlText w:val="(%2)"/>
      <w:numFmt w:val="upperLetter"/>
      <w:start w:val="1"/>
    </w:lvl>
  </w:abstractNum>
  <w:abstractNum w:abstractNumId="547">
    <w:nsid w:val="4FA4B5A1"/>
    <w:multiLevelType w:val="hybridMultilevel"/>
    <w:lvl w:ilvl="0">
      <w:lvlJc w:val="left"/>
      <w:lvlText w:val="(%1)"/>
      <w:numFmt w:val="lowerLetter"/>
      <w:start w:val="5"/>
    </w:lvl>
  </w:abstractNum>
  <w:abstractNum w:abstractNumId="548">
    <w:nsid w:val="3189923B"/>
    <w:multiLevelType w:val="hybridMultilevel"/>
    <w:lvl w:ilvl="0">
      <w:lvlJc w:val="left"/>
      <w:lvlText w:val="(%1)"/>
      <w:numFmt w:val="lowerRoman"/>
      <w:start w:val="1"/>
    </w:lvl>
    <w:lvl w:ilvl="1">
      <w:lvlJc w:val="left"/>
      <w:lvlText w:val="(%2)"/>
      <w:numFmt w:val="upperLetter"/>
      <w:start w:val="1"/>
    </w:lvl>
  </w:abstractNum>
  <w:abstractNum w:abstractNumId="549">
    <w:nsid w:val="5787D524"/>
    <w:multiLevelType w:val="hybridMultilevel"/>
    <w:lvl w:ilvl="0">
      <w:lvlJc w:val="left"/>
      <w:lvlText w:val="%1"/>
      <w:numFmt w:val="lowerLetter"/>
      <w:start w:val="1"/>
    </w:lvl>
    <w:lvl w:ilvl="1">
      <w:lvlJc w:val="left"/>
      <w:lvlText w:val="%2."/>
      <w:numFmt w:val="decimal"/>
      <w:start w:val="53"/>
    </w:lvl>
  </w:abstractNum>
  <w:abstractNum w:abstractNumId="550">
    <w:nsid w:val="19248B51"/>
    <w:multiLevelType w:val="hybridMultilevel"/>
    <w:lvl w:ilvl="0">
      <w:lvlJc w:val="left"/>
      <w:lvlText w:val="(%1)"/>
      <w:numFmt w:val="lowerLetter"/>
      <w:start w:val="1"/>
    </w:lvl>
    <w:lvl w:ilvl="1">
      <w:lvlJc w:val="left"/>
      <w:lvlText w:val="%2"/>
      <w:numFmt w:val="decimal"/>
      <w:start w:val="1"/>
    </w:lvl>
  </w:abstractNum>
  <w:abstractNum w:abstractNumId="551">
    <w:nsid w:val="132F561F"/>
    <w:multiLevelType w:val="hybridMultilevel"/>
    <w:lvl w:ilvl="0">
      <w:lvlJc w:val="left"/>
      <w:lvlText w:val="%1."/>
      <w:numFmt w:val="decimal"/>
      <w:start w:val="54"/>
    </w:lvl>
    <w:lvl w:ilvl="1">
      <w:lvlJc w:val="left"/>
      <w:lvlText w:val="%2."/>
      <w:numFmt w:val="decimal"/>
      <w:start w:val="54"/>
    </w:lvl>
    <w:lvl w:ilvl="2">
      <w:lvlJc w:val="left"/>
      <w:lvlText w:val="(%3)"/>
      <w:numFmt w:val="lowerLetter"/>
      <w:start w:val="1"/>
    </w:lvl>
    <w:lvl w:ilvl="3">
      <w:lvlJc w:val="left"/>
      <w:lvlText w:val="(%4)"/>
      <w:numFmt w:val="lowerRoman"/>
      <w:start w:val="1"/>
    </w:lvl>
  </w:abstractNum>
  <w:abstractNum w:abstractNumId="552">
    <w:nsid w:val="67358E1D"/>
    <w:multiLevelType w:val="hybridMultilevel"/>
    <w:lvl w:ilvl="0">
      <w:lvlJc w:val="left"/>
      <w:lvlText w:val="%1."/>
      <w:numFmt w:val="decimal"/>
      <w:start w:val="56"/>
    </w:lvl>
  </w:abstractNum>
  <w:abstractNum w:abstractNumId="553">
    <w:nsid w:val="570FD06B"/>
    <w:multiLevelType w:val="hybridMultilevel"/>
    <w:lvl w:ilvl="0">
      <w:lvlJc w:val="left"/>
      <w:lvlText w:val="%1."/>
      <w:numFmt w:val="decimal"/>
      <w:start w:val="57"/>
    </w:lvl>
    <w:lvl w:ilvl="1">
      <w:lvlJc w:val="left"/>
      <w:lvlText w:val="%2."/>
      <w:numFmt w:val="decimal"/>
      <w:start w:val="57"/>
    </w:lvl>
    <w:lvl w:ilvl="2">
      <w:lvlJc w:val="left"/>
      <w:lvlText w:val="(%3)"/>
      <w:numFmt w:val="lowerLetter"/>
      <w:start w:val="1"/>
    </w:lvl>
    <w:lvl w:ilvl="3">
      <w:lvlJc w:val="left"/>
      <w:lvlText w:val="(%4)"/>
      <w:numFmt w:val="lowerRoman"/>
      <w:start w:val="1"/>
    </w:lvl>
  </w:abstractNum>
  <w:abstractNum w:abstractNumId="554">
    <w:nsid w:val="1D86D5F5"/>
    <w:multiLevelType w:val="hybridMultilevel"/>
    <w:lvl w:ilvl="0">
      <w:lvlJc w:val="left"/>
      <w:lvlText w:val="(%1)"/>
      <w:numFmt w:val="lowerRoman"/>
      <w:start w:val="1"/>
    </w:lvl>
    <w:lvl w:ilvl="1">
      <w:lvlJc w:val="left"/>
      <w:lvlText w:val="(%2)"/>
      <w:numFmt w:val="upperLetter"/>
      <w:start w:val="1"/>
    </w:lvl>
  </w:abstractNum>
  <w:abstractNum w:abstractNumId="555">
    <w:nsid w:val="691ABF5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5)"/>
      <w:numFmt w:val="upperLetter"/>
      <w:start w:val="3"/>
    </w:lvl>
  </w:abstractNum>
  <w:abstractNum w:abstractNumId="556">
    <w:nsid w:val="7247C47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6"/>
    </w:lvl>
    <w:lvl w:ilvl="4">
      <w:lvlJc w:val="left"/>
      <w:lvlText w:val="(%5)"/>
      <w:numFmt w:val="upperLetter"/>
      <w:start w:val="1"/>
    </w:lvl>
  </w:abstractNum>
  <w:abstractNum w:abstractNumId="557">
    <w:nsid w:val="22509110"/>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upperLetter"/>
      <w:start w:val="1"/>
    </w:lvl>
  </w:abstractNum>
  <w:abstractNum w:abstractNumId="558">
    <w:nsid w:val="B912ED8"/>
    <w:multiLevelType w:val="hybridMultilevel"/>
    <w:lvl w:ilvl="0">
      <w:lvlJc w:val="left"/>
      <w:lvlText w:val="%1."/>
      <w:numFmt w:val="decimal"/>
      <w:start w:val="59"/>
    </w:lvl>
    <w:lvl w:ilvl="1">
      <w:lvlJc w:val="left"/>
      <w:lvlText w:val="%2."/>
      <w:numFmt w:val="decimal"/>
      <w:start w:val="59"/>
    </w:lvl>
    <w:lvl w:ilvl="2">
      <w:lvlJc w:val="left"/>
      <w:lvlText w:val="(%3)"/>
      <w:numFmt w:val="lowerLetter"/>
      <w:start w:val="1"/>
    </w:lvl>
    <w:lvl w:ilvl="3">
      <w:lvlJc w:val="left"/>
      <w:lvlText w:val="%4"/>
      <w:numFmt w:val="lowerRoman"/>
      <w:start w:val="1"/>
    </w:lvl>
    <w:lvl w:ilvl="4">
      <w:lvlJc w:val="left"/>
      <w:lvlText w:val="%5"/>
      <w:numFmt w:val="upperLetter"/>
      <w:start w:val="1"/>
    </w:lvl>
  </w:abstractNum>
  <w:abstractNum w:abstractNumId="559">
    <w:nsid w:val="1B7E7B17"/>
    <w:multiLevelType w:val="hybridMultilevel"/>
    <w:lvl w:ilvl="0">
      <w:lvlJc w:val="left"/>
      <w:lvlText w:val="%1."/>
      <w:numFmt w:val="decimal"/>
      <w:start w:val="61"/>
    </w:lvl>
  </w:abstractNum>
  <w:abstractNum w:abstractNumId="560">
    <w:nsid w:val="69DFFC"/>
    <w:multiLevelType w:val="hybridMultilevel"/>
    <w:lvl w:ilvl="0">
      <w:lvlJc w:val="left"/>
      <w:lvlText w:val="%1."/>
      <w:numFmt w:val="decimal"/>
      <w:start w:val="62"/>
    </w:lvl>
    <w:lvl w:ilvl="1">
      <w:lvlJc w:val="left"/>
      <w:lvlText w:val="(%2)"/>
      <w:numFmt w:val="lowerLetter"/>
      <w:start w:val="1"/>
    </w:lvl>
  </w:abstractNum>
  <w:abstractNum w:abstractNumId="561">
    <w:nsid w:val="F47CDA5"/>
    <w:multiLevelType w:val="hybridMultilevel"/>
    <w:lvl w:ilvl="0">
      <w:lvlJc w:val="left"/>
      <w:lvlText w:val="%1."/>
      <w:numFmt w:val="decimal"/>
      <w:start w:val="63"/>
    </w:lvl>
  </w:abstractNum>
  <w:abstractNum w:abstractNumId="562">
    <w:nsid w:val="12B4903D"/>
    <w:multiLevelType w:val="hybridMultilevel"/>
    <w:lvl w:ilvl="0">
      <w:lvlJc w:val="left"/>
      <w:lvlText w:val="%1."/>
      <w:numFmt w:val="decimal"/>
      <w:start w:val="64"/>
    </w:lvl>
  </w:abstractNum>
  <w:abstractNum w:abstractNumId="563">
    <w:nsid w:val="73A2668C"/>
    <w:multiLevelType w:val="hybridMultilevel"/>
    <w:lvl w:ilvl="0">
      <w:lvlJc w:val="left"/>
      <w:lvlText w:val="%1."/>
      <w:numFmt w:val="decimal"/>
      <w:start w:val="65"/>
    </w:lvl>
  </w:abstractNum>
  <w:abstractNum w:abstractNumId="564">
    <w:nsid w:val="147F4B24"/>
    <w:multiLevelType w:val="hybridMultilevel"/>
    <w:lvl w:ilvl="0">
      <w:lvlJc w:val="left"/>
      <w:lvlText w:val="%1"/>
      <w:numFmt w:val="lowerLetter"/>
      <w:start w:val="1"/>
    </w:lvl>
    <w:lvl w:ilvl="1">
      <w:lvlJc w:val="left"/>
      <w:lvlText w:val="%2."/>
      <w:numFmt w:val="decimal"/>
      <w:start w:val="66"/>
    </w:lvl>
  </w:abstractNum>
  <w:abstractNum w:abstractNumId="565">
    <w:nsid w:val="5429ABEF"/>
    <w:multiLevelType w:val="hybridMultilevel"/>
    <w:lvl w:ilvl="0">
      <w:lvlJc w:val="left"/>
      <w:lvlText w:val="(%1)"/>
      <w:numFmt w:val="lowerLetter"/>
      <w:start w:val="1"/>
    </w:lvl>
    <w:lvl w:ilvl="1">
      <w:lvlJc w:val="left"/>
      <w:lvlText w:val="%2"/>
      <w:numFmt w:val="decimal"/>
      <w:start w:val="1"/>
    </w:lvl>
  </w:abstractNum>
  <w:abstractNum w:abstractNumId="566">
    <w:nsid w:val="52DFA1FC"/>
    <w:multiLevelType w:val="hybridMultilevel"/>
    <w:lvl w:ilvl="0">
      <w:lvlJc w:val="left"/>
      <w:lvlText w:val="(%1)"/>
      <w:numFmt w:val="lowerLetter"/>
      <w:start w:val="2"/>
    </w:lvl>
  </w:abstractNum>
  <w:abstractNum w:abstractNumId="567">
    <w:nsid w:val="36BEF0DA"/>
    <w:multiLevelType w:val="hybridMultilevel"/>
    <w:lvl w:ilvl="0">
      <w:lvlJc w:val="left"/>
      <w:lvlText w:val="(%1)"/>
      <w:numFmt w:val="lowerLetter"/>
      <w:start w:val="3"/>
    </w:lvl>
    <w:lvl w:ilvl="1">
      <w:lvlJc w:val="left"/>
      <w:lvlText w:val="(%2)"/>
      <w:numFmt w:val="lowerRoman"/>
      <w:start w:val="1"/>
    </w:lvl>
  </w:abstractNum>
  <w:abstractNum w:abstractNumId="568">
    <w:nsid w:val="7DFA51CE"/>
    <w:multiLevelType w:val="hybridMultilevel"/>
    <w:lvl w:ilvl="0">
      <w:lvlJc w:val="left"/>
      <w:lvlText w:val="%1."/>
      <w:numFmt w:val="decimal"/>
      <w:start w:val="67"/>
    </w:lvl>
  </w:abstractNum>
  <w:abstractNum w:abstractNumId="569">
    <w:nsid w:val="170D654E"/>
    <w:multiLevelType w:val="hybridMultilevel"/>
    <w:lvl w:ilvl="0">
      <w:lvlJc w:val="left"/>
      <w:lvlText w:val="%1."/>
      <w:numFmt w:val="decimal"/>
      <w:start w:val="68"/>
    </w:lvl>
  </w:abstractNum>
  <w:abstractNum w:abstractNumId="570">
    <w:nsid w:val="6E7417AC"/>
    <w:multiLevelType w:val="hybridMultilevel"/>
    <w:lvl w:ilvl="0">
      <w:lvlJc w:val="left"/>
      <w:lvlText w:val="%1."/>
      <w:numFmt w:val="decimal"/>
      <w:start w:val="69"/>
    </w:lvl>
  </w:abstractNum>
  <w:abstractNum w:abstractNumId="571">
    <w:nsid w:val="79DD6BB3"/>
    <w:multiLevelType w:val="hybridMultilevel"/>
    <w:lvl w:ilvl="0">
      <w:lvlJc w:val="left"/>
      <w:lvlText w:val="%1"/>
      <w:numFmt w:val="decimal"/>
      <w:start w:val="1"/>
    </w:lvl>
    <w:lvl w:ilvl="1">
      <w:lvlJc w:val="left"/>
      <w:lvlText w:val="%2."/>
      <w:numFmt w:val="decimal"/>
      <w:start w:val="70"/>
    </w:lvl>
    <w:lvl w:ilvl="2">
      <w:lvlJc w:val="left"/>
      <w:lvlText w:val="(%3)"/>
      <w:numFmt w:val="lowerLetter"/>
      <w:start w:val="1"/>
    </w:lvl>
    <w:lvl w:ilvl="3">
      <w:lvlJc w:val="left"/>
      <w:lvlText w:val="%4"/>
      <w:numFmt w:val="decimal"/>
      <w:start w:val="1"/>
    </w:lvl>
  </w:abstractNum>
  <w:abstractNum w:abstractNumId="572">
    <w:nsid w:val="613A402A"/>
    <w:multiLevelType w:val="hybridMultilevel"/>
    <w:lvl w:ilvl="0">
      <w:lvlJc w:val="left"/>
      <w:lvlText w:val="%1."/>
      <w:numFmt w:val="decimal"/>
      <w:start w:val="71"/>
    </w:lvl>
    <w:lvl w:ilvl="1">
      <w:lvlJc w:val="left"/>
      <w:lvlText w:val="%2"/>
      <w:numFmt w:val="decimal"/>
      <w:start w:val="1"/>
    </w:lvl>
    <w:lvl w:ilvl="2">
      <w:lvlJc w:val="left"/>
      <w:lvlText w:val="(%3)"/>
      <w:numFmt w:val="lowerLetter"/>
      <w:start w:val="1"/>
    </w:lvl>
    <w:lvl w:ilvl="3">
      <w:lvlJc w:val="left"/>
      <w:lvlText w:val="%4."/>
      <w:numFmt w:val="decimal"/>
      <w:start w:val="72"/>
    </w:lvl>
  </w:abstractNum>
  <w:abstractNum w:abstractNumId="573">
    <w:nsid w:val="7A2446F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74">
    <w:nsid w:val="2ABB00C4"/>
    <w:multiLevelType w:val="hybridMultilevel"/>
    <w:lvl w:ilvl="0">
      <w:lvlJc w:val="left"/>
      <w:lvlText w:val="(%1)"/>
      <w:numFmt w:val="lowerLetter"/>
      <w:start w:val="3"/>
    </w:lvl>
    <w:lvl w:ilvl="1">
      <w:lvlJc w:val="left"/>
      <w:lvlText w:val="(%2)"/>
      <w:numFmt w:val="lowerRoman"/>
      <w:start w:val="1"/>
    </w:lvl>
  </w:abstractNum>
  <w:abstractNum w:abstractNumId="575">
    <w:nsid w:val="380E78C3"/>
    <w:multiLevelType w:val="hybridMultilevel"/>
    <w:lvl w:ilvl="0">
      <w:lvlJc w:val="left"/>
      <w:lvlText w:val="%1."/>
      <w:numFmt w:val="decimal"/>
      <w:start w:val="73"/>
    </w:lvl>
  </w:abstractNum>
  <w:abstractNum w:abstractNumId="576">
    <w:nsid w:val="70B76277"/>
    <w:multiLevelType w:val="hybridMultilevel"/>
    <w:lvl w:ilvl="0">
      <w:lvlJc w:val="left"/>
      <w:lvlText w:val="%1"/>
      <w:numFmt w:val="lowerLetter"/>
      <w:start w:val="1"/>
    </w:lvl>
    <w:lvl w:ilvl="1">
      <w:lvlJc w:val="left"/>
      <w:lvlText w:val="%2."/>
      <w:numFmt w:val="decimal"/>
      <w:start w:val="74"/>
    </w:lvl>
  </w:abstractNum>
  <w:abstractNum w:abstractNumId="577">
    <w:nsid w:val="16D2FD9A"/>
    <w:multiLevelType w:val="hybridMultilevel"/>
    <w:lvl w:ilvl="0">
      <w:lvlJc w:val="left"/>
      <w:lvlText w:val="(%1)"/>
      <w:numFmt w:val="lowerLetter"/>
      <w:start w:val="1"/>
    </w:lvl>
    <w:lvl w:ilvl="1">
      <w:lvlJc w:val="left"/>
      <w:lvlText w:val="%2"/>
      <w:numFmt w:val="decimal"/>
      <w:start w:val="1"/>
    </w:lvl>
  </w:abstractNum>
  <w:abstractNum w:abstractNumId="578">
    <w:nsid w:val="7B32E64"/>
    <w:multiLevelType w:val="hybridMultilevel"/>
    <w:lvl w:ilvl="0">
      <w:lvlJc w:val="left"/>
      <w:lvlText w:val="(%1)"/>
      <w:numFmt w:val="lowerLetter"/>
      <w:start w:val="2"/>
    </w:lvl>
    <w:lvl w:ilvl="1">
      <w:lvlJc w:val="left"/>
      <w:lvlText w:val="%2."/>
      <w:numFmt w:val="decimal"/>
      <w:start w:val="75"/>
    </w:lvl>
  </w:abstractNum>
  <w:abstractNum w:abstractNumId="579">
    <w:nsid w:val="2240F4B2"/>
    <w:multiLevelType w:val="hybridMultilevel"/>
    <w:lvl w:ilvl="0">
      <w:lvlJc w:val="left"/>
      <w:lvlText w:val="(%1)"/>
      <w:numFmt w:val="lowerLetter"/>
      <w:start w:val="1"/>
    </w:lvl>
    <w:lvl w:ilvl="1">
      <w:lvlJc w:val="left"/>
      <w:lvlText w:val="(%2)"/>
      <w:numFmt w:val="lowerRoman"/>
      <w:start w:val="1"/>
    </w:lvl>
  </w:abstractNum>
  <w:abstractNum w:abstractNumId="580">
    <w:nsid w:val="6E5AD2B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581">
    <w:nsid w:val="20D7B9B5"/>
    <w:multiLevelType w:val="hybridMultilevel"/>
    <w:lvl w:ilvl="0">
      <w:lvlJc w:val="left"/>
      <w:lvlText w:val="%1."/>
      <w:numFmt w:val="decimal"/>
      <w:start w:val="76"/>
    </w:lvl>
    <w:lvl w:ilvl="1">
      <w:lvlJc w:val="left"/>
      <w:lvlText w:val="%2."/>
      <w:numFmt w:val="decimal"/>
      <w:start w:val="76"/>
    </w:lvl>
    <w:lvl w:ilvl="2">
      <w:lvlJc w:val="left"/>
      <w:lvlText w:val="(%3)"/>
      <w:numFmt w:val="lowerLetter"/>
      <w:start w:val="1"/>
    </w:lvl>
  </w:abstractNum>
  <w:abstractNum w:abstractNumId="582">
    <w:nsid w:val="35704AD1"/>
    <w:multiLevelType w:val="hybridMultilevel"/>
    <w:lvl w:ilvl="0">
      <w:lvlJc w:val="left"/>
      <w:lvlText w:val="(%1)"/>
      <w:numFmt w:val="lowerRoman"/>
      <w:start w:val="1"/>
    </w:lvl>
  </w:abstractNum>
  <w:abstractNum w:abstractNumId="583">
    <w:nsid w:val="559060DB"/>
    <w:multiLevelType w:val="hybridMultilevel"/>
    <w:lvl w:ilvl="0">
      <w:lvlJc w:val="left"/>
      <w:lvlText w:val="(%1)"/>
      <w:numFmt w:val="decimal"/>
      <w:start w:val="1"/>
    </w:lvl>
  </w:abstractNum>
  <w:abstractNum w:abstractNumId="584">
    <w:nsid w:val="77E78A20"/>
    <w:multiLevelType w:val="hybridMultilevel"/>
    <w:lvl w:ilvl="0">
      <w:lvlJc w:val="left"/>
      <w:lvlText w:val="1"/>
      <w:numFmt w:val="bullet"/>
      <w:start w:val="1"/>
    </w:lvl>
  </w:abstractNum>
  <w:abstractNum w:abstractNumId="585">
    <w:nsid w:val="52F720C6"/>
    <w:multiLevelType w:val="hybridMultilevel"/>
    <w:lvl w:ilvl="0">
      <w:lvlJc w:val="left"/>
      <w:lvlText w:val="(%1)"/>
      <w:numFmt w:val="lowerLetter"/>
      <w:start w:val="1"/>
    </w:lvl>
  </w:abstractNum>
  <w:abstractNum w:abstractNumId="586">
    <w:nsid w:val="3EAB2035"/>
    <w:multiLevelType w:val="hybridMultilevel"/>
    <w:lvl w:ilvl="0">
      <w:lvlJc w:val="left"/>
      <w:lvlText w:val="(%1)"/>
      <w:numFmt w:val="lowerLetter"/>
      <w:start w:val="1"/>
    </w:lvl>
  </w:abstractNum>
  <w:abstractNum w:abstractNumId="587">
    <w:nsid w:val="6A2F4E9D"/>
    <w:multiLevelType w:val="hybridMultilevel"/>
    <w:lvl w:ilvl="0">
      <w:lvlJc w:val="left"/>
      <w:lvlText w:val="(%1)"/>
      <w:numFmt w:val="lowerLetter"/>
      <w:start w:val="1"/>
    </w:lvl>
  </w:abstractNum>
  <w:abstractNum w:abstractNumId="588">
    <w:nsid w:val="7547B1D6"/>
    <w:multiLevelType w:val="hybridMultilevel"/>
    <w:lvl w:ilvl="0">
      <w:lvlJc w:val="left"/>
      <w:lvlText w:val="(%1)"/>
      <w:numFmt w:val="lowerLetter"/>
      <w:start w:val="1"/>
    </w:lvl>
  </w:abstractNum>
  <w:abstractNum w:abstractNumId="589">
    <w:nsid w:val="4A3C4F0E"/>
    <w:multiLevelType w:val="hybridMultilevel"/>
    <w:lvl w:ilvl="0">
      <w:lvlJc w:val="left"/>
      <w:lvlText w:val="(%1)"/>
      <w:numFmt w:val="lowerLetter"/>
      <w:start w:val="1"/>
    </w:lvl>
  </w:abstractNum>
  <w:abstractNum w:abstractNumId="590">
    <w:nsid w:val="5ADC9B4"/>
    <w:multiLevelType w:val="hybridMultilevel"/>
    <w:lvl w:ilvl="0">
      <w:lvlJc w:val="left"/>
      <w:lvlText w:val="(%1)"/>
      <w:numFmt w:val="lowerLetter"/>
      <w:start w:val="1"/>
    </w:lvl>
  </w:abstractNum>
  <w:abstractNum w:abstractNumId="591">
    <w:nsid w:val="75B191D3"/>
    <w:multiLevelType w:val="hybridMultilevel"/>
    <w:lvl w:ilvl="0">
      <w:lvlJc w:val="left"/>
      <w:lvlText w:val="(%1)"/>
      <w:numFmt w:val="lowerLetter"/>
      <w:start w:val="1"/>
    </w:lvl>
  </w:abstractNum>
  <w:abstractNum w:abstractNumId="592">
    <w:nsid w:val="59841CB3"/>
    <w:multiLevelType w:val="hybridMultilevel"/>
    <w:lvl w:ilvl="0">
      <w:lvlJc w:val="left"/>
      <w:lvlText w:val="(%1)"/>
      <w:numFmt w:val="lowerLetter"/>
      <w:start w:val="1"/>
    </w:lvl>
  </w:abstractNum>
  <w:abstractNum w:abstractNumId="593">
    <w:nsid w:val="186259F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4">
    <w:nsid w:val="6953F85F"/>
    <w:multiLevelType w:val="hybridMultilevel"/>
    <w:lvl w:ilvl="0">
      <w:lvlJc w:val="left"/>
      <w:lvlText w:val="(%1)"/>
      <w:numFmt w:val="lowerLetter"/>
      <w:start w:val="1"/>
    </w:lvl>
  </w:abstractNum>
  <w:abstractNum w:abstractNumId="595">
    <w:nsid w:val="6E0367D7"/>
    <w:multiLevelType w:val="hybridMultilevel"/>
    <w:lvl w:ilvl="0">
      <w:lvlJc w:val="left"/>
      <w:lvlText w:val="(%1)"/>
      <w:numFmt w:val="lowerLetter"/>
      <w:start w:val="1"/>
    </w:lvl>
    <w:lvl w:ilvl="1">
      <w:lvlJc w:val="left"/>
      <w:lvlText w:val="(%2)"/>
      <w:numFmt w:val="lowerRoman"/>
      <w:start w:val="1"/>
    </w:lvl>
  </w:abstractNum>
  <w:abstractNum w:abstractNumId="596">
    <w:nsid w:val="6C8C05E1"/>
    <w:multiLevelType w:val="hybridMultilevel"/>
    <w:lvl w:ilvl="0">
      <w:lvlJc w:val="left"/>
      <w:lvlText w:val="(%1)"/>
      <w:numFmt w:val="lowerLetter"/>
      <w:start w:val="1"/>
    </w:lvl>
  </w:abstractNum>
  <w:abstractNum w:abstractNumId="597">
    <w:nsid w:val="3C339A5B"/>
    <w:multiLevelType w:val="hybridMultilevel"/>
    <w:lvl w:ilvl="0">
      <w:lvlJc w:val="left"/>
      <w:lvlText w:val="(%1)"/>
      <w:numFmt w:val="lowerLetter"/>
      <w:start w:val="1"/>
    </w:lvl>
    <w:lvl w:ilvl="1">
      <w:lvlJc w:val="left"/>
      <w:lvlText w:val="(%2)"/>
      <w:numFmt w:val="lowerRoman"/>
      <w:start w:val="1"/>
    </w:lvl>
  </w:abstractNum>
  <w:abstractNum w:abstractNumId="598">
    <w:nsid w:val="24C258B1"/>
    <w:multiLevelType w:val="hybridMultilevel"/>
    <w:lvl w:ilvl="0">
      <w:lvlJc w:val="left"/>
      <w:lvlText w:val="(%1)"/>
      <w:numFmt w:val="lowerLetter"/>
      <w:start w:val="1"/>
    </w:lvl>
  </w:abstractNum>
  <w:abstractNum w:abstractNumId="599">
    <w:nsid w:val="6A8657B0"/>
    <w:multiLevelType w:val="hybridMultilevel"/>
    <w:lvl w:ilvl="0">
      <w:lvlJc w:val="left"/>
      <w:lvlText w:val="(%1)"/>
      <w:numFmt w:val="lowerLetter"/>
      <w:start w:val="1"/>
    </w:lvl>
  </w:abstractNum>
  <w:abstractNum w:abstractNumId="600">
    <w:nsid w:val="5340FFA9"/>
    <w:multiLevelType w:val="hybridMultilevel"/>
    <w:lvl w:ilvl="0">
      <w:lvlJc w:val="left"/>
      <w:lvlText w:val="(%1)"/>
      <w:numFmt w:val="lowerLetter"/>
      <w:start w:val="1"/>
    </w:lvl>
  </w:abstractNum>
  <w:abstractNum w:abstractNumId="601">
    <w:nsid w:val="1336705D"/>
    <w:multiLevelType w:val="hybridMultilevel"/>
    <w:lvl w:ilvl="0">
      <w:lvlJc w:val="left"/>
      <w:lvlText w:val="(%1)"/>
      <w:numFmt w:val="lowerLetter"/>
      <w:start w:val="3"/>
    </w:lvl>
  </w:abstractNum>
  <w:abstractNum w:abstractNumId="602">
    <w:nsid w:val="6463C363"/>
    <w:multiLevelType w:val="hybridMultilevel"/>
    <w:lvl w:ilvl="0">
      <w:lvlJc w:val="left"/>
      <w:lvlText w:val="(%1)"/>
      <w:numFmt w:val="lowerLetter"/>
      <w:start w:val="1"/>
    </w:lvl>
  </w:abstractNum>
  <w:abstractNum w:abstractNumId="603">
    <w:nsid w:val="347B3FD3"/>
    <w:multiLevelType w:val="hybridMultilevel"/>
    <w:lvl w:ilvl="0">
      <w:lvlJc w:val="left"/>
      <w:lvlText w:val="(%1)"/>
      <w:numFmt w:val="lowerLetter"/>
      <w:start w:val="1"/>
    </w:lvl>
  </w:abstractNum>
  <w:abstractNum w:abstractNumId="604">
    <w:nsid w:val="D5AB751"/>
    <w:multiLevelType w:val="hybridMultilevel"/>
    <w:lvl w:ilvl="0">
      <w:lvlJc w:val="left"/>
      <w:lvlText w:val="(%1)"/>
      <w:numFmt w:val="lowerLetter"/>
      <w:start w:val="6"/>
    </w:lvl>
  </w:abstractNum>
  <w:abstractNum w:abstractNumId="605">
    <w:nsid w:val="F1EC427"/>
    <w:multiLevelType w:val="hybridMultilevel"/>
    <w:lvl w:ilvl="0">
      <w:lvlJc w:val="left"/>
      <w:lvlText w:val="(%1)"/>
      <w:numFmt w:val="lowerLetter"/>
      <w:start w:val="1"/>
    </w:lvl>
  </w:abstractNum>
  <w:abstractNum w:abstractNumId="606">
    <w:nsid w:val="6C89B896"/>
    <w:multiLevelType w:val="hybridMultilevel"/>
    <w:lvl w:ilvl="0">
      <w:lvlJc w:val="left"/>
      <w:lvlText w:val="(%1)"/>
      <w:numFmt w:val="lowerLetter"/>
      <w:start w:val="1"/>
    </w:lvl>
  </w:abstractNum>
  <w:abstractNum w:abstractNumId="607">
    <w:nsid w:val="7E1219C8"/>
    <w:multiLevelType w:val="hybridMultilevel"/>
    <w:lvl w:ilvl="0">
      <w:lvlJc w:val="left"/>
      <w:lvlText w:val="(%1)"/>
      <w:numFmt w:val="lowerLetter"/>
      <w:start w:val="7"/>
    </w:lvl>
  </w:abstractNum>
  <w:abstractNum w:abstractNumId="608">
    <w:nsid w:val="25F1C1C1"/>
    <w:multiLevelType w:val="hybridMultilevel"/>
    <w:lvl w:ilvl="0">
      <w:lvlJc w:val="left"/>
      <w:lvlText w:val="(%1)"/>
      <w:numFmt w:val="lowerLetter"/>
      <w:start w:val="18"/>
    </w:lvl>
  </w:abstractNum>
  <w:abstractNum w:abstractNumId="609">
    <w:nsid w:val="743CE6FA"/>
    <w:multiLevelType w:val="hybridMultilevel"/>
    <w:lvl w:ilvl="0">
      <w:lvlJc w:val="left"/>
      <w:lvlText w:val="(%1)"/>
      <w:numFmt w:val="lowerLetter"/>
      <w:start w:val="1"/>
    </w:lvl>
  </w:abstractNum>
  <w:abstractNum w:abstractNumId="610">
    <w:nsid w:val="20530E7B"/>
    <w:multiLevelType w:val="hybridMultilevel"/>
    <w:lvl w:ilvl="0">
      <w:lvlJc w:val="left"/>
      <w:lvlText w:val="(%1)"/>
      <w:numFmt w:val="lowerLetter"/>
      <w:start w:val="1"/>
    </w:lvl>
  </w:abstractNum>
  <w:abstractNum w:abstractNumId="611">
    <w:nsid w:val="144C9480"/>
    <w:multiLevelType w:val="hybridMultilevel"/>
    <w:lvl w:ilvl="0">
      <w:lvlJc w:val="left"/>
      <w:lvlText w:val="(%1)"/>
      <w:numFmt w:val="lowerLetter"/>
      <w:start w:val="1"/>
    </w:lvl>
    <w:lvl w:ilvl="1">
      <w:lvlJc w:val="left"/>
      <w:lvlText w:val="(%2)"/>
      <w:numFmt w:val="lowerRoman"/>
      <w:start w:val="1"/>
    </w:lvl>
  </w:abstractNum>
  <w:abstractNum w:abstractNumId="612">
    <w:nsid w:val="1514A0AF"/>
    <w:multiLevelType w:val="hybridMultilevel"/>
    <w:lvl w:ilvl="0">
      <w:lvlJc w:val="left"/>
      <w:lvlText w:val="(%1)"/>
      <w:numFmt w:val="lowerLetter"/>
      <w:start w:val="1"/>
    </w:lvl>
    <w:lvl w:ilvl="1">
      <w:lvlJc w:val="left"/>
      <w:lvlText w:val="(%2)"/>
      <w:numFmt w:val="lowerRoman"/>
      <w:start w:val="1"/>
    </w:lvl>
  </w:abstractNum>
  <w:abstractNum w:abstractNumId="613">
    <w:nsid w:val="55C3594C"/>
    <w:multiLevelType w:val="hybridMultilevel"/>
    <w:lvl w:ilvl="0">
      <w:lvlJc w:val="left"/>
      <w:lvlText w:val="(%1)"/>
      <w:numFmt w:val="lowerLetter"/>
      <w:start w:val="1"/>
    </w:lvl>
  </w:abstractNum>
  <w:abstractNum w:abstractNumId="614">
    <w:nsid w:val="69DCF55B"/>
    <w:multiLevelType w:val="hybridMultilevel"/>
    <w:lvl w:ilvl="0">
      <w:lvlJc w:val="left"/>
      <w:lvlText w:val="(%1)"/>
      <w:numFmt w:val="lowerLetter"/>
      <w:start w:val="1"/>
    </w:lvl>
  </w:abstractNum>
  <w:abstractNum w:abstractNumId="615">
    <w:nsid w:val="CFC2ACF"/>
    <w:multiLevelType w:val="hybridMultilevel"/>
    <w:lvl w:ilvl="0">
      <w:lvlJc w:val="left"/>
      <w:lvlText w:val="(%1)"/>
      <w:numFmt w:val="lowerLetter"/>
      <w:start w:val="1"/>
    </w:lvl>
  </w:abstractNum>
  <w:abstractNum w:abstractNumId="616">
    <w:nsid w:val="28BA7A13"/>
    <w:multiLevelType w:val="hybridMultilevel"/>
    <w:lvl w:ilvl="0">
      <w:lvlJc w:val="left"/>
      <w:lvlText w:val="(%1)"/>
      <w:numFmt w:val="lowerLetter"/>
      <w:start w:val="1"/>
    </w:lvl>
    <w:lvl w:ilvl="1">
      <w:lvlJc w:val="left"/>
      <w:lvlText w:val="(%2)"/>
      <w:numFmt w:val="upperLetter"/>
      <w:start w:val="1"/>
    </w:lvl>
  </w:abstractNum>
  <w:abstractNum w:abstractNumId="617">
    <w:nsid w:val="28881591"/>
    <w:multiLevelType w:val="hybridMultilevel"/>
    <w:lvl w:ilvl="0">
      <w:lvlJc w:val="left"/>
      <w:lvlText w:val="(%1)"/>
      <w:numFmt w:val="lowerLetter"/>
      <w:start w:val="1"/>
    </w:lvl>
  </w:abstractNum>
  <w:abstractNum w:abstractNumId="618">
    <w:nsid w:val="772B796C"/>
    <w:multiLevelType w:val="hybridMultilevel"/>
    <w:lvl w:ilvl="0">
      <w:lvlJc w:val="left"/>
      <w:lvlText w:val="(%1)"/>
      <w:numFmt w:val="lowerLetter"/>
      <w:start w:val="1"/>
    </w:lvl>
    <w:lvl w:ilvl="1">
      <w:lvlJc w:val="left"/>
      <w:lvlText w:val="(%2)"/>
      <w:numFmt w:val="lowerRoman"/>
      <w:start w:val="1"/>
    </w:lvl>
  </w:abstractNum>
  <w:abstractNum w:abstractNumId="619">
    <w:nsid w:val="1E022BE9"/>
    <w:multiLevelType w:val="hybridMultilevel"/>
    <w:lvl w:ilvl="0">
      <w:lvlJc w:val="left"/>
      <w:lvlText w:val="(%1)"/>
      <w:numFmt w:val="lowerLetter"/>
      <w:start w:val="1"/>
    </w:lvl>
  </w:abstractNum>
  <w:abstractNum w:abstractNumId="620">
    <w:nsid w:val="72C4649F"/>
    <w:multiLevelType w:val="hybridMultilevel"/>
    <w:lvl w:ilvl="0">
      <w:lvlJc w:val="left"/>
      <w:lvlText w:val="(%1)"/>
      <w:numFmt w:val="lowerLetter"/>
      <w:start w:val="1"/>
    </w:lvl>
  </w:abstractNum>
  <w:abstractNum w:abstractNumId="621">
    <w:nsid w:val="7CD94321"/>
    <w:multiLevelType w:val="hybridMultilevel"/>
    <w:lvl w:ilvl="0">
      <w:lvlJc w:val="left"/>
      <w:lvlText w:val="(%1)"/>
      <w:numFmt w:val="lowerLetter"/>
      <w:start w:val="3"/>
    </w:lvl>
  </w:abstractNum>
  <w:abstractNum w:abstractNumId="622">
    <w:nsid w:val="13B3BDBC"/>
    <w:multiLevelType w:val="hybridMultilevel"/>
    <w:lvl w:ilvl="0">
      <w:lvlJc w:val="left"/>
      <w:lvlText w:val="(%1)"/>
      <w:numFmt w:val="lowerLetter"/>
      <w:start w:val="1"/>
    </w:lvl>
    <w:lvl w:ilvl="1">
      <w:lvlJc w:val="left"/>
      <w:lvlText w:val="(%2)"/>
      <w:numFmt w:val="lowerRoman"/>
      <w:start w:val="1"/>
    </w:lvl>
  </w:abstractNum>
  <w:abstractNum w:abstractNumId="623">
    <w:nsid w:val="4C488152"/>
    <w:multiLevelType w:val="hybridMultilevel"/>
    <w:lvl w:ilvl="0">
      <w:lvlJc w:val="left"/>
      <w:lvlText w:val="(%1)"/>
      <w:numFmt w:val="lowerLetter"/>
      <w:start w:val="1"/>
    </w:lvl>
  </w:abstractNum>
  <w:abstractNum w:abstractNumId="624">
    <w:nsid w:val="153B9D13"/>
    <w:multiLevelType w:val="hybridMultilevel"/>
    <w:lvl w:ilvl="0">
      <w:lvlJc w:val="left"/>
      <w:lvlText w:val="(%1)"/>
      <w:numFmt w:val="upperLetter"/>
      <w:start w:val="1"/>
    </w:lvl>
  </w:abstractNum>
  <w:abstractNum w:abstractNumId="625">
    <w:nsid w:val="7D07B61B"/>
    <w:multiLevelType w:val="hybridMultilevel"/>
    <w:lvl w:ilvl="0">
      <w:lvlJc w:val="left"/>
      <w:lvlText w:val="%1"/>
      <w:numFmt w:val="lowerLetter"/>
      <w:start w:val="1"/>
    </w:lvl>
    <w:lvl w:ilvl="1">
      <w:lvlJc w:val="left"/>
      <w:lvlText w:val="(%2)"/>
      <w:numFmt w:val="lowerRoman"/>
      <w:start w:val="2"/>
    </w:lvl>
  </w:abstractNum>
  <w:abstractNum w:abstractNumId="626">
    <w:nsid w:val="3A4BE92A"/>
    <w:multiLevelType w:val="hybridMultilevel"/>
    <w:lvl w:ilvl="0">
      <w:lvlJc w:val="left"/>
      <w:lvlText w:val="(%1)"/>
      <w:numFmt w:val="lowerLetter"/>
      <w:start w:val="3"/>
    </w:lvl>
    <w:lvl w:ilvl="1">
      <w:lvlJc w:val="left"/>
      <w:lvlText w:val="(%2)"/>
      <w:numFmt w:val="lowerRoman"/>
      <w:start w:val="1"/>
    </w:lvl>
  </w:abstractNum>
  <w:abstractNum w:abstractNumId="627">
    <w:nsid w:val="1C7A2F4"/>
    <w:multiLevelType w:val="hybridMultilevel"/>
    <w:lvl w:ilvl="0">
      <w:lvlJc w:val="left"/>
      <w:lvlText w:val="(%1)"/>
      <w:numFmt w:val="lowerRoman"/>
      <w:start w:val="1"/>
    </w:lvl>
  </w:abstractNum>
  <w:abstractNum w:abstractNumId="628">
    <w:nsid w:val="393B5076"/>
    <w:multiLevelType w:val="hybridMultilevel"/>
    <w:lvl w:ilvl="0">
      <w:lvlJc w:val="left"/>
      <w:lvlText w:val="(%1)"/>
      <w:numFmt w:val="lowerLetter"/>
      <w:start w:val="2"/>
    </w:lvl>
  </w:abstractNum>
  <w:abstractNum w:abstractNumId="629">
    <w:nsid w:val="5F0E41DB"/>
    <w:multiLevelType w:val="hybridMultilevel"/>
    <w:lvl w:ilvl="0">
      <w:lvlJc w:val="left"/>
      <w:lvlText w:val="(%1)"/>
      <w:numFmt w:val="lowerLetter"/>
      <w:start w:val="1"/>
    </w:lvl>
  </w:abstractNum>
  <w:abstractNum w:abstractNumId="630">
    <w:nsid w:val="6C4DFAA4"/>
    <w:multiLevelType w:val="hybridMultilevel"/>
    <w:lvl w:ilvl="0">
      <w:lvlJc w:val="left"/>
      <w:lvlText w:val="(%1)"/>
      <w:numFmt w:val="lowerLetter"/>
      <w:start w:val="1"/>
    </w:lvl>
  </w:abstractNum>
  <w:abstractNum w:abstractNumId="631">
    <w:nsid w:val="C7C501F"/>
    <w:multiLevelType w:val="hybridMultilevel"/>
    <w:lvl w:ilvl="0">
      <w:lvlJc w:val="left"/>
      <w:lvlText w:val="(%1)"/>
      <w:numFmt w:val="lowerLetter"/>
      <w:start w:val="1"/>
    </w:lvl>
  </w:abstractNum>
  <w:abstractNum w:abstractNumId="632">
    <w:nsid w:val="7244B239"/>
    <w:multiLevelType w:val="hybridMultilevel"/>
    <w:lvl w:ilvl="0">
      <w:lvlJc w:val="left"/>
      <w:lvlText w:val="(%1)"/>
      <w:numFmt w:val="lowerLetter"/>
      <w:start w:val="1"/>
    </w:lvl>
  </w:abstractNum>
  <w:abstractNum w:abstractNumId="633">
    <w:nsid w:val="50B1BE08"/>
    <w:multiLevelType w:val="hybridMultilevel"/>
    <w:lvl w:ilvl="0">
      <w:lvlJc w:val="left"/>
      <w:lvlText w:val="(%1)"/>
      <w:numFmt w:val="lowerLetter"/>
      <w:start w:val="2"/>
    </w:lvl>
  </w:abstractNum>
  <w:abstractNum w:abstractNumId="634">
    <w:nsid w:val="40F78FF3"/>
    <w:multiLevelType w:val="hybridMultilevel"/>
    <w:lvl w:ilvl="0">
      <w:lvlJc w:val="left"/>
      <w:lvlText w:val="(%1)"/>
      <w:numFmt w:val="lowerLetter"/>
      <w:start w:val="1"/>
    </w:lvl>
  </w:abstractNum>
  <w:abstractNum w:abstractNumId="635">
    <w:nsid w:val="7F9F698A"/>
    <w:multiLevelType w:val="hybridMultilevel"/>
    <w:lvl w:ilvl="0">
      <w:lvlJc w:val="left"/>
      <w:lvlText w:val="(%1)"/>
      <w:numFmt w:val="lowerLetter"/>
      <w:start w:val="1"/>
    </w:lvl>
  </w:abstractNum>
  <w:abstractNum w:abstractNumId="636">
    <w:nsid w:val="5FD0822F"/>
    <w:multiLevelType w:val="hybridMultilevel"/>
    <w:lvl w:ilvl="0">
      <w:lvlJc w:val="left"/>
      <w:lvlText w:val="(%1)"/>
      <w:numFmt w:val="lowerLetter"/>
      <w:start w:val="1"/>
    </w:lvl>
  </w:abstractNum>
  <w:abstractNum w:abstractNumId="637">
    <w:nsid w:val="2D814889"/>
    <w:multiLevelType w:val="hybridMultilevel"/>
    <w:lvl w:ilvl="0">
      <w:lvlJc w:val="left"/>
      <w:lvlText w:val="(%1)"/>
      <w:numFmt w:val="lowerLetter"/>
      <w:start w:val="1"/>
    </w:lvl>
  </w:abstractNum>
  <w:abstractNum w:abstractNumId="638">
    <w:nsid w:val="7DB18352"/>
    <w:multiLevelType w:val="hybridMultilevel"/>
    <w:lvl w:ilvl="0">
      <w:lvlJc w:val="left"/>
      <w:lvlText w:val="(%1)"/>
      <w:numFmt w:val="lowerRoman"/>
      <w:start w:val="1"/>
    </w:lvl>
  </w:abstractNum>
  <w:abstractNum w:abstractNumId="639">
    <w:nsid w:val="5C243F1"/>
    <w:multiLevelType w:val="hybridMultilevel"/>
    <w:lvl w:ilvl="0">
      <w:lvlJc w:val="left"/>
      <w:lvlText w:val="(%1)"/>
      <w:numFmt w:val="lowerLetter"/>
      <w:start w:val="1"/>
    </w:lvl>
  </w:abstractNum>
  <w:abstractNum w:abstractNumId="640">
    <w:nsid w:val="21BE2F84"/>
    <w:multiLevelType w:val="hybridMultilevel"/>
    <w:lvl w:ilvl="0">
      <w:lvlJc w:val="left"/>
      <w:lvlText w:val="(%1)"/>
      <w:numFmt w:val="lowerLetter"/>
      <w:start w:val="1"/>
    </w:lvl>
  </w:abstractNum>
  <w:abstractNum w:abstractNumId="641">
    <w:nsid w:val="1E0491CD"/>
    <w:multiLevelType w:val="hybridMultilevel"/>
    <w:lvl w:ilvl="0">
      <w:lvlJc w:val="left"/>
      <w:lvlText w:val="(%1)"/>
      <w:numFmt w:val="lowerLetter"/>
      <w:start w:val="1"/>
    </w:lvl>
  </w:abstractNum>
  <w:abstractNum w:abstractNumId="642">
    <w:nsid w:val="1A0ED871"/>
    <w:multiLevelType w:val="hybridMultilevel"/>
    <w:lvl w:ilvl="0">
      <w:lvlJc w:val="left"/>
      <w:lvlText w:val="(%1)"/>
      <w:numFmt w:val="lowerLetter"/>
      <w:start w:val="1"/>
    </w:lvl>
    <w:lvl w:ilvl="1">
      <w:lvlJc w:val="left"/>
      <w:lvlText w:val="(%2)"/>
      <w:numFmt w:val="lowerRoman"/>
      <w:start w:val="1"/>
    </w:lvl>
  </w:abstractNum>
  <w:abstractNum w:abstractNumId="643">
    <w:nsid w:val="36D2D033"/>
    <w:multiLevelType w:val="hybridMultilevel"/>
    <w:lvl w:ilvl="0">
      <w:lvlJc w:val="left"/>
      <w:lvlText w:val="(%1)"/>
      <w:numFmt w:val="lowerLetter"/>
      <w:start w:val="3"/>
    </w:lvl>
  </w:abstractNum>
  <w:abstractNum w:abstractNumId="644">
    <w:nsid w:val="73C7EB1A"/>
    <w:multiLevelType w:val="hybridMultilevel"/>
    <w:lvl w:ilvl="0">
      <w:lvlJc w:val="left"/>
      <w:lvlText w:val="(%1)"/>
      <w:numFmt w:val="lowerLetter"/>
      <w:start w:val="1"/>
    </w:lvl>
  </w:abstractNum>
  <w:abstractNum w:abstractNumId="645">
    <w:nsid w:val="3EBCDCC"/>
    <w:multiLevelType w:val="hybridMultilevel"/>
    <w:lvl w:ilvl="0">
      <w:lvlJc w:val="left"/>
      <w:lvlText w:val="(%1)"/>
      <w:numFmt w:val="lowerLetter"/>
      <w:start w:val="1"/>
    </w:lvl>
  </w:abstractNum>
  <w:abstractNum w:abstractNumId="646">
    <w:nsid w:val="43CEFB03"/>
    <w:multiLevelType w:val="hybridMultilevel"/>
    <w:lvl w:ilvl="0">
      <w:lvlJc w:val="left"/>
      <w:lvlText w:val="(%1)"/>
      <w:numFmt w:val="lowerLetter"/>
      <w:start w:val="1"/>
    </w:lvl>
  </w:abstractNum>
  <w:abstractNum w:abstractNumId="647">
    <w:nsid w:val="1C82652D"/>
    <w:multiLevelType w:val="hybridMultilevel"/>
    <w:lvl w:ilvl="0">
      <w:lvlJc w:val="left"/>
      <w:lvlText w:val="(%1)"/>
      <w:numFmt w:val="lowerLetter"/>
      <w:start w:val="1"/>
    </w:lvl>
  </w:abstractNum>
  <w:abstractNum w:abstractNumId="648">
    <w:nsid w:val="2C73E35D"/>
    <w:multiLevelType w:val="hybridMultilevel"/>
    <w:lvl w:ilvl="0">
      <w:lvlJc w:val="left"/>
      <w:lvlText w:val="(%1)"/>
      <w:numFmt w:val="lowerLetter"/>
      <w:start w:val="1"/>
    </w:lvl>
    <w:lvl w:ilvl="1">
      <w:lvlJc w:val="left"/>
      <w:lvlText w:val="(%2)"/>
      <w:numFmt w:val="lowerRoman"/>
      <w:start w:val="1"/>
    </w:lvl>
  </w:abstractNum>
  <w:abstractNum w:abstractNumId="649">
    <w:nsid w:val="3AFA746F"/>
    <w:multiLevelType w:val="hybridMultilevel"/>
    <w:lvl w:ilvl="0">
      <w:lvlJc w:val="left"/>
      <w:lvlText w:val="(%1)"/>
      <w:numFmt w:val="lowerLetter"/>
      <w:start w:val="1"/>
    </w:lvl>
  </w:abstractNum>
  <w:abstractNum w:abstractNumId="650">
    <w:nsid w:val="3A849116"/>
    <w:multiLevelType w:val="hybridMultilevel"/>
    <w:lvl w:ilvl="0">
      <w:lvlJc w:val="left"/>
      <w:lvlText w:val="(%1)"/>
      <w:numFmt w:val="lowerRoman"/>
      <w:start w:val="1"/>
    </w:lvl>
  </w:abstractNum>
  <w:abstractNum w:abstractNumId="651">
    <w:nsid w:val="1F3847FC"/>
    <w:multiLevelType w:val="hybridMultilevel"/>
    <w:lvl w:ilvl="0">
      <w:lvlJc w:val="left"/>
      <w:lvlText w:val="(%1)"/>
      <w:numFmt w:val="lowerRoman"/>
      <w:start w:val="2"/>
    </w:lvl>
  </w:abstractNum>
  <w:abstractNum w:abstractNumId="652">
    <w:nsid w:val="37D3B790"/>
    <w:multiLevelType w:val="hybridMultilevel"/>
    <w:lvl w:ilvl="0">
      <w:lvlJc w:val="left"/>
      <w:lvlText w:val="%1"/>
      <w:numFmt w:val="lowerLetter"/>
      <w:start w:val="1"/>
    </w:lvl>
    <w:lvl w:ilvl="1">
      <w:lvlJc w:val="left"/>
      <w:lvlText w:val="(%2)"/>
      <w:numFmt w:val="lowerRoman"/>
      <w:start w:val="16"/>
    </w:lvl>
  </w:abstractNum>
  <w:abstractNum w:abstractNumId="653">
    <w:nsid w:val="4E384ED3"/>
    <w:multiLevelType w:val="hybridMultilevel"/>
    <w:lvl w:ilvl="0">
      <w:lvlJc w:val="left"/>
      <w:lvlText w:val="(%1)"/>
      <w:numFmt w:val="lowerLetter"/>
      <w:start w:val="2"/>
    </w:lvl>
    <w:lvl w:ilvl="1">
      <w:lvlJc w:val="left"/>
      <w:lvlText w:val="(%2)"/>
      <w:numFmt w:val="lowerRoman"/>
      <w:start w:val="1"/>
    </w:lvl>
  </w:abstractNum>
  <w:abstractNum w:abstractNumId="654">
    <w:nsid w:val="6B80C94F"/>
    <w:multiLevelType w:val="hybridMultilevel"/>
    <w:lvl w:ilvl="0">
      <w:lvlJc w:val="left"/>
      <w:lvlText w:val="(%1)"/>
      <w:numFmt w:val="lowerLetter"/>
      <w:start w:val="6"/>
    </w:lvl>
    <w:lvl w:ilvl="1">
      <w:lvlJc w:val="left"/>
      <w:lvlText w:val="(%2)"/>
      <w:numFmt w:val="lowerRoman"/>
      <w:start w:val="1"/>
    </w:lvl>
  </w:abstractNum>
  <w:abstractNum w:abstractNumId="655">
    <w:nsid w:val="4D0F54A3"/>
    <w:multiLevelType w:val="hybridMultilevel"/>
    <w:lvl w:ilvl="0">
      <w:lvlJc w:val="left"/>
      <w:lvlText w:val="(%1)"/>
      <w:numFmt w:val="lowerLetter"/>
      <w:start w:val="1"/>
    </w:lvl>
  </w:abstractNum>
  <w:abstractNum w:abstractNumId="656">
    <w:nsid w:val="4B4004EE"/>
    <w:multiLevelType w:val="hybridMultilevel"/>
    <w:lvl w:ilvl="0">
      <w:lvlJc w:val="left"/>
      <w:lvlText w:val="(%1)"/>
      <w:numFmt w:val="lowerLetter"/>
      <w:start w:val="1"/>
    </w:lvl>
  </w:abstractNum>
  <w:abstractNum w:abstractNumId="657">
    <w:nsid w:val="25CCB279"/>
    <w:multiLevelType w:val="hybridMultilevel"/>
    <w:lvl w:ilvl="0">
      <w:lvlJc w:val="left"/>
      <w:lvlText w:val="2"/>
      <w:numFmt w:val="bullet"/>
      <w:start w:val="1"/>
    </w:lvl>
  </w:abstractNum>
  <w:abstractNum w:abstractNumId="658">
    <w:nsid w:val="4ED6F798"/>
    <w:multiLevelType w:val="hybridMultilevel"/>
    <w:lvl w:ilvl="0">
      <w:lvlJc w:val="left"/>
      <w:lvlText w:val="(%1)"/>
      <w:numFmt w:val="lowerLetter"/>
      <w:start w:val="1"/>
    </w:lvl>
  </w:abstractNum>
  <w:abstractNum w:abstractNumId="659">
    <w:nsid w:val="47B5565"/>
    <w:multiLevelType w:val="hybridMultilevel"/>
    <w:lvl w:ilvl="0">
      <w:lvlJc w:val="left"/>
      <w:lvlText w:val="(%1)"/>
      <w:numFmt w:val="lowerLetter"/>
      <w:start w:val="1"/>
    </w:lvl>
    <w:lvl w:ilvl="1">
      <w:lvlJc w:val="left"/>
      <w:lvlText w:val="(%2)"/>
      <w:numFmt w:val="lowerRoman"/>
      <w:start w:val="1"/>
    </w:lvl>
  </w:abstractNum>
  <w:abstractNum w:abstractNumId="660">
    <w:nsid w:val="4DAF454"/>
    <w:multiLevelType w:val="hybridMultilevel"/>
    <w:lvl w:ilvl="0">
      <w:lvlJc w:val="left"/>
      <w:lvlText w:val="(%1)"/>
      <w:numFmt w:val="lowerLetter"/>
      <w:start w:val="2"/>
    </w:lvl>
  </w:abstractNum>
  <w:abstractNum w:abstractNumId="661">
    <w:nsid w:val="3B24F23C"/>
    <w:multiLevelType w:val="hybridMultilevel"/>
    <w:lvl w:ilvl="0">
      <w:lvlJc w:val="left"/>
      <w:lvlText w:val="3"/>
      <w:numFmt w:val="bullet"/>
      <w:start w:val="1"/>
    </w:lvl>
  </w:abstractNum>
  <w:abstractNum w:abstractNumId="662">
    <w:nsid w:val="10F7A584"/>
    <w:multiLevelType w:val="hybridMultilevel"/>
    <w:lvl w:ilvl="0">
      <w:lvlJc w:val="left"/>
      <w:lvlText w:val="4"/>
      <w:numFmt w:val="bullet"/>
      <w:start w:val="1"/>
    </w:lvl>
  </w:abstractNum>
  <w:abstractNum w:abstractNumId="663">
    <w:nsid w:val="771FA68D"/>
    <w:multiLevelType w:val="hybridMultilevel"/>
    <w:lvl w:ilvl="0">
      <w:lvlJc w:val="left"/>
      <w:lvlText w:val="(%1)"/>
      <w:numFmt w:val="lowerLetter"/>
      <w:start w:val="1"/>
    </w:lvl>
    <w:lvl w:ilvl="1">
      <w:lvlJc w:val="left"/>
      <w:lvlText w:val="(%2)"/>
      <w:numFmt w:val="lowerRoman"/>
      <w:start w:val="1"/>
    </w:lvl>
  </w:abstractNum>
  <w:abstractNum w:abstractNumId="664">
    <w:nsid w:val="BD6B044"/>
    <w:multiLevelType w:val="hybridMultilevel"/>
    <w:lvl w:ilvl="0">
      <w:lvlJc w:val="left"/>
      <w:lvlText w:val="(%1)"/>
      <w:numFmt w:val="lowerLetter"/>
      <w:start w:val="1"/>
    </w:lvl>
  </w:abstractNum>
  <w:abstractNum w:abstractNumId="665">
    <w:nsid w:val="51EF3577"/>
    <w:multiLevelType w:val="hybridMultilevel"/>
    <w:lvl w:ilvl="0">
      <w:lvlJc w:val="left"/>
      <w:lvlText w:val="(%1)"/>
      <w:numFmt w:val="lowerLetter"/>
      <w:start w:val="2"/>
    </w:lvl>
  </w:abstractNum>
  <w:abstractNum w:abstractNumId="666">
    <w:nsid w:val="76BF1017"/>
    <w:multiLevelType w:val="hybridMultilevel"/>
    <w:lvl w:ilvl="0">
      <w:lvlJc w:val="left"/>
      <w:lvlText w:val="5"/>
      <w:numFmt w:val="bullet"/>
      <w:start w:val="1"/>
    </w:lvl>
  </w:abstractNum>
  <w:abstractNum w:abstractNumId="667">
    <w:nsid w:val="6BA73274"/>
    <w:multiLevelType w:val="hybridMultilevel"/>
    <w:lvl w:ilvl="0">
      <w:lvlJc w:val="left"/>
      <w:lvlText w:val="(%1)"/>
      <w:numFmt w:val="lowerLetter"/>
      <w:start w:val="1"/>
    </w:lvl>
  </w:abstractNum>
  <w:abstractNum w:abstractNumId="668">
    <w:nsid w:val="7F707E01"/>
    <w:multiLevelType w:val="hybridMultilevel"/>
    <w:lvl w:ilvl="0">
      <w:lvlJc w:val="left"/>
      <w:lvlText w:val="(%1)"/>
      <w:numFmt w:val="lowerLetter"/>
      <w:start w:val="1"/>
    </w:lvl>
  </w:abstractNum>
  <w:abstractNum w:abstractNumId="669">
    <w:nsid w:val="7470936A"/>
    <w:multiLevelType w:val="hybridMultilevel"/>
    <w:lvl w:ilvl="0">
      <w:lvlJc w:val="left"/>
      <w:lvlText w:val="(%1)"/>
      <w:numFmt w:val="lowerLetter"/>
      <w:start w:val="1"/>
    </w:lvl>
  </w:abstractNum>
  <w:abstractNum w:abstractNumId="670">
    <w:nsid w:val="71697665"/>
    <w:multiLevelType w:val="hybridMultilevel"/>
    <w:lvl w:ilvl="0">
      <w:lvlJc w:val="left"/>
      <w:lvlText w:val="(%1)"/>
      <w:numFmt w:val="lowerLetter"/>
      <w:start w:val="1"/>
    </w:lvl>
  </w:abstractNum>
  <w:abstractNum w:abstractNumId="671">
    <w:nsid w:val="212EAD85"/>
    <w:multiLevelType w:val="hybridMultilevel"/>
    <w:lvl w:ilvl="0">
      <w:lvlJc w:val="left"/>
      <w:lvlText w:val="6"/>
      <w:numFmt w:val="bullet"/>
      <w:start w:val="1"/>
    </w:lvl>
  </w:abstractNum>
  <w:abstractNum w:abstractNumId="672">
    <w:nsid w:val="12752537"/>
    <w:multiLevelType w:val="hybridMultilevel"/>
    <w:lvl w:ilvl="0">
      <w:lvlJc w:val="left"/>
      <w:lvlText w:val="(%1)"/>
      <w:numFmt w:val="lowerLetter"/>
      <w:start w:val="1"/>
    </w:lvl>
  </w:abstractNum>
  <w:abstractNum w:abstractNumId="673">
    <w:nsid w:val="B784ED6"/>
    <w:multiLevelType w:val="hybridMultilevel"/>
    <w:lvl w:ilvl="0">
      <w:lvlJc w:val="left"/>
      <w:lvlText w:val="(%1)"/>
      <w:numFmt w:val="lowerLetter"/>
      <w:start w:val="1"/>
    </w:lvl>
    <w:lvl w:ilvl="1">
      <w:lvlJc w:val="left"/>
      <w:lvlText w:val="(%2)"/>
      <w:numFmt w:val="lowerRoman"/>
      <w:start w:val="1"/>
    </w:lvl>
  </w:abstractNum>
  <w:abstractNum w:abstractNumId="674">
    <w:nsid w:val="58017DB8"/>
    <w:multiLevelType w:val="hybridMultilevel"/>
    <w:lvl w:ilvl="0">
      <w:lvlJc w:val="left"/>
      <w:lvlText w:val="7"/>
      <w:numFmt w:val="bullet"/>
      <w:start w:val="1"/>
    </w:lvl>
  </w:abstractNum>
  <w:abstractNum w:abstractNumId="675">
    <w:nsid w:val="63D1051"/>
    <w:multiLevelType w:val="hybridMultilevel"/>
    <w:lvl w:ilvl="0">
      <w:lvlJc w:val="left"/>
      <w:lvlText w:val="(%1)"/>
      <w:numFmt w:val="lowerLetter"/>
      <w:start w:val="1"/>
    </w:lvl>
    <w:lvl w:ilvl="1">
      <w:lvlJc w:val="left"/>
      <w:lvlText w:val="(%2)"/>
      <w:numFmt w:val="lowerRoman"/>
      <w:start w:val="1"/>
    </w:lvl>
  </w:abstractNum>
  <w:abstractNum w:abstractNumId="676">
    <w:nsid w:val="F641CA2"/>
    <w:multiLevelType w:val="hybridMultilevel"/>
    <w:lvl w:ilvl="0">
      <w:lvlJc w:val="left"/>
      <w:lvlText w:val="(%1)"/>
      <w:numFmt w:val="lowerLetter"/>
      <w:start w:val="1"/>
    </w:lvl>
  </w:abstractNum>
  <w:abstractNum w:abstractNumId="677">
    <w:nsid w:val="1BD078BB"/>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678">
    <w:nsid w:val="22BF757E"/>
    <w:multiLevelType w:val="hybridMultilevel"/>
    <w:lvl w:ilvl="0">
      <w:lvlJc w:val="left"/>
      <w:lvlText w:val="(%1)"/>
      <w:numFmt w:val="lowerLetter"/>
      <w:start w:val="3"/>
    </w:lvl>
  </w:abstractNum>
  <w:abstractNum w:abstractNumId="679">
    <w:nsid w:val="3BD80000"/>
    <w:multiLevelType w:val="hybridMultilevel"/>
    <w:lvl w:ilvl="0">
      <w:lvlJc w:val="left"/>
      <w:lvlText w:val="(%1)"/>
      <w:numFmt w:val="lowerLetter"/>
      <w:start w:val="1"/>
    </w:lvl>
  </w:abstractNum>
  <w:abstractNum w:abstractNumId="680">
    <w:nsid w:val="56CAED2B"/>
    <w:multiLevelType w:val="hybridMultilevel"/>
    <w:lvl w:ilvl="0">
      <w:lvlJc w:val="left"/>
      <w:lvlText w:val="(%1)"/>
      <w:numFmt w:val="lowerLetter"/>
      <w:start w:val="1"/>
    </w:lvl>
    <w:lvl w:ilvl="1">
      <w:lvlJc w:val="left"/>
      <w:lvlText w:val="(%2)"/>
      <w:numFmt w:val="lowerRoman"/>
      <w:start w:val="1"/>
    </w:lvl>
  </w:abstractNum>
  <w:abstractNum w:abstractNumId="681">
    <w:nsid w:val="5D440695"/>
    <w:multiLevelType w:val="hybridMultilevel"/>
    <w:lvl w:ilvl="0">
      <w:lvlJc w:val="left"/>
      <w:lvlText w:val="(%1)"/>
      <w:numFmt w:val="lowerLetter"/>
      <w:start w:val="2"/>
    </w:lvl>
  </w:abstractNum>
  <w:abstractNum w:abstractNumId="682">
    <w:nsid w:val="5B1047FC"/>
    <w:multiLevelType w:val="hybridMultilevel"/>
    <w:lvl w:ilvl="0">
      <w:lvlJc w:val="left"/>
      <w:lvlText w:val="(%1)"/>
      <w:numFmt w:val="lowerLetter"/>
      <w:start w:val="1"/>
    </w:lvl>
  </w:abstractNum>
  <w:abstractNum w:abstractNumId="683">
    <w:nsid w:val="E9EA4BB"/>
    <w:multiLevelType w:val="hybridMultilevel"/>
    <w:lvl w:ilvl="0">
      <w:lvlJc w:val="left"/>
      <w:lvlText w:val="(%1)"/>
      <w:numFmt w:val="lowerLetter"/>
      <w:start w:val="1"/>
    </w:lvl>
  </w:abstractNum>
  <w:abstractNum w:abstractNumId="684">
    <w:nsid w:val="2B7C5568"/>
    <w:multiLevelType w:val="hybridMultilevel"/>
    <w:lvl w:ilvl="0">
      <w:lvlJc w:val="left"/>
      <w:lvlText w:val="8"/>
      <w:numFmt w:val="bullet"/>
      <w:start w:val="1"/>
    </w:lvl>
  </w:abstractNum>
  <w:abstractNum w:abstractNumId="685">
    <w:nsid w:val="4691114B"/>
    <w:multiLevelType w:val="hybridMultilevel"/>
    <w:lvl w:ilvl="0">
      <w:lvlJc w:val="left"/>
      <w:lvlText w:val="(%1)"/>
      <w:numFmt w:val="lowerLetter"/>
      <w:start w:val="1"/>
    </w:lvl>
  </w:abstractNum>
  <w:abstractNum w:abstractNumId="686">
    <w:nsid w:val="5BADF95F"/>
    <w:multiLevelType w:val="hybridMultilevel"/>
    <w:lvl w:ilvl="0">
      <w:lvlJc w:val="left"/>
      <w:lvlText w:val="(%1)"/>
      <w:numFmt w:val="lowerLetter"/>
      <w:start w:val="1"/>
    </w:lvl>
    <w:lvl w:ilvl="1">
      <w:lvlJc w:val="left"/>
      <w:lvlText w:val="(%2)"/>
      <w:numFmt w:val="lowerRoman"/>
      <w:start w:val="1"/>
    </w:lvl>
  </w:abstractNum>
  <w:abstractNum w:abstractNumId="687">
    <w:nsid w:val="76BC5A56"/>
    <w:multiLevelType w:val="hybridMultilevel"/>
    <w:lvl w:ilvl="0">
      <w:lvlJc w:val="left"/>
      <w:lvlText w:val="(%1)"/>
      <w:numFmt w:val="lowerLetter"/>
      <w:start w:val="1"/>
    </w:lvl>
    <w:lvl w:ilvl="1">
      <w:lvlJc w:val="left"/>
      <w:lvlText w:val="(%2)"/>
      <w:numFmt w:val="lowerRoman"/>
      <w:start w:val="1"/>
    </w:lvl>
  </w:abstractNum>
  <w:abstractNum w:abstractNumId="688">
    <w:nsid w:val="6C5DC3C4"/>
    <w:multiLevelType w:val="hybridMultilevel"/>
    <w:lvl w:ilvl="0">
      <w:lvlJc w:val="left"/>
      <w:lvlText w:val="9"/>
      <w:numFmt w:val="bullet"/>
      <w:start w:val="1"/>
    </w:lvl>
  </w:abstractNum>
  <w:abstractNum w:abstractNumId="689">
    <w:nsid w:val="2A84F0F7"/>
    <w:multiLevelType w:val="hybridMultilevel"/>
    <w:lvl w:ilvl="0">
      <w:lvlJc w:val="left"/>
      <w:lvlText w:val="(%1)"/>
      <w:numFmt w:val="lowerLetter"/>
      <w:start w:val="1"/>
    </w:lvl>
  </w:abstractNum>
  <w:abstractNum w:abstractNumId="690">
    <w:nsid w:val="7B37AFBB"/>
    <w:multiLevelType w:val="hybridMultilevel"/>
    <w:lvl w:ilvl="0">
      <w:lvlJc w:val="left"/>
      <w:lvlText w:val="(%1)"/>
      <w:numFmt w:val="lowerLetter"/>
      <w:start w:val="1"/>
    </w:lvl>
    <w:lvl w:ilvl="1">
      <w:lvlJc w:val="left"/>
      <w:lvlText w:val="(%2)"/>
      <w:numFmt w:val="lowerRoman"/>
      <w:start w:val="1"/>
    </w:lvl>
  </w:abstractNum>
  <w:abstractNum w:abstractNumId="691">
    <w:nsid w:val="7138B819"/>
    <w:multiLevelType w:val="hybridMultilevel"/>
    <w:lvl w:ilvl="0">
      <w:lvlJc w:val="left"/>
      <w:lvlText w:val="(%1)"/>
      <w:numFmt w:val="lowerLetter"/>
      <w:start w:val="1"/>
    </w:lvl>
    <w:lvl w:ilvl="1">
      <w:lvlJc w:val="left"/>
      <w:lvlText w:val="(%2)"/>
      <w:numFmt w:val="lowerRoman"/>
      <w:start w:val="1"/>
    </w:lvl>
  </w:abstractNum>
  <w:abstractNum w:abstractNumId="692">
    <w:nsid w:val="65A9E333"/>
    <w:multiLevelType w:val="hybridMultilevel"/>
    <w:lvl w:ilvl="0">
      <w:lvlJc w:val="left"/>
      <w:lvlText w:val="(%1)"/>
      <w:numFmt w:val="lowerLetter"/>
      <w:start w:val="3"/>
    </w:lvl>
  </w:abstractNum>
  <w:abstractNum w:abstractNumId="693">
    <w:nsid w:val="C2F5540"/>
    <w:multiLevelType w:val="hybridMultilevel"/>
    <w:lvl w:ilvl="0">
      <w:lvlJc w:val="left"/>
      <w:lvlText w:val="(%1)"/>
      <w:numFmt w:val="lowerLetter"/>
      <w:start w:val="1"/>
    </w:lvl>
    <w:lvl w:ilvl="1">
      <w:lvlJc w:val="left"/>
      <w:lvlText w:val="(%2)"/>
      <w:numFmt w:val="lowerRoman"/>
      <w:start w:val="1"/>
    </w:lvl>
  </w:abstractNum>
  <w:abstractNum w:abstractNumId="694">
    <w:nsid w:val="68585EA6"/>
    <w:multiLevelType w:val="hybridMultilevel"/>
    <w:lvl w:ilvl="0">
      <w:lvlJc w:val="left"/>
      <w:lvlText w:val="(%1)"/>
      <w:numFmt w:val="lowerLetter"/>
      <w:start w:val="1"/>
    </w:lvl>
  </w:abstractNum>
  <w:abstractNum w:abstractNumId="695">
    <w:nsid w:val="71809378"/>
    <w:multiLevelType w:val="hybridMultilevel"/>
    <w:lvl w:ilvl="0">
      <w:lvlJc w:val="left"/>
      <w:lvlText w:val="(%1)"/>
      <w:numFmt w:val="lowerLetter"/>
      <w:start w:val="7"/>
    </w:lvl>
  </w:abstractNum>
  <w:abstractNum w:abstractNumId="696">
    <w:nsid w:val="5E1E8AB7"/>
    <w:multiLevelType w:val="hybridMultilevel"/>
    <w:lvl w:ilvl="0">
      <w:lvlJc w:val="left"/>
      <w:lvlText w:val="(%1)"/>
      <w:numFmt w:val="lowerLetter"/>
      <w:start w:val="1"/>
    </w:lvl>
  </w:abstractNum>
  <w:abstractNum w:abstractNumId="697">
    <w:nsid w:val="5F176EBE"/>
    <w:multiLevelType w:val="hybridMultilevel"/>
    <w:lvl w:ilvl="0">
      <w:lvlJc w:val="left"/>
      <w:lvlText w:val="(%1)"/>
      <w:numFmt w:val="lowerLetter"/>
      <w:start w:val="1"/>
    </w:lvl>
  </w:abstractNum>
  <w:abstractNum w:abstractNumId="698">
    <w:nsid w:val="5D27C5EC"/>
    <w:multiLevelType w:val="hybridMultilevel"/>
    <w:lvl w:ilvl="0">
      <w:lvlJc w:val="left"/>
      <w:lvlText w:val="%1"/>
      <w:numFmt w:val="decimal"/>
      <w:start w:val="11"/>
    </w:lvl>
  </w:abstractNum>
  <w:abstractNum w:abstractNumId="699">
    <w:nsid w:val="5D8F08B8"/>
    <w:multiLevelType w:val="hybridMultilevel"/>
    <w:lvl w:ilvl="0">
      <w:lvlJc w:val="left"/>
      <w:lvlText w:val="(%1)"/>
      <w:numFmt w:val="lowerLetter"/>
      <w:start w:val="1"/>
    </w:lvl>
  </w:abstractNum>
  <w:abstractNum w:abstractNumId="700">
    <w:nsid w:val="53880228"/>
    <w:multiLevelType w:val="hybridMultilevel"/>
    <w:lvl w:ilvl="0">
      <w:lvlJc w:val="left"/>
      <w:lvlText w:val="(%1)"/>
      <w:numFmt w:val="lowerRoman"/>
      <w:start w:val="1"/>
    </w:lvl>
  </w:abstractNum>
  <w:abstractNum w:abstractNumId="701">
    <w:nsid w:val="4E913C51"/>
    <w:multiLevelType w:val="hybridMultilevel"/>
    <w:lvl w:ilvl="0">
      <w:lvlJc w:val="left"/>
      <w:lvlText w:val="%1"/>
      <w:numFmt w:val="lowerLetter"/>
      <w:start w:val="1"/>
    </w:lvl>
    <w:lvl w:ilvl="1">
      <w:lvlJc w:val="left"/>
      <w:lvlText w:val="(%2)"/>
      <w:numFmt w:val="lowerLetter"/>
      <w:start w:val="35"/>
    </w:lvl>
  </w:abstractNum>
  <w:abstractNum w:abstractNumId="702">
    <w:nsid w:val="7EBDB63D"/>
    <w:multiLevelType w:val="hybridMultilevel"/>
    <w:lvl w:ilvl="0">
      <w:lvlJc w:val="left"/>
      <w:lvlText w:val="(%1)"/>
      <w:numFmt w:val="lowerLetter"/>
      <w:start w:val="5"/>
    </w:lvl>
    <w:lvl w:ilvl="1">
      <w:lvlJc w:val="left"/>
      <w:lvlText w:val="%2"/>
      <w:numFmt w:val="lowerLetter"/>
      <w:start w:val="1"/>
    </w:lvl>
  </w:abstractNum>
  <w:abstractNum w:abstractNumId="703">
    <w:nsid w:val="65FD275F"/>
    <w:multiLevelType w:val="hybridMultilevel"/>
    <w:lvl w:ilvl="0">
      <w:lvlJc w:val="left"/>
      <w:lvlText w:val="(%1)"/>
      <w:numFmt w:val="lowerLetter"/>
      <w:start w:val="1"/>
    </w:lvl>
  </w:abstractNum>
  <w:abstractNum w:abstractNumId="704">
    <w:nsid w:val="5A098B27"/>
    <w:multiLevelType w:val="hybridMultilevel"/>
    <w:lvl w:ilvl="0">
      <w:lvlJc w:val="left"/>
      <w:lvlText w:val="(%1)"/>
      <w:numFmt w:val="lowerLetter"/>
      <w:start w:val="1"/>
    </w:lvl>
    <w:lvl w:ilvl="1">
      <w:lvlJc w:val="left"/>
      <w:lvlText w:val="(%2)"/>
      <w:numFmt w:val="lowerRoman"/>
      <w:start w:val="1"/>
    </w:lvl>
  </w:abstractNum>
  <w:abstractNum w:abstractNumId="705">
    <w:nsid w:val="56BF33F6"/>
    <w:multiLevelType w:val="hybridMultilevel"/>
    <w:lvl w:ilvl="0">
      <w:lvlJc w:val="left"/>
      <w:lvlText w:val="%1"/>
      <w:numFmt w:val="decimal"/>
      <w:start w:val="13"/>
    </w:lvl>
  </w:abstractNum>
  <w:abstractNum w:abstractNumId="706">
    <w:nsid w:val="6C3A37B1"/>
    <w:multiLevelType w:val="hybridMultilevel"/>
    <w:lvl w:ilvl="0">
      <w:lvlJc w:val="left"/>
      <w:lvlText w:val="(%1)"/>
      <w:numFmt w:val="lowerLetter"/>
      <w:start w:val="1"/>
    </w:lvl>
  </w:abstractNum>
  <w:abstractNum w:abstractNumId="707">
    <w:nsid w:val="696DA7C9"/>
    <w:multiLevelType w:val="hybridMultilevel"/>
    <w:lvl w:ilvl="0">
      <w:lvlJc w:val="left"/>
      <w:lvlText w:val="(%1)"/>
      <w:numFmt w:val="lowerLetter"/>
      <w:start w:val="1"/>
    </w:lvl>
  </w:abstractNum>
  <w:abstractNum w:abstractNumId="708">
    <w:nsid w:val="728FACB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09">
    <w:nsid w:val="EF9AD2F"/>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710">
    <w:nsid w:val="2545A7C9"/>
    <w:multiLevelType w:val="hybridMultilevel"/>
    <w:lvl w:ilvl="0">
      <w:lvlJc w:val="left"/>
      <w:lvlText w:val="(%1)"/>
      <w:numFmt w:val="lowerLetter"/>
      <w:start w:val="3"/>
    </w:lvl>
    <w:lvl w:ilvl="1">
      <w:lvlJc w:val="left"/>
      <w:lvlText w:val="%2"/>
      <w:numFmt w:val="lowerLetter"/>
      <w:start w:val="1"/>
    </w:lvl>
    <w:lvl w:ilvl="2">
      <w:lvlJc w:val="left"/>
      <w:lvlText w:val="%3"/>
      <w:numFmt w:val="upperLetter"/>
      <w:start w:val="1"/>
    </w:lvl>
  </w:abstractNum>
  <w:abstractNum w:abstractNumId="711">
    <w:nsid w:val="495A99DC"/>
    <w:multiLevelType w:val="hybridMultilevel"/>
    <w:lvl w:ilvl="0">
      <w:lvlJc w:val="left"/>
      <w:lvlText w:val="(%1)"/>
      <w:numFmt w:val="lowerLetter"/>
      <w:start w:val="1"/>
    </w:lvl>
  </w:abstractNum>
  <w:abstractNum w:abstractNumId="712">
    <w:nsid w:val="6C3DB3C4"/>
    <w:multiLevelType w:val="hybridMultilevel"/>
    <w:lvl w:ilvl="0">
      <w:lvlJc w:val="left"/>
      <w:lvlText w:val="(%1)"/>
      <w:numFmt w:val="lowerLetter"/>
      <w:start w:val="1"/>
    </w:lvl>
    <w:lvl w:ilvl="1">
      <w:lvlJc w:val="left"/>
      <w:lvlText w:val="(%2)"/>
      <w:numFmt w:val="lowerRoman"/>
      <w:start w:val="1"/>
    </w:lvl>
  </w:abstractNum>
  <w:abstractNum w:abstractNumId="713">
    <w:nsid w:val="55EF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4">
    <w:nsid w:val="57F93E98"/>
    <w:multiLevelType w:val="hybridMultilevel"/>
    <w:lvl w:ilvl="0">
      <w:lvlJc w:val="left"/>
      <w:lvlText w:val="(%1)"/>
      <w:numFmt w:val="lowerLetter"/>
      <w:start w:val="1"/>
    </w:lvl>
  </w:abstractNum>
  <w:abstractNum w:abstractNumId="715">
    <w:nsid w:val="17BA092C"/>
    <w:multiLevelType w:val="hybridMultilevel"/>
    <w:lvl w:ilvl="0">
      <w:lvlJc w:val="left"/>
      <w:lvlText w:val="(%1)"/>
      <w:numFmt w:val="lowerLetter"/>
      <w:start w:val="2"/>
    </w:lvl>
  </w:abstractNum>
  <w:abstractNum w:abstractNumId="716">
    <w:nsid w:val="46E70111"/>
    <w:multiLevelType w:val="hybridMultilevel"/>
    <w:lvl w:ilvl="0">
      <w:lvlJc w:val="left"/>
      <w:lvlText w:val="%1"/>
      <w:numFmt w:val="decimal"/>
      <w:start w:val="14"/>
    </w:lvl>
  </w:abstractNum>
  <w:abstractNum w:abstractNumId="717">
    <w:nsid w:val="33A737F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18">
    <w:nsid w:val="E766383"/>
    <w:multiLevelType w:val="hybridMultilevel"/>
    <w:lvl w:ilvl="0">
      <w:lvlJc w:val="left"/>
      <w:lvlText w:val="%1"/>
      <w:numFmt w:val="lowerRoman"/>
      <w:start w:val="1"/>
    </w:lvl>
    <w:lvl w:ilvl="1">
      <w:lvlJc w:val="left"/>
      <w:lvlText w:val="(%2)"/>
      <w:numFmt w:val="upperLetter"/>
      <w:start w:val="2"/>
    </w:lvl>
  </w:abstractNum>
  <w:abstractNum w:abstractNumId="719">
    <w:nsid w:val="3344C4D6"/>
    <w:multiLevelType w:val="hybridMultilevel"/>
    <w:lvl w:ilvl="0">
      <w:lvlJc w:val="left"/>
      <w:lvlText w:val="(%1)"/>
      <w:numFmt w:val="lowerRoman"/>
      <w:start w:val="3"/>
    </w:lvl>
    <w:lvl w:ilvl="1">
      <w:lvlJc w:val="left"/>
      <w:lvlText w:val="(%2)"/>
      <w:numFmt w:val="upperLetter"/>
      <w:start w:val="1"/>
    </w:lvl>
  </w:abstractNum>
  <w:abstractNum w:abstractNumId="720">
    <w:nsid w:val="5E2C28EE"/>
    <w:multiLevelType w:val="hybridMultilevel"/>
    <w:lvl w:ilvl="0">
      <w:lvlJc w:val="left"/>
      <w:lvlText w:val="(%1)"/>
      <w:numFmt w:val="lowerLetter"/>
      <w:start w:val="1"/>
    </w:lvl>
  </w:abstractNum>
  <w:abstractNum w:abstractNumId="721">
    <w:nsid w:val="9AE133E"/>
    <w:multiLevelType w:val="hybridMultilevel"/>
    <w:lvl w:ilvl="0">
      <w:lvlJc w:val="left"/>
      <w:lvlText w:val="(%1)"/>
      <w:numFmt w:val="lowerLetter"/>
      <w:start w:val="1"/>
    </w:lvl>
  </w:abstractNum>
  <w:abstractNum w:abstractNumId="722">
    <w:nsid w:val="247D7CEF"/>
    <w:multiLevelType w:val="hybridMultilevel"/>
    <w:lvl w:ilvl="0">
      <w:lvlJc w:val="left"/>
      <w:lvlText w:val="%1"/>
      <w:numFmt w:val="decimal"/>
      <w:start w:val="15"/>
    </w:lvl>
  </w:abstractNum>
  <w:abstractNum w:abstractNumId="723">
    <w:nsid w:val="43D60C21"/>
    <w:multiLevelType w:val="hybridMultilevel"/>
    <w:lvl w:ilvl="0">
      <w:lvlJc w:val="left"/>
      <w:lvlText w:val="(%1)"/>
      <w:numFmt w:val="lowerLetter"/>
      <w:start w:val="1"/>
    </w:lvl>
    <w:lvl w:ilvl="1">
      <w:lvlJc w:val="left"/>
      <w:lvlText w:val="(%2)"/>
      <w:numFmt w:val="lowerLetter"/>
      <w:start w:val="9"/>
    </w:lvl>
  </w:abstractNum>
  <w:abstractNum w:abstractNumId="724">
    <w:nsid w:val="15DD687E"/>
    <w:multiLevelType w:val="hybridMultilevel"/>
    <w:lvl w:ilvl="0">
      <w:lvlJc w:val="left"/>
      <w:lvlText w:val="(%1)"/>
      <w:numFmt w:val="lowerRoman"/>
      <w:start w:val="2"/>
    </w:lvl>
  </w:abstractNum>
  <w:abstractNum w:abstractNumId="725">
    <w:nsid w:val="CD5DB95"/>
    <w:multiLevelType w:val="hybridMultilevel"/>
    <w:lvl w:ilvl="0">
      <w:lvlJc w:val="left"/>
      <w:lvlText w:val="(%1)"/>
      <w:numFmt w:val="lowerLetter"/>
      <w:start w:val="2"/>
    </w:lvl>
  </w:abstractNum>
  <w:abstractNum w:abstractNumId="726">
    <w:nsid w:val="35569F99"/>
    <w:multiLevelType w:val="hybridMultilevel"/>
    <w:lvl w:ilvl="0">
      <w:lvlJc w:val="left"/>
      <w:lvlText w:val="(%1)"/>
      <w:numFmt w:val="lowerLetter"/>
      <w:start w:val="1"/>
    </w:lvl>
    <w:lvl w:ilvl="1">
      <w:lvlJc w:val="left"/>
      <w:lvlText w:val="(%2)"/>
      <w:numFmt w:val="lowerRoman"/>
      <w:start w:val="1"/>
    </w:lvl>
  </w:abstractNum>
  <w:abstractNum w:abstractNumId="727">
    <w:nsid w:val="73FBF336"/>
    <w:multiLevelType w:val="hybridMultilevel"/>
    <w:lvl w:ilvl="0">
      <w:lvlJc w:val="left"/>
      <w:lvlText w:val="(%1)"/>
      <w:numFmt w:val="lowerLetter"/>
      <w:start w:val="3"/>
    </w:lvl>
    <w:lvl w:ilvl="1">
      <w:lvlJc w:val="left"/>
      <w:lvlText w:val="(%2)"/>
      <w:numFmt w:val="lowerRoman"/>
      <w:start w:val="1"/>
    </w:lvl>
  </w:abstractNum>
  <w:abstractNum w:abstractNumId="728">
    <w:nsid w:val="6BED4A53"/>
    <w:multiLevelType w:val="hybridMultilevel"/>
    <w:lvl w:ilvl="0">
      <w:lvlJc w:val="left"/>
      <w:lvlText w:val="(%1)"/>
      <w:numFmt w:val="lowerLetter"/>
      <w:start w:val="1"/>
    </w:lvl>
  </w:abstractNum>
  <w:abstractNum w:abstractNumId="729">
    <w:nsid w:val="127E6585"/>
    <w:multiLevelType w:val="hybridMultilevel"/>
    <w:lvl w:ilvl="0">
      <w:lvlJc w:val="left"/>
      <w:lvlText w:val="(%1)"/>
      <w:numFmt w:val="lowerLetter"/>
      <w:start w:val="1"/>
    </w:lvl>
    <w:lvl w:ilvl="1">
      <w:lvlJc w:val="left"/>
      <w:lvlText w:val="(%2)"/>
      <w:numFmt w:val="lowerRoman"/>
      <w:start w:val="1"/>
    </w:lvl>
  </w:abstractNum>
  <w:abstractNum w:abstractNumId="730">
    <w:nsid w:val="518AFBEE"/>
    <w:multiLevelType w:val="hybridMultilevel"/>
    <w:lvl w:ilvl="0">
      <w:lvlJc w:val="left"/>
      <w:lvlText w:val="(%1)"/>
      <w:numFmt w:val="lowerLetter"/>
      <w:start w:val="2"/>
    </w:lvl>
  </w:abstractNum>
  <w:abstractNum w:abstractNumId="731">
    <w:nsid w:val="3F754C7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32">
    <w:nsid w:val="610FA1D6"/>
    <w:multiLevelType w:val="hybridMultilevel"/>
    <w:lvl w:ilvl="0">
      <w:lvlJc w:val="left"/>
      <w:lvlText w:val="%1"/>
      <w:numFmt w:val="decimal"/>
      <w:start w:val="16"/>
    </w:lvl>
  </w:abstractNum>
  <w:abstractNum w:abstractNumId="733">
    <w:nsid w:val="5048B22C"/>
    <w:multiLevelType w:val="hybridMultilevel"/>
    <w:lvl w:ilvl="0">
      <w:lvlJc w:val="left"/>
      <w:lvlText w:val="(%1)"/>
      <w:numFmt w:val="lowerLetter"/>
      <w:start w:val="1"/>
    </w:lvl>
  </w:abstractNum>
  <w:abstractNum w:abstractNumId="734">
    <w:nsid w:val="257273DB"/>
    <w:multiLevelType w:val="hybridMultilevel"/>
    <w:lvl w:ilvl="0">
      <w:lvlJc w:val="left"/>
      <w:lvlText w:val="(%1)"/>
      <w:numFmt w:val="lowerLetter"/>
      <w:start w:val="1"/>
    </w:lvl>
    <w:lvl w:ilvl="1">
      <w:lvlJc w:val="left"/>
      <w:lvlText w:val="(%2)"/>
      <w:numFmt w:val="lowerRoman"/>
      <w:start w:val="1"/>
    </w:lvl>
  </w:abstractNum>
  <w:abstractNum w:abstractNumId="735">
    <w:nsid w:val="3B192CFD"/>
    <w:multiLevelType w:val="hybridMultilevel"/>
    <w:lvl w:ilvl="0">
      <w:lvlJc w:val="left"/>
      <w:lvlText w:val="%1"/>
      <w:numFmt w:val="decimal"/>
      <w:start w:val="17"/>
    </w:lvl>
  </w:abstractNum>
  <w:abstractNum w:abstractNumId="736">
    <w:nsid w:val="2707E622"/>
    <w:multiLevelType w:val="hybridMultilevel"/>
    <w:lvl w:ilvl="0">
      <w:lvlJc w:val="left"/>
      <w:lvlText w:val="(%1)"/>
      <w:numFmt w:val="lowerLetter"/>
      <w:start w:val="1"/>
    </w:lvl>
  </w:abstractNum>
  <w:abstractNum w:abstractNumId="737">
    <w:nsid w:val="11ACAB8C"/>
    <w:multiLevelType w:val="hybridMultilevel"/>
    <w:lvl w:ilvl="0">
      <w:lvlJc w:val="left"/>
      <w:lvlText w:val="(%1)"/>
      <w:numFmt w:val="lowerLetter"/>
      <w:start w:val="1"/>
    </w:lvl>
  </w:abstractNum>
  <w:abstractNum w:abstractNumId="738">
    <w:nsid w:val="2486D4C7"/>
    <w:multiLevelType w:val="hybridMultilevel"/>
    <w:lvl w:ilvl="0">
      <w:lvlJc w:val="left"/>
      <w:lvlText w:val="(%1)"/>
      <w:numFmt w:val="lowerLetter"/>
      <w:start w:val="3"/>
    </w:lvl>
  </w:abstractNum>
  <w:abstractNum w:abstractNumId="739">
    <w:nsid w:val="199792D3"/>
    <w:multiLevelType w:val="hybridMultilevel"/>
    <w:lvl w:ilvl="0">
      <w:lvlJc w:val="left"/>
      <w:lvlText w:val="(%1)"/>
      <w:numFmt w:val="lowerLetter"/>
      <w:start w:val="1"/>
    </w:lvl>
    <w:lvl w:ilvl="1">
      <w:lvlJc w:val="left"/>
      <w:lvlText w:val="(%2)"/>
      <w:numFmt w:val="lowerRoman"/>
      <w:start w:val="1"/>
    </w:lvl>
  </w:abstractNum>
  <w:abstractNum w:abstractNumId="740">
    <w:nsid w:val="20A658BB"/>
    <w:multiLevelType w:val="hybridMultilevel"/>
    <w:lvl w:ilvl="0">
      <w:lvlJc w:val="left"/>
      <w:lvlText w:val="%1"/>
      <w:numFmt w:val="decimal"/>
      <w:start w:val="18"/>
    </w:lvl>
  </w:abstractNum>
  <w:abstractNum w:abstractNumId="741">
    <w:nsid w:val="49CC7C90"/>
    <w:multiLevelType w:val="hybridMultilevel"/>
    <w:lvl w:ilvl="0">
      <w:lvlJc w:val="left"/>
      <w:lvlText w:val="(%1)"/>
      <w:numFmt w:val="lowerLetter"/>
      <w:start w:val="1"/>
    </w:lvl>
  </w:abstractNum>
  <w:abstractNum w:abstractNumId="742">
    <w:nsid w:val="62F22CB0"/>
    <w:multiLevelType w:val="hybridMultilevel"/>
    <w:lvl w:ilvl="0">
      <w:lvlJc w:val="left"/>
      <w:lvlText w:val="(%1)"/>
      <w:numFmt w:val="lowerLetter"/>
      <w:start w:val="1"/>
    </w:lvl>
  </w:abstractNum>
  <w:abstractNum w:abstractNumId="743">
    <w:nsid w:val="CE40C80"/>
    <w:multiLevelType w:val="hybridMultilevel"/>
    <w:lvl w:ilvl="0">
      <w:lvlJc w:val="left"/>
      <w:lvlText w:val="(%1)"/>
      <w:numFmt w:val="lowerLetter"/>
      <w:start w:val="2"/>
    </w:lvl>
  </w:abstractNum>
  <w:abstractNum w:abstractNumId="744">
    <w:nsid w:val="4A226C56"/>
    <w:multiLevelType w:val="hybridMultilevel"/>
    <w:lvl w:ilvl="0">
      <w:lvlJc w:val="left"/>
      <w:lvlText w:val="(%1)"/>
      <w:numFmt w:val="lowerLetter"/>
      <w:start w:val="1"/>
    </w:lvl>
  </w:abstractNum>
  <w:abstractNum w:abstractNumId="745">
    <w:nsid w:val="3AEB6B48"/>
    <w:multiLevelType w:val="hybridMultilevel"/>
    <w:lvl w:ilvl="0">
      <w:lvlJc w:val="left"/>
      <w:lvlText w:val="(%1)"/>
      <w:numFmt w:val="lowerLetter"/>
      <w:start w:val="1"/>
    </w:lvl>
  </w:abstractNum>
  <w:abstractNum w:abstractNumId="746">
    <w:nsid w:val="249E15AC"/>
    <w:multiLevelType w:val="hybridMultilevel"/>
    <w:lvl w:ilvl="0">
      <w:lvlJc w:val="left"/>
      <w:lvlText w:val="(%1)"/>
      <w:numFmt w:val="lowerLetter"/>
      <w:start w:val="1"/>
    </w:lvl>
  </w:abstractNum>
  <w:abstractNum w:abstractNumId="747">
    <w:nsid w:val="11096D68"/>
    <w:multiLevelType w:val="hybridMultilevel"/>
    <w:lvl w:ilvl="0">
      <w:lvlJc w:val="left"/>
      <w:lvlText w:val="%1"/>
      <w:numFmt w:val="decimal"/>
      <w:start w:val="19"/>
    </w:lvl>
  </w:abstractNum>
  <w:abstractNum w:abstractNumId="748">
    <w:nsid w:val="6E92A33F"/>
    <w:multiLevelType w:val="hybridMultilevel"/>
    <w:lvl w:ilvl="0">
      <w:lvlJc w:val="left"/>
      <w:lvlText w:val="(%1)"/>
      <w:numFmt w:val="lowerLetter"/>
      <w:start w:val="1"/>
    </w:lvl>
  </w:abstractNum>
  <w:abstractNum w:abstractNumId="749">
    <w:nsid w:val="3314792F"/>
    <w:multiLevelType w:val="hybridMultilevel"/>
    <w:lvl w:ilvl="0">
      <w:lvlJc w:val="left"/>
      <w:lvlText w:val="(%1)"/>
      <w:numFmt w:val="lowerLetter"/>
      <w:start w:val="1"/>
    </w:lvl>
    <w:lvl w:ilvl="1">
      <w:lvlJc w:val="left"/>
      <w:lvlText w:val="(%2)"/>
      <w:numFmt w:val="lowerRoman"/>
      <w:start w:val="1"/>
    </w:lvl>
  </w:abstractNum>
  <w:abstractNum w:abstractNumId="750">
    <w:nsid w:val="444E323E"/>
    <w:multiLevelType w:val="hybridMultilevel"/>
    <w:lvl w:ilvl="0">
      <w:lvlJc w:val="left"/>
      <w:lvlText w:val="(%1)"/>
      <w:numFmt w:val="lowerLetter"/>
      <w:start w:val="1"/>
    </w:lvl>
  </w:abstractNum>
  <w:abstractNum w:abstractNumId="751">
    <w:nsid w:val="4CBECC2D"/>
    <w:multiLevelType w:val="hybridMultilevel"/>
    <w:lvl w:ilvl="0">
      <w:lvlJc w:val="left"/>
      <w:lvlText w:val="%1"/>
      <w:numFmt w:val="decimal"/>
      <w:start w:val="20"/>
    </w:lvl>
  </w:abstractNum>
  <w:abstractNum w:abstractNumId="752">
    <w:nsid w:val="3CC28C6E"/>
    <w:multiLevelType w:val="hybridMultilevel"/>
    <w:lvl w:ilvl="0">
      <w:lvlJc w:val="left"/>
      <w:lvlText w:val="(%1)"/>
      <w:numFmt w:val="lowerLetter"/>
      <w:start w:val="1"/>
    </w:lvl>
  </w:abstractNum>
  <w:abstractNum w:abstractNumId="753">
    <w:nsid w:val="68CBAF2D"/>
    <w:multiLevelType w:val="hybridMultilevel"/>
    <w:lvl w:ilvl="0">
      <w:lvlJc w:val="left"/>
      <w:lvlText w:val="(%1)"/>
      <w:numFmt w:val="lowerLetter"/>
      <w:start w:val="1"/>
    </w:lvl>
  </w:abstractNum>
  <w:abstractNum w:abstractNumId="754">
    <w:nsid w:val="1094D84E"/>
    <w:multiLevelType w:val="hybridMultilevel"/>
    <w:lvl w:ilvl="0">
      <w:lvlJc w:val="left"/>
      <w:lvlText w:val="(%1)"/>
      <w:numFmt w:val="lowerLetter"/>
      <w:start w:val="1"/>
    </w:lvl>
  </w:abstractNum>
  <w:abstractNum w:abstractNumId="755">
    <w:nsid w:val="529FF4EC"/>
    <w:multiLevelType w:val="hybridMultilevel"/>
    <w:lvl w:ilvl="0">
      <w:lvlJc w:val="left"/>
      <w:lvlText w:val="(%1)"/>
      <w:numFmt w:val="lowerLetter"/>
      <w:start w:val="4"/>
    </w:lvl>
  </w:abstractNum>
  <w:abstractNum w:abstractNumId="756">
    <w:nsid w:val="75A18AC2"/>
    <w:multiLevelType w:val="hybridMultilevel"/>
    <w:lvl w:ilvl="0">
      <w:lvlJc w:val="left"/>
      <w:lvlText w:val="(%1)"/>
      <w:numFmt w:val="lowerLetter"/>
      <w:start w:val="1"/>
    </w:lvl>
    <w:lvl w:ilvl="1">
      <w:lvlJc w:val="left"/>
      <w:lvlText w:val="(%2)"/>
      <w:numFmt w:val="lowerRoman"/>
      <w:start w:val="1"/>
    </w:lvl>
  </w:abstractNum>
  <w:abstractNum w:abstractNumId="757">
    <w:nsid w:val="45EB77E8"/>
    <w:multiLevelType w:val="hybridMultilevel"/>
    <w:lvl w:ilvl="0">
      <w:lvlJc w:val="left"/>
      <w:lvlText w:val="(%1)"/>
      <w:numFmt w:val="lowerLetter"/>
      <w:start w:val="1"/>
    </w:lvl>
  </w:abstractNum>
  <w:abstractNum w:abstractNumId="758">
    <w:nsid w:val="469BE822"/>
    <w:multiLevelType w:val="hybridMultilevel"/>
    <w:lvl w:ilvl="0">
      <w:lvlJc w:val="left"/>
      <w:lvlText w:val="(%1)"/>
      <w:numFmt w:val="lowerLetter"/>
      <w:start w:val="1"/>
    </w:lvl>
  </w:abstractNum>
  <w:abstractNum w:abstractNumId="759">
    <w:nsid w:val="618ED516"/>
    <w:multiLevelType w:val="hybridMultilevel"/>
    <w:lvl w:ilvl="0">
      <w:lvlJc w:val="left"/>
      <w:lvlText w:val="(%1)"/>
      <w:numFmt w:val="lowerLetter"/>
      <w:start w:val="1"/>
    </w:lvl>
  </w:abstractNum>
  <w:abstractNum w:abstractNumId="760">
    <w:nsid w:val="5869DD6D"/>
    <w:multiLevelType w:val="hybridMultilevel"/>
    <w:lvl w:ilvl="0">
      <w:lvlJc w:val="left"/>
      <w:lvlText w:val="(%1)"/>
      <w:numFmt w:val="lowerLetter"/>
      <w:start w:val="1"/>
    </w:lvl>
  </w:abstractNum>
  <w:abstractNum w:abstractNumId="761">
    <w:nsid w:val="1826E411"/>
    <w:multiLevelType w:val="hybridMultilevel"/>
    <w:lvl w:ilvl="0">
      <w:lvlJc w:val="left"/>
      <w:lvlText w:val="(%1)"/>
      <w:numFmt w:val="lowerLetter"/>
      <w:start w:val="1"/>
    </w:lvl>
  </w:abstractNum>
  <w:abstractNum w:abstractNumId="762">
    <w:nsid w:val="21042191"/>
    <w:multiLevelType w:val="hybridMultilevel"/>
    <w:lvl w:ilvl="0">
      <w:lvlJc w:val="left"/>
      <w:lvlText w:val="(%1)"/>
      <w:numFmt w:val="lowerLetter"/>
      <w:start w:val="1"/>
    </w:lvl>
  </w:abstractNum>
  <w:abstractNum w:abstractNumId="763">
    <w:nsid w:val="39797F44"/>
    <w:multiLevelType w:val="hybridMultilevel"/>
    <w:lvl w:ilvl="0">
      <w:lvlJc w:val="left"/>
      <w:lvlText w:val="(%1)"/>
      <w:numFmt w:val="lowerLetter"/>
      <w:start w:val="1"/>
    </w:lvl>
    <w:lvl w:ilvl="1">
      <w:lvlJc w:val="left"/>
      <w:lvlText w:val="(%2)"/>
      <w:numFmt w:val="lowerRoman"/>
      <w:start w:val="1"/>
    </w:lvl>
  </w:abstractNum>
  <w:abstractNum w:abstractNumId="764">
    <w:nsid w:val="686F963D"/>
    <w:multiLevelType w:val="hybridMultilevel"/>
    <w:lvl w:ilvl="0">
      <w:lvlJc w:val="left"/>
      <w:lvlText w:val="(%1)"/>
      <w:numFmt w:val="lowerLetter"/>
      <w:start w:val="1"/>
    </w:lvl>
  </w:abstractNum>
  <w:abstractNum w:abstractNumId="765">
    <w:nsid w:val="4676956C"/>
    <w:multiLevelType w:val="hybridMultilevel"/>
    <w:lvl w:ilvl="0">
      <w:lvlJc w:val="left"/>
      <w:lvlText w:val="(%1)"/>
      <w:numFmt w:val="lowerLetter"/>
      <w:start w:val="1"/>
    </w:lvl>
  </w:abstractNum>
  <w:abstractNum w:abstractNumId="766">
    <w:nsid w:val="7492AC41"/>
    <w:multiLevelType w:val="hybridMultilevel"/>
    <w:lvl w:ilvl="0">
      <w:lvlJc w:val="left"/>
      <w:lvlText w:val="(%1)"/>
      <w:numFmt w:val="lowerLetter"/>
      <w:start w:val="3"/>
    </w:lvl>
  </w:abstractNum>
  <w:abstractNum w:abstractNumId="767">
    <w:nsid w:val="F777C5F"/>
    <w:multiLevelType w:val="hybridMultilevel"/>
    <w:lvl w:ilvl="0">
      <w:lvlJc w:val="left"/>
      <w:lvlText w:val="(%1)"/>
      <w:numFmt w:val="lowerLetter"/>
      <w:start w:val="1"/>
    </w:lvl>
  </w:abstractNum>
  <w:abstractNum w:abstractNumId="768">
    <w:nsid w:val="582340F8"/>
    <w:multiLevelType w:val="hybridMultilevel"/>
    <w:lvl w:ilvl="0">
      <w:lvlJc w:val="left"/>
      <w:lvlText w:val="(%1)"/>
      <w:numFmt w:val="lowerLetter"/>
      <w:start w:val="1"/>
    </w:lvl>
  </w:abstractNum>
  <w:abstractNum w:abstractNumId="769">
    <w:nsid w:val="19198108"/>
    <w:multiLevelType w:val="hybridMultilevel"/>
    <w:lvl w:ilvl="0">
      <w:lvlJc w:val="left"/>
      <w:lvlText w:val="(%1)"/>
      <w:numFmt w:val="lowerLetter"/>
      <w:start w:val="1"/>
    </w:lvl>
  </w:abstractNum>
  <w:abstractNum w:abstractNumId="770">
    <w:nsid w:val="290F0F32"/>
    <w:multiLevelType w:val="hybridMultilevel"/>
    <w:lvl w:ilvl="0">
      <w:lvlJc w:val="left"/>
      <w:lvlText w:val="(%1)"/>
      <w:numFmt w:val="lowerLetter"/>
      <w:start w:val="1"/>
    </w:lvl>
    <w:lvl w:ilvl="1">
      <w:lvlJc w:val="left"/>
      <w:lvlText w:val="(%2)"/>
      <w:numFmt w:val="lowerRoman"/>
      <w:start w:val="1"/>
    </w:lvl>
  </w:abstractNum>
  <w:abstractNum w:abstractNumId="771">
    <w:nsid w:val="78C999B4"/>
    <w:multiLevelType w:val="hybridMultilevel"/>
    <w:lvl w:ilvl="0">
      <w:lvlJc w:val="left"/>
      <w:lvlText w:val="(%1)"/>
      <w:numFmt w:val="lowerLetter"/>
      <w:start w:val="1"/>
    </w:lvl>
  </w:abstractNum>
  <w:abstractNum w:abstractNumId="772">
    <w:nsid w:val="62E5FD99"/>
    <w:multiLevelType w:val="hybridMultilevel"/>
    <w:lvl w:ilvl="0">
      <w:lvlJc w:val="left"/>
      <w:lvlText w:val="(%1)"/>
      <w:numFmt w:val="lowerLetter"/>
      <w:start w:val="1"/>
    </w:lvl>
  </w:abstractNum>
  <w:abstractNum w:abstractNumId="773">
    <w:nsid w:val="C013BE2"/>
    <w:multiLevelType w:val="hybridMultilevel"/>
    <w:lvl w:ilvl="0">
      <w:lvlJc w:val="left"/>
      <w:lvlText w:val="%1"/>
      <w:numFmt w:val="decimal"/>
      <w:start w:val="21"/>
    </w:lvl>
  </w:abstractNum>
  <w:abstractNum w:abstractNumId="774">
    <w:nsid w:val="5ADA634"/>
    <w:multiLevelType w:val="hybridMultilevel"/>
    <w:lvl w:ilvl="0">
      <w:lvlJc w:val="left"/>
      <w:lvlText w:val="(%1)"/>
      <w:numFmt w:val="lowerLetter"/>
      <w:start w:val="1"/>
    </w:lvl>
  </w:abstractNum>
  <w:abstractNum w:abstractNumId="775">
    <w:nsid w:val="2D0869EF"/>
    <w:multiLevelType w:val="hybridMultilevel"/>
    <w:lvl w:ilvl="0">
      <w:lvlJc w:val="left"/>
      <w:lvlText w:val="(%1)"/>
      <w:numFmt w:val="lowerLetter"/>
      <w:start w:val="3"/>
    </w:lvl>
  </w:abstractNum>
  <w:abstractNum w:abstractNumId="776">
    <w:nsid w:val="46ECA72A"/>
    <w:multiLevelType w:val="hybridMultilevel"/>
    <w:lvl w:ilvl="0">
      <w:lvlJc w:val="left"/>
      <w:lvlText w:val="(%1)"/>
      <w:numFmt w:val="lowerLetter"/>
      <w:start w:val="1"/>
    </w:lvl>
  </w:abstractNum>
  <w:abstractNum w:abstractNumId="777">
    <w:nsid w:val="2A4BBBE0"/>
    <w:multiLevelType w:val="hybridMultilevel"/>
    <w:lvl w:ilvl="0">
      <w:lvlJc w:val="left"/>
      <w:lvlText w:val="(%1)"/>
      <w:numFmt w:val="lowerLetter"/>
      <w:start w:val="1"/>
    </w:lvl>
    <w:lvl w:ilvl="1">
      <w:lvlJc w:val="left"/>
      <w:lvlText w:val="(%2)"/>
      <w:numFmt w:val="lowerRoman"/>
      <w:start w:val="1"/>
    </w:lvl>
  </w:abstractNum>
  <w:abstractNum w:abstractNumId="778">
    <w:nsid w:val="3E11D757"/>
    <w:multiLevelType w:val="hybridMultilevel"/>
    <w:lvl w:ilvl="0">
      <w:lvlJc w:val="left"/>
      <w:lvlText w:val="(%1)"/>
      <w:numFmt w:val="lowerLetter"/>
      <w:start w:val="1"/>
    </w:lvl>
  </w:abstractNum>
  <w:abstractNum w:abstractNumId="779">
    <w:nsid w:val="357F4A69"/>
    <w:multiLevelType w:val="hybridMultilevel"/>
    <w:lvl w:ilvl="0">
      <w:lvlJc w:val="left"/>
      <w:lvlText w:val="(%1)"/>
      <w:numFmt w:val="lowerLetter"/>
      <w:start w:val="2"/>
    </w:lvl>
    <w:lvl w:ilvl="1">
      <w:lvlJc w:val="left"/>
      <w:lvlText w:val="(%2)"/>
      <w:numFmt w:val="lowerRoman"/>
      <w:start w:val="1"/>
    </w:lvl>
  </w:abstractNum>
  <w:abstractNum w:abstractNumId="780">
    <w:nsid w:val="5D603510"/>
    <w:multiLevelType w:val="hybridMultilevel"/>
    <w:lvl w:ilvl="0">
      <w:lvlJc w:val="left"/>
      <w:lvlText w:val="(%1)"/>
      <w:numFmt w:val="lowerLetter"/>
      <w:start w:val="6"/>
    </w:lvl>
  </w:abstractNum>
  <w:abstractNum w:abstractNumId="781">
    <w:nsid w:val="2600995"/>
    <w:multiLevelType w:val="hybridMultilevel"/>
    <w:lvl w:ilvl="0">
      <w:lvlJc w:val="left"/>
      <w:lvlText w:val="(%1)"/>
      <w:numFmt w:val="lowerLetter"/>
      <w:start w:val="1"/>
    </w:lvl>
  </w:abstractNum>
  <w:abstractNum w:abstractNumId="782">
    <w:nsid w:val="23E1696"/>
    <w:multiLevelType w:val="hybridMultilevel"/>
    <w:lvl w:ilvl="0">
      <w:lvlJc w:val="left"/>
      <w:lvlText w:val="(%1)"/>
      <w:numFmt w:val="lowerLetter"/>
      <w:start w:val="1"/>
    </w:lvl>
  </w:abstractNum>
  <w:abstractNum w:abstractNumId="783">
    <w:nsid w:val="1A22C17E"/>
    <w:multiLevelType w:val="hybridMultilevel"/>
    <w:lvl w:ilvl="0">
      <w:lvlJc w:val="left"/>
      <w:lvlText w:val="(%1)"/>
      <w:numFmt w:val="lowerLetter"/>
      <w:start w:val="2"/>
    </w:lvl>
  </w:abstractNum>
  <w:abstractNum w:abstractNumId="784">
    <w:nsid w:val="6B2BB8C2"/>
    <w:multiLevelType w:val="hybridMultilevel"/>
    <w:lvl w:ilvl="0">
      <w:lvlJc w:val="left"/>
      <w:lvlText w:val="(%1)"/>
      <w:numFmt w:val="lowerLetter"/>
      <w:start w:val="1"/>
    </w:lvl>
    <w:lvl w:ilvl="1">
      <w:lvlJc w:val="left"/>
      <w:lvlText w:val="(%2)"/>
      <w:numFmt w:val="lowerRoman"/>
      <w:start w:val="1"/>
    </w:lvl>
  </w:abstractNum>
  <w:abstractNum w:abstractNumId="785">
    <w:nsid w:val="12D2EEE5"/>
    <w:multiLevelType w:val="hybridMultilevel"/>
    <w:lvl w:ilvl="0">
      <w:lvlJc w:val="left"/>
      <w:lvlText w:val="(%1)"/>
      <w:numFmt w:val="lowerLetter"/>
      <w:start w:val="2"/>
    </w:lvl>
    <w:lvl w:ilvl="1">
      <w:lvlJc w:val="left"/>
      <w:lvlText w:val="(%2)"/>
      <w:numFmt w:val="lowerRoman"/>
      <w:start w:val="1"/>
    </w:lvl>
  </w:abstractNum>
  <w:abstractNum w:abstractNumId="786">
    <w:nsid w:val="6CC2B66A"/>
    <w:multiLevelType w:val="hybridMultilevel"/>
    <w:lvl w:ilvl="0">
      <w:lvlJc w:val="left"/>
      <w:lvlText w:val="(%1)"/>
      <w:numFmt w:val="lowerLetter"/>
      <w:start w:val="4"/>
    </w:lvl>
  </w:abstractNum>
  <w:abstractNum w:abstractNumId="787">
    <w:nsid w:val="60CD4385"/>
    <w:multiLevelType w:val="hybridMultilevel"/>
    <w:lvl w:ilvl="0">
      <w:lvlJc w:val="left"/>
      <w:lvlText w:val="(%1)"/>
      <w:numFmt w:val="lowerLetter"/>
      <w:start w:val="1"/>
    </w:lvl>
    <w:lvl w:ilvl="1">
      <w:lvlJc w:val="left"/>
      <w:lvlText w:val="(%2)"/>
      <w:numFmt w:val="lowerRoman"/>
      <w:start w:val="1"/>
    </w:lvl>
  </w:abstractNum>
  <w:abstractNum w:abstractNumId="788">
    <w:nsid w:val="58BE66CD"/>
    <w:multiLevelType w:val="hybridMultilevel"/>
    <w:lvl w:ilvl="0">
      <w:lvlJc w:val="left"/>
      <w:lvlText w:val="(%1)"/>
      <w:numFmt w:val="lowerLetter"/>
      <w:start w:val="2"/>
    </w:lvl>
  </w:abstractNum>
  <w:abstractNum w:abstractNumId="789">
    <w:nsid w:val="335E9E8D"/>
    <w:multiLevelType w:val="hybridMultilevel"/>
    <w:lvl w:ilvl="0">
      <w:lvlJc w:val="left"/>
      <w:lvlText w:val="(%1)"/>
      <w:numFmt w:val="lowerLetter"/>
      <w:start w:val="1"/>
    </w:lvl>
  </w:abstractNum>
  <w:abstractNum w:abstractNumId="790">
    <w:nsid w:val="425C189B"/>
    <w:multiLevelType w:val="hybridMultilevel"/>
    <w:lvl w:ilvl="0">
      <w:lvlJc w:val="left"/>
      <w:lvlText w:val="%1"/>
      <w:numFmt w:val="decimal"/>
      <w:start w:val="23"/>
    </w:lvl>
  </w:abstractNum>
  <w:abstractNum w:abstractNumId="791">
    <w:nsid w:val="3128443A"/>
    <w:multiLevelType w:val="hybridMultilevel"/>
    <w:lvl w:ilvl="0">
      <w:lvlJc w:val="left"/>
      <w:lvlText w:val="(%1)"/>
      <w:numFmt w:val="lowerLetter"/>
      <w:start w:val="1"/>
    </w:lvl>
    <w:lvl w:ilvl="1">
      <w:lvlJc w:val="left"/>
      <w:lvlText w:val="(%2)"/>
      <w:numFmt w:val="lowerRoman"/>
      <w:start w:val="1"/>
    </w:lvl>
  </w:abstractNum>
  <w:abstractNum w:abstractNumId="792">
    <w:nsid w:val="4B85829E"/>
    <w:multiLevelType w:val="hybridMultilevel"/>
    <w:lvl w:ilvl="0">
      <w:lvlJc w:val="left"/>
      <w:lvlText w:val="(%1)"/>
      <w:numFmt w:val="lowerLetter"/>
      <w:start w:val="1"/>
    </w:lvl>
  </w:abstractNum>
  <w:abstractNum w:abstractNumId="793">
    <w:nsid w:val="63603A2C"/>
    <w:multiLevelType w:val="hybridMultilevel"/>
    <w:lvl w:ilvl="0">
      <w:lvlJc w:val="left"/>
      <w:lvlText w:val="(%1)"/>
      <w:numFmt w:val="lowerLetter"/>
      <w:start w:val="1"/>
    </w:lvl>
  </w:abstractNum>
  <w:abstractNum w:abstractNumId="794">
    <w:nsid w:val="6AA1C37E"/>
    <w:multiLevelType w:val="hybridMultilevel"/>
    <w:lvl w:ilvl="0">
      <w:lvlJc w:val="left"/>
      <w:lvlText w:val="(%1)"/>
      <w:numFmt w:val="lowerLetter"/>
      <w:start w:val="1"/>
    </w:lvl>
    <w:lvl w:ilvl="1">
      <w:lvlJc w:val="left"/>
      <w:lvlText w:val="(%2)"/>
      <w:numFmt w:val="lowerRoman"/>
      <w:start w:val="1"/>
    </w:lvl>
  </w:abstractNum>
  <w:abstractNum w:abstractNumId="795">
    <w:nsid w:val="33F518DB"/>
    <w:multiLevelType w:val="hybridMultilevel"/>
    <w:lvl w:ilvl="0">
      <w:lvlJc w:val="left"/>
      <w:lvlText w:val="(%1)"/>
      <w:numFmt w:val="lowerLetter"/>
      <w:start w:val="1"/>
    </w:lvl>
  </w:abstractNum>
  <w:abstractNum w:abstractNumId="796">
    <w:nsid w:val="29D6CF99"/>
    <w:multiLevelType w:val="hybridMultilevel"/>
    <w:lvl w:ilvl="0">
      <w:lvlJc w:val="left"/>
      <w:lvlText w:val="(%1)"/>
      <w:numFmt w:val="lowerLetter"/>
      <w:start w:val="1"/>
    </w:lvl>
    <w:lvl w:ilvl="1">
      <w:lvlJc w:val="left"/>
      <w:lvlText w:val="(%2)"/>
      <w:numFmt w:val="lowerRoman"/>
      <w:start w:val="1"/>
    </w:lvl>
  </w:abstractNum>
  <w:abstractNum w:abstractNumId="797">
    <w:nsid w:val="5F346FC0"/>
    <w:multiLevelType w:val="hybridMultilevel"/>
    <w:lvl w:ilvl="0">
      <w:lvlJc w:val="left"/>
      <w:lvlText w:val="(%1)"/>
      <w:numFmt w:val="lowerLetter"/>
      <w:start w:val="3"/>
    </w:lvl>
  </w:abstractNum>
  <w:abstractNum w:abstractNumId="798">
    <w:nsid w:val="436C953A"/>
    <w:multiLevelType w:val="hybridMultilevel"/>
    <w:lvl w:ilvl="0">
      <w:lvlJc w:val="left"/>
      <w:lvlText w:val="(%1)"/>
      <w:numFmt w:val="lowerLetter"/>
      <w:start w:val="1"/>
    </w:lvl>
  </w:abstractNum>
  <w:abstractNum w:abstractNumId="799">
    <w:nsid w:val="1FA1091"/>
    <w:multiLevelType w:val="hybridMultilevel"/>
    <w:lvl w:ilvl="0">
      <w:lvlJc w:val="left"/>
      <w:lvlText w:val="(%1)"/>
      <w:numFmt w:val="lowerLetter"/>
      <w:start w:val="1"/>
    </w:lvl>
  </w:abstractNum>
  <w:abstractNum w:abstractNumId="800">
    <w:nsid w:val="784DF0C8"/>
    <w:multiLevelType w:val="hybridMultilevel"/>
    <w:lvl w:ilvl="0">
      <w:lvlJc w:val="left"/>
      <w:lvlText w:val="(%1)"/>
      <w:numFmt w:val="lowerLetter"/>
      <w:start w:val="1"/>
    </w:lvl>
  </w:abstractNum>
  <w:abstractNum w:abstractNumId="801">
    <w:nsid w:val="6C7BA46C"/>
    <w:multiLevelType w:val="hybridMultilevel"/>
    <w:lvl w:ilvl="0">
      <w:lvlJc w:val="left"/>
      <w:lvlText w:val="(%1)"/>
      <w:numFmt w:val="lowerLetter"/>
      <w:start w:val="3"/>
    </w:lvl>
  </w:abstractNum>
  <w:abstractNum w:abstractNumId="802">
    <w:nsid w:val="7AC3AA45"/>
    <w:multiLevelType w:val="hybridMultilevel"/>
    <w:lvl w:ilvl="0">
      <w:lvlJc w:val="left"/>
      <w:lvlText w:val="(%1)"/>
      <w:numFmt w:val="lowerLetter"/>
      <w:start w:val="1"/>
    </w:lvl>
  </w:abstractNum>
  <w:abstractNum w:abstractNumId="803">
    <w:nsid w:val="5B33EE61"/>
    <w:multiLevelType w:val="hybridMultilevel"/>
    <w:lvl w:ilvl="0">
      <w:lvlJc w:val="left"/>
      <w:lvlText w:val="(%1)"/>
      <w:numFmt w:val="lowerLetter"/>
      <w:start w:val="1"/>
    </w:lvl>
    <w:lvl w:ilvl="1">
      <w:lvlJc w:val="left"/>
      <w:lvlText w:val="(%2)"/>
      <w:numFmt w:val="lowerRoman"/>
      <w:start w:val="1"/>
    </w:lvl>
  </w:abstractNum>
  <w:abstractNum w:abstractNumId="804">
    <w:nsid w:val="787CE04F"/>
    <w:multiLevelType w:val="hybridMultilevel"/>
    <w:lvl w:ilvl="0">
      <w:lvlJc w:val="left"/>
      <w:lvlText w:val="(%1)"/>
      <w:numFmt w:val="lowerLetter"/>
      <w:start w:val="1"/>
    </w:lvl>
  </w:abstractNum>
  <w:abstractNum w:abstractNumId="805">
    <w:nsid w:val="715079"/>
    <w:multiLevelType w:val="hybridMultilevel"/>
    <w:lvl w:ilvl="0">
      <w:lvlJc w:val="left"/>
      <w:lvlText w:val="(%1)"/>
      <w:numFmt w:val="lowerLetter"/>
      <w:start w:val="1"/>
    </w:lvl>
    <w:lvl w:ilvl="1">
      <w:lvlJc w:val="left"/>
      <w:lvlText w:val="(%2)"/>
      <w:numFmt w:val="lowerRoman"/>
      <w:start w:val="1"/>
    </w:lvl>
  </w:abstractNum>
  <w:abstractNum w:abstractNumId="806">
    <w:nsid w:val="83C5851"/>
    <w:multiLevelType w:val="hybridMultilevel"/>
    <w:lvl w:ilvl="0">
      <w:lvlJc w:val="left"/>
      <w:lvlText w:val="(%1)"/>
      <w:numFmt w:val="lowerRoman"/>
      <w:start w:val="1"/>
    </w:lvl>
  </w:abstractNum>
  <w:abstractNum w:abstractNumId="807">
    <w:nsid w:val="3F698779"/>
    <w:multiLevelType w:val="hybridMultilevel"/>
    <w:lvl w:ilvl="0">
      <w:lvlJc w:val="left"/>
      <w:lvlText w:val="%1"/>
      <w:numFmt w:val="lowerLetter"/>
      <w:start w:val="1"/>
    </w:lvl>
    <w:lvl w:ilvl="1">
      <w:lvlJc w:val="left"/>
      <w:lvlText w:val="(%2)"/>
      <w:numFmt w:val="lowerLetter"/>
      <w:start w:val="35"/>
    </w:lvl>
  </w:abstractNum>
  <w:abstractNum w:abstractNumId="808">
    <w:nsid w:val="2ABD0C5A"/>
    <w:multiLevelType w:val="hybridMultilevel"/>
    <w:lvl w:ilvl="0">
      <w:lvlJc w:val="left"/>
      <w:lvlText w:val="(%1)"/>
      <w:numFmt w:val="lowerLetter"/>
      <w:start w:val="5"/>
    </w:lvl>
    <w:lvl w:ilvl="1">
      <w:lvlJc w:val="left"/>
      <w:lvlText w:val="(%2)"/>
      <w:numFmt w:val="lowerLetter"/>
      <w:start w:val="1"/>
    </w:lvl>
  </w:abstractNum>
  <w:abstractNum w:abstractNumId="809">
    <w:nsid w:val="464E2FA8"/>
    <w:multiLevelType w:val="hybridMultilevel"/>
    <w:lvl w:ilvl="0">
      <w:lvlJc w:val="left"/>
      <w:lvlText w:val="(%1)"/>
      <w:numFmt w:val="lowerLetter"/>
      <w:start w:val="1"/>
    </w:lvl>
  </w:abstractNum>
  <w:abstractNum w:abstractNumId="810">
    <w:nsid w:val="74E8D1E3"/>
    <w:multiLevelType w:val="hybridMultilevel"/>
    <w:lvl w:ilvl="0">
      <w:lvlJc w:val="left"/>
      <w:lvlText w:val="(%1)"/>
      <w:numFmt w:val="lowerLetter"/>
      <w:start w:val="5"/>
    </w:lvl>
  </w:abstractNum>
  <w:abstractNum w:abstractNumId="811">
    <w:nsid w:val="81D416A"/>
    <w:multiLevelType w:val="hybridMultilevel"/>
    <w:lvl w:ilvl="0">
      <w:lvlJc w:val="left"/>
      <w:lvlText w:val="(%1)"/>
      <w:numFmt w:val="lowerLetter"/>
      <w:start w:val="1"/>
    </w:lvl>
    <w:lvl w:ilvl="1">
      <w:lvlJc w:val="left"/>
      <w:lvlText w:val="(%2)"/>
      <w:numFmt w:val="lowerRoman"/>
      <w:start w:val="1"/>
    </w:lvl>
  </w:abstractNum>
  <w:abstractNum w:abstractNumId="812">
    <w:nsid w:val="48AE393E"/>
    <w:multiLevelType w:val="hybridMultilevel"/>
    <w:lvl w:ilvl="0">
      <w:lvlJc w:val="left"/>
      <w:lvlText w:val="(%1)"/>
      <w:numFmt w:val="lowerLetter"/>
      <w:start w:val="3"/>
    </w:lvl>
    <w:lvl w:ilvl="1">
      <w:lvlJc w:val="left"/>
      <w:lvlText w:val="(%2)"/>
      <w:numFmt w:val="lowerRoman"/>
      <w:start w:val="1"/>
    </w:lvl>
  </w:abstractNum>
  <w:abstractNum w:abstractNumId="813">
    <w:nsid w:val="7726E879"/>
    <w:multiLevelType w:val="hybridMultilevel"/>
    <w:lvl w:ilvl="0">
      <w:lvlJc w:val="left"/>
      <w:lvlText w:val="(%1)"/>
      <w:numFmt w:val="lowerLetter"/>
      <w:start w:val="1"/>
    </w:lvl>
    <w:lvl w:ilvl="1">
      <w:lvlJc w:val="left"/>
      <w:lvlText w:val="(%2)"/>
      <w:numFmt w:val="lowerRoman"/>
      <w:start w:val="1"/>
    </w:lvl>
  </w:abstractNum>
  <w:abstractNum w:abstractNumId="814">
    <w:nsid w:val="224002E8"/>
    <w:multiLevelType w:val="hybridMultilevel"/>
    <w:lvl w:ilvl="0">
      <w:lvlJc w:val="left"/>
      <w:lvlText w:val="%1"/>
      <w:numFmt w:val="decimal"/>
      <w:start w:val="24"/>
    </w:lvl>
  </w:abstractNum>
  <w:abstractNum w:abstractNumId="815">
    <w:nsid w:val="33D9F200"/>
    <w:multiLevelType w:val="hybridMultilevel"/>
    <w:lvl w:ilvl="0">
      <w:lvlJc w:val="left"/>
      <w:lvlText w:val="(%1)"/>
      <w:numFmt w:val="lowerLetter"/>
      <w:start w:val="1"/>
    </w:lvl>
  </w:abstractNum>
  <w:abstractNum w:abstractNumId="816">
    <w:nsid w:val="9F9D75E"/>
    <w:multiLevelType w:val="hybridMultilevel"/>
    <w:lvl w:ilvl="0">
      <w:lvlJc w:val="left"/>
      <w:lvlText w:val="(%1)"/>
      <w:numFmt w:val="lowerLetter"/>
      <w:start w:val="2"/>
    </w:lvl>
  </w:abstractNum>
  <w:abstractNum w:abstractNumId="817">
    <w:nsid w:val="F02B95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8">
    <w:nsid w:val="14A7358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9">
    <w:nsid w:val="62B83E2B"/>
    <w:multiLevelType w:val="hybridMultilevel"/>
    <w:lvl w:ilvl="0">
      <w:lvlJc w:val="left"/>
      <w:lvlText w:val="%1"/>
      <w:numFmt w:val="lowerRoman"/>
      <w:start w:val="1"/>
    </w:lvl>
    <w:lvl w:ilvl="1">
      <w:lvlJc w:val="left"/>
      <w:lvlText w:val="(%2)"/>
      <w:numFmt w:val="upperLetter"/>
      <w:start w:val="2"/>
    </w:lvl>
  </w:abstractNum>
  <w:abstractNum w:abstractNumId="820">
    <w:nsid w:val="426157DF"/>
    <w:multiLevelType w:val="hybridMultilevel"/>
    <w:lvl w:ilvl="0">
      <w:lvlJc w:val="left"/>
      <w:lvlText w:val="(%1)"/>
      <w:numFmt w:val="lowerRoman"/>
      <w:start w:val="2"/>
    </w:lvl>
    <w:lvl w:ilvl="1">
      <w:lvlJc w:val="left"/>
      <w:lvlText w:val="%2"/>
      <w:numFmt w:val="upperLetter"/>
      <w:start w:val="1"/>
    </w:lvl>
  </w:abstractNum>
  <w:abstractNum w:abstractNumId="821">
    <w:nsid w:val="57034E20"/>
    <w:multiLevelType w:val="hybridMultilevel"/>
    <w:lvl w:ilvl="0">
      <w:lvlJc w:val="left"/>
      <w:lvlText w:val="(%1)"/>
      <w:numFmt w:val="lowerLetter"/>
      <w:start w:val="2"/>
    </w:lvl>
  </w:abstractNum>
  <w:abstractNum w:abstractNumId="822">
    <w:nsid w:val="13E08266"/>
    <w:multiLevelType w:val="hybridMultilevel"/>
    <w:lvl w:ilvl="0">
      <w:lvlJc w:val="left"/>
      <w:lvlText w:val="(%1)"/>
      <w:numFmt w:val="lowerLetter"/>
      <w:start w:val="1"/>
    </w:lvl>
    <w:lvl w:ilvl="1">
      <w:lvlJc w:val="left"/>
      <w:lvlText w:val="(%2)"/>
      <w:numFmt w:val="lowerRoman"/>
      <w:start w:val="1"/>
    </w:lvl>
  </w:abstractNum>
  <w:abstractNum w:abstractNumId="823">
    <w:nsid w:val="DE6DA7D"/>
    <w:multiLevelType w:val="hybridMultilevel"/>
    <w:lvl w:ilvl="0">
      <w:lvlJc w:val="left"/>
      <w:lvlText w:val="(%1)"/>
      <w:numFmt w:val="lowerLetter"/>
      <w:start w:val="1"/>
    </w:lvl>
    <w:lvl w:ilvl="1">
      <w:lvlJc w:val="left"/>
      <w:lvlText w:val="(%2)"/>
      <w:numFmt w:val="lowerRoman"/>
      <w:start w:val="1"/>
    </w:lvl>
  </w:abstractNum>
  <w:abstractNum w:abstractNumId="824">
    <w:nsid w:val="3A63884D"/>
    <w:multiLevelType w:val="hybridMultilevel"/>
    <w:lvl w:ilvl="0">
      <w:lvlJc w:val="left"/>
      <w:lvlText w:val="(%1)"/>
      <w:numFmt w:val="lowerLetter"/>
      <w:start w:val="1"/>
    </w:lvl>
  </w:abstractNum>
  <w:abstractNum w:abstractNumId="825">
    <w:nsid w:val="7E8245E4"/>
    <w:multiLevelType w:val="hybridMultilevel"/>
    <w:lvl w:ilvl="0">
      <w:lvlJc w:val="left"/>
      <w:lvlText w:val="(%1)"/>
      <w:numFmt w:val="lowerLetter"/>
      <w:start w:val="3"/>
    </w:lvl>
  </w:abstractNum>
  <w:abstractNum w:abstractNumId="826">
    <w:nsid w:val="41DBF358"/>
    <w:multiLevelType w:val="hybridMultilevel"/>
    <w:lvl w:ilvl="0">
      <w:lvlJc w:val="left"/>
      <w:lvlText w:val="(%1)"/>
      <w:numFmt w:val="lowerLetter"/>
      <w:start w:val="1"/>
    </w:lvl>
    <w:lvl w:ilvl="1">
      <w:lvlJc w:val="left"/>
      <w:lvlText w:val="(%2)"/>
      <w:numFmt w:val="lowerRoman"/>
      <w:start w:val="1"/>
    </w:lvl>
  </w:abstractNum>
  <w:abstractNum w:abstractNumId="827">
    <w:nsid w:val="643A57E6"/>
    <w:multiLevelType w:val="hybridMultilevel"/>
    <w:lvl w:ilvl="0">
      <w:lvlJc w:val="left"/>
      <w:lvlText w:val="(%1)"/>
      <w:numFmt w:val="lowerLetter"/>
      <w:start w:val="1"/>
    </w:lvl>
  </w:abstractNum>
  <w:abstractNum w:abstractNumId="828">
    <w:nsid w:val="5DB6B5A4"/>
    <w:multiLevelType w:val="hybridMultilevel"/>
    <w:lvl w:ilvl="0">
      <w:lvlJc w:val="left"/>
      <w:lvlText w:val="(%1)"/>
      <w:numFmt w:val="lowerLetter"/>
      <w:start w:val="1"/>
    </w:lvl>
    <w:lvl w:ilvl="1">
      <w:lvlJc w:val="left"/>
      <w:lvlText w:val="(%2)"/>
      <w:numFmt w:val="lowerRoman"/>
      <w:start w:val="1"/>
    </w:lvl>
  </w:abstractNum>
  <w:abstractNum w:abstractNumId="829">
    <w:nsid w:val="5488892"/>
    <w:multiLevelType w:val="hybridMultilevel"/>
    <w:lvl w:ilvl="0">
      <w:lvlJc w:val="left"/>
      <w:lvlText w:val="(%1)"/>
      <w:numFmt w:val="lowerLetter"/>
      <w:start w:val="1"/>
    </w:lvl>
  </w:abstractNum>
  <w:abstractNum w:abstractNumId="830">
    <w:nsid w:val="66346877"/>
    <w:multiLevelType w:val="hybridMultilevel"/>
    <w:lvl w:ilvl="0">
      <w:lvlJc w:val="left"/>
      <w:lvlText w:val="(%1)"/>
      <w:numFmt w:val="lowerLetter"/>
      <w:start w:val="1"/>
    </w:lvl>
  </w:abstractNum>
  <w:abstractNum w:abstractNumId="831">
    <w:nsid w:val="5604A66D"/>
    <w:multiLevelType w:val="hybridMultilevel"/>
    <w:lvl w:ilvl="0">
      <w:lvlJc w:val="left"/>
      <w:lvlText w:val="%1"/>
      <w:numFmt w:val="decimal"/>
      <w:start w:val="25"/>
    </w:lvl>
  </w:abstractNum>
  <w:abstractNum w:abstractNumId="832">
    <w:nsid w:val="71C42CFF"/>
    <w:multiLevelType w:val="hybridMultilevel"/>
    <w:lvl w:ilvl="0">
      <w:lvlJc w:val="left"/>
      <w:lvlText w:val="(%1)"/>
      <w:numFmt w:val="lowerLetter"/>
      <w:start w:val="1"/>
    </w:lvl>
  </w:abstractNum>
  <w:abstractNum w:abstractNumId="833">
    <w:nsid w:val="60F812BD"/>
    <w:multiLevelType w:val="hybridMultilevel"/>
    <w:lvl w:ilvl="0">
      <w:lvlJc w:val="left"/>
      <w:lvlText w:val="%1"/>
      <w:numFmt w:val="decimal"/>
      <w:start w:val="26"/>
    </w:lvl>
  </w:abstractNum>
  <w:abstractNum w:abstractNumId="834">
    <w:nsid w:val="313894CE"/>
    <w:multiLevelType w:val="hybridMultilevel"/>
    <w:lvl w:ilvl="0">
      <w:lvlJc w:val="left"/>
      <w:lvlText w:val="(%1)"/>
      <w:numFmt w:val="lowerLetter"/>
      <w:start w:val="1"/>
    </w:lvl>
    <w:lvl w:ilvl="1">
      <w:lvlJc w:val="left"/>
      <w:lvlText w:val="(%2)"/>
      <w:numFmt w:val="lowerRoman"/>
      <w:start w:val="1"/>
    </w:lvl>
  </w:abstractNum>
  <w:abstractNum w:abstractNumId="835">
    <w:nsid w:val="6A410D4E"/>
    <w:multiLevelType w:val="hybridMultilevel"/>
    <w:lvl w:ilvl="0">
      <w:lvlJc w:val="left"/>
      <w:lvlText w:val="(%1)"/>
      <w:numFmt w:val="lowerLetter"/>
      <w:start w:val="1"/>
    </w:lvl>
  </w:abstractNum>
  <w:abstractNum w:abstractNumId="836">
    <w:nsid w:val="61696336"/>
    <w:multiLevelType w:val="hybridMultilevel"/>
    <w:lvl w:ilvl="0">
      <w:lvlJc w:val="left"/>
      <w:lvlText w:val="(%1)"/>
      <w:numFmt w:val="lowerLetter"/>
      <w:start w:val="1"/>
    </w:lvl>
    <w:lvl w:ilvl="1">
      <w:lvlJc w:val="left"/>
      <w:lvlText w:val="(%2)"/>
      <w:numFmt w:val="lowerRoman"/>
      <w:start w:val="1"/>
    </w:lvl>
  </w:abstractNum>
  <w:abstractNum w:abstractNumId="837">
    <w:nsid w:val="3974ED1F"/>
    <w:multiLevelType w:val="hybridMultilevel"/>
    <w:lvl w:ilvl="0">
      <w:lvlJc w:val="left"/>
      <w:lvlText w:val="(%1)"/>
      <w:numFmt w:val="lowerLetter"/>
      <w:start w:val="1"/>
    </w:lvl>
    <w:lvl w:ilvl="1">
      <w:lvlJc w:val="left"/>
      <w:lvlText w:val="(%2)"/>
      <w:numFmt w:val="lowerRoman"/>
      <w:start w:val="1"/>
    </w:lvl>
  </w:abstractNum>
  <w:abstractNum w:abstractNumId="838">
    <w:nsid w:val="29AA94C7"/>
    <w:multiLevelType w:val="hybridMultilevel"/>
    <w:lvl w:ilvl="0">
      <w:lvlJc w:val="left"/>
      <w:lvlText w:val="(%1)"/>
      <w:numFmt w:val="lowerLetter"/>
      <w:start w:val="2"/>
    </w:lvl>
  </w:abstractNum>
  <w:abstractNum w:abstractNumId="839">
    <w:nsid w:val="C266F90"/>
    <w:multiLevelType w:val="hybridMultilevel"/>
    <w:lvl w:ilvl="0">
      <w:lvlJc w:val="left"/>
      <w:lvlText w:val="(%1)"/>
      <w:numFmt w:val="lowerLetter"/>
      <w:start w:val="1"/>
    </w:lvl>
    <w:lvl w:ilvl="1">
      <w:lvlJc w:val="left"/>
      <w:lvlText w:val="(%2)"/>
      <w:numFmt w:val="lowerRoman"/>
      <w:start w:val="1"/>
    </w:lvl>
  </w:abstractNum>
  <w:abstractNum w:abstractNumId="840">
    <w:nsid w:val="7FC31CC8"/>
    <w:multiLevelType w:val="hybridMultilevel"/>
    <w:lvl w:ilvl="0">
      <w:lvlJc w:val="left"/>
      <w:lvlText w:val="(%1)"/>
      <w:numFmt w:val="lowerLetter"/>
      <w:start w:val="1"/>
    </w:lvl>
    <w:lvl w:ilvl="1">
      <w:lvlJc w:val="left"/>
      <w:lvlText w:val="(%2)"/>
      <w:numFmt w:val="lowerRoman"/>
      <w:start w:val="1"/>
    </w:lvl>
  </w:abstractNum>
  <w:abstractNum w:abstractNumId="841">
    <w:nsid w:val="1E9366AA"/>
    <w:multiLevelType w:val="hybridMultilevel"/>
    <w:lvl w:ilvl="0">
      <w:lvlJc w:val="left"/>
      <w:lvlText w:val="(%1)"/>
      <w:numFmt w:val="lowerLetter"/>
      <w:start w:val="2"/>
    </w:lvl>
  </w:abstractNum>
  <w:abstractNum w:abstractNumId="842">
    <w:nsid w:val="1443B0FA"/>
    <w:multiLevelType w:val="hybridMultilevel"/>
    <w:lvl w:ilvl="0">
      <w:lvlJc w:val="left"/>
      <w:lvlText w:val="(%1)"/>
      <w:numFmt w:val="lowerLetter"/>
      <w:start w:val="1"/>
    </w:lvl>
  </w:abstractNum>
  <w:abstractNum w:abstractNumId="843">
    <w:nsid w:val="48715606"/>
    <w:multiLevelType w:val="hybridMultilevel"/>
    <w:lvl w:ilvl="0">
      <w:lvlJc w:val="left"/>
      <w:lvlText w:val="(%1)"/>
      <w:numFmt w:val="lowerLetter"/>
      <w:start w:val="1"/>
    </w:lvl>
  </w:abstractNum>
  <w:abstractNum w:abstractNumId="844">
    <w:nsid w:val="15BA4F24"/>
    <w:multiLevelType w:val="hybridMultilevel"/>
    <w:lvl w:ilvl="0">
      <w:lvlJc w:val="left"/>
      <w:lvlText w:val="(%1)"/>
      <w:numFmt w:val="lowerLetter"/>
      <w:start w:val="1"/>
    </w:lvl>
  </w:abstractNum>
  <w:abstractNum w:abstractNumId="845">
    <w:nsid w:val="3683B3E2"/>
    <w:multiLevelType w:val="hybridMultilevel"/>
    <w:lvl w:ilvl="0">
      <w:lvlJc w:val="left"/>
      <w:lvlText w:val="(%1)"/>
      <w:numFmt w:val="lowerLetter"/>
      <w:start w:val="1"/>
    </w:lvl>
  </w:abstractNum>
  <w:abstractNum w:abstractNumId="846">
    <w:nsid w:val="7C4B4806"/>
    <w:multiLevelType w:val="hybridMultilevel"/>
    <w:lvl w:ilvl="0">
      <w:lvlJc w:val="left"/>
      <w:lvlText w:val="(%1)"/>
      <w:numFmt w:val="lowerLetter"/>
      <w:start w:val="1"/>
    </w:lvl>
  </w:abstractNum>
  <w:abstractNum w:abstractNumId="847">
    <w:nsid w:val="1FB42682"/>
    <w:multiLevelType w:val="hybridMultilevel"/>
    <w:lvl w:ilvl="0">
      <w:lvlJc w:val="left"/>
      <w:lvlText w:val="(%1)"/>
      <w:numFmt w:val="lowerLetter"/>
      <w:start w:val="6"/>
    </w:lvl>
  </w:abstractNum>
  <w:abstractNum w:abstractNumId="848">
    <w:nsid w:val="45866D35"/>
    <w:multiLevelType w:val="hybridMultilevel"/>
    <w:lvl w:ilvl="0">
      <w:lvlJc w:val="left"/>
      <w:lvlText w:val="(%1)"/>
      <w:numFmt w:val="lowerLetter"/>
      <w:start w:val="1"/>
    </w:lvl>
  </w:abstractNum>
  <w:abstractNum w:abstractNumId="849">
    <w:nsid w:val="10F27D8C"/>
    <w:multiLevelType w:val="hybridMultilevel"/>
    <w:lvl w:ilvl="0">
      <w:lvlJc w:val="left"/>
      <w:lvlText w:val="(%1)"/>
      <w:numFmt w:val="lowerLetter"/>
      <w:start w:val="1"/>
    </w:lvl>
  </w:abstractNum>
  <w:abstractNum w:abstractNumId="850">
    <w:nsid w:val="26C64AE"/>
    <w:multiLevelType w:val="hybridMultilevel"/>
    <w:lvl w:ilvl="0">
      <w:lvlJc w:val="left"/>
      <w:lvlText w:val="(%1)"/>
      <w:numFmt w:val="lowerLetter"/>
      <w:start w:val="2"/>
    </w:lvl>
    <w:lvl w:ilvl="1">
      <w:lvlJc w:val="left"/>
      <w:lvlText w:val="(%2)"/>
      <w:numFmt w:val="upperLetter"/>
      <w:start w:val="1"/>
    </w:lvl>
  </w:abstractNum>
  <w:abstractNum w:abstractNumId="851">
    <w:nsid w:val="7E7C514"/>
    <w:multiLevelType w:val="hybridMultilevel"/>
    <w:lvl w:ilvl="0">
      <w:lvlJc w:val="left"/>
      <w:lvlText w:val="(%1)"/>
      <w:numFmt w:val="lowerLetter"/>
      <w:start w:val="1"/>
    </w:lvl>
  </w:abstractNum>
  <w:abstractNum w:abstractNumId="852">
    <w:nsid w:val="67F5CBAC"/>
    <w:multiLevelType w:val="hybridMultilevel"/>
    <w:lvl w:ilvl="0">
      <w:lvlJc w:val="left"/>
      <w:lvlText w:val="%1"/>
      <w:numFmt w:val="decimal"/>
      <w:start w:val="28"/>
    </w:lvl>
  </w:abstractNum>
  <w:abstractNum w:abstractNumId="853">
    <w:nsid w:val="164CE714"/>
    <w:multiLevelType w:val="hybridMultilevel"/>
    <w:lvl w:ilvl="0">
      <w:lvlJc w:val="left"/>
      <w:lvlText w:val="(%1)"/>
      <w:numFmt w:val="lowerLetter"/>
      <w:start w:val="1"/>
    </w:lvl>
  </w:abstractNum>
  <w:abstractNum w:abstractNumId="854">
    <w:nsid w:val="15CE9F92"/>
    <w:multiLevelType w:val="hybridMultilevel"/>
    <w:lvl w:ilvl="0">
      <w:lvlJc w:val="left"/>
      <w:lvlText w:val="(%1)"/>
      <w:numFmt w:val="lowerLetter"/>
      <w:start w:val="3"/>
    </w:lvl>
  </w:abstractNum>
  <w:abstractNum w:abstractNumId="855">
    <w:nsid w:val="225953F9"/>
    <w:multiLevelType w:val="hybridMultilevel"/>
    <w:lvl w:ilvl="0">
      <w:lvlJc w:val="left"/>
      <w:lvlText w:val="(%1)"/>
      <w:numFmt w:val="lowerLetter"/>
      <w:start w:val="1"/>
    </w:lvl>
  </w:abstractNum>
  <w:abstractNum w:abstractNumId="856">
    <w:nsid w:val="14CF2CF8"/>
    <w:multiLevelType w:val="hybridMultilevel"/>
    <w:lvl w:ilvl="0">
      <w:lvlJc w:val="left"/>
      <w:lvlText w:val="(%1)"/>
      <w:numFmt w:val="lowerLetter"/>
      <w:start w:val="1"/>
    </w:lvl>
    <w:lvl w:ilvl="1">
      <w:lvlJc w:val="left"/>
      <w:lvlText w:val="(%2)"/>
      <w:numFmt w:val="lowerRoman"/>
      <w:start w:val="1"/>
    </w:lvl>
  </w:abstractNum>
  <w:abstractNum w:abstractNumId="857">
    <w:nsid w:val="57AA92EA"/>
    <w:multiLevelType w:val="hybridMultilevel"/>
    <w:lvl w:ilvl="0">
      <w:lvlJc w:val="left"/>
      <w:lvlText w:val="%1"/>
      <w:numFmt w:val="decimal"/>
      <w:start w:val="29"/>
    </w:lvl>
  </w:abstractNum>
  <w:abstractNum w:abstractNumId="858">
    <w:nsid w:val="693ABDF"/>
    <w:multiLevelType w:val="hybridMultilevel"/>
    <w:lvl w:ilvl="0">
      <w:lvlJc w:val="left"/>
      <w:lvlText w:val="(%1)"/>
      <w:numFmt w:val="lowerLetter"/>
      <w:start w:val="1"/>
    </w:lvl>
    <w:lvl w:ilvl="1">
      <w:lvlJc w:val="left"/>
      <w:lvlText w:val="(%2)"/>
      <w:numFmt w:val="lowerRoman"/>
      <w:start w:val="1"/>
    </w:lvl>
  </w:abstractNum>
  <w:abstractNum w:abstractNumId="859">
    <w:nsid w:val="7285E29D"/>
    <w:multiLevelType w:val="hybridMultilevel"/>
    <w:lvl w:ilvl="0">
      <w:lvlJc w:val="left"/>
      <w:lvlText w:val="(%1)"/>
      <w:numFmt w:val="lowerLetter"/>
      <w:start w:val="1"/>
    </w:lvl>
  </w:abstractNum>
  <w:abstractNum w:abstractNumId="860">
    <w:nsid w:val="5CF31B7D"/>
    <w:multiLevelType w:val="hybridMultilevel"/>
    <w:lvl w:ilvl="0">
      <w:lvlJc w:val="left"/>
      <w:lvlText w:val="(%1)"/>
      <w:numFmt w:val="lowerLetter"/>
      <w:start w:val="1"/>
    </w:lvl>
  </w:abstractNum>
  <w:abstractNum w:abstractNumId="861">
    <w:nsid w:val="6CC81457"/>
    <w:multiLevelType w:val="hybridMultilevel"/>
    <w:lvl w:ilvl="0">
      <w:lvlJc w:val="left"/>
      <w:lvlText w:val="(%1)"/>
      <w:numFmt w:val="lowerLetter"/>
      <w:start w:val="1"/>
    </w:lvl>
    <w:lvl w:ilvl="1">
      <w:lvlJc w:val="left"/>
      <w:lvlText w:val="(%2)"/>
      <w:numFmt w:val="lowerRoman"/>
      <w:start w:val="1"/>
    </w:lvl>
  </w:abstractNum>
  <w:abstractNum w:abstractNumId="862">
    <w:nsid w:val="488A890A"/>
    <w:multiLevelType w:val="hybridMultilevel"/>
    <w:lvl w:ilvl="0">
      <w:lvlJc w:val="left"/>
      <w:lvlText w:val="(%1)"/>
      <w:numFmt w:val="lowerLetter"/>
      <w:start w:val="2"/>
    </w:lvl>
  </w:abstractNum>
  <w:abstractNum w:abstractNumId="863">
    <w:nsid w:val="4EB7487C"/>
    <w:multiLevelType w:val="hybridMultilevel"/>
    <w:lvl w:ilvl="0">
      <w:lvlJc w:val="left"/>
      <w:lvlText w:val="(%1)"/>
      <w:numFmt w:val="lowerLetter"/>
      <w:start w:val="1"/>
    </w:lvl>
    <w:lvl w:ilvl="1">
      <w:lvlJc w:val="left"/>
      <w:lvlText w:val="(%2)"/>
      <w:numFmt w:val="lowerRoman"/>
      <w:start w:val="1"/>
    </w:lvl>
  </w:abstractNum>
  <w:abstractNum w:abstractNumId="864">
    <w:nsid w:val="4DC02714"/>
    <w:multiLevelType w:val="hybridMultilevel"/>
    <w:lvl w:ilvl="0">
      <w:lvlJc w:val="left"/>
      <w:lvlText w:val="(%1)"/>
      <w:numFmt w:val="lowerLetter"/>
      <w:start w:val="2"/>
    </w:lvl>
  </w:abstractNum>
  <w:abstractNum w:abstractNumId="865">
    <w:nsid w:val="79C31DD8"/>
    <w:multiLevelType w:val="hybridMultilevel"/>
    <w:lvl w:ilvl="0">
      <w:lvlJc w:val="left"/>
      <w:lvlText w:val="(%1)"/>
      <w:numFmt w:val="lowerLetter"/>
      <w:start w:val="1"/>
    </w:lvl>
  </w:abstractNum>
  <w:abstractNum w:abstractNumId="866">
    <w:nsid w:val="38F855CA"/>
    <w:multiLevelType w:val="hybridMultilevel"/>
    <w:lvl w:ilvl="0">
      <w:lvlJc w:val="left"/>
      <w:lvlText w:val="(%1)"/>
      <w:numFmt w:val="lowerLetter"/>
      <w:start w:val="1"/>
    </w:lvl>
  </w:abstractNum>
  <w:abstractNum w:abstractNumId="867">
    <w:nsid w:val="2F298A4A"/>
    <w:multiLevelType w:val="hybridMultilevel"/>
    <w:lvl w:ilvl="0">
      <w:lvlJc w:val="left"/>
      <w:lvlText w:val="(%1)"/>
      <w:numFmt w:val="lowerLetter"/>
      <w:start w:val="1"/>
    </w:lvl>
  </w:abstractNum>
  <w:abstractNum w:abstractNumId="868">
    <w:nsid w:val="33380AF8"/>
    <w:multiLevelType w:val="hybridMultilevel"/>
    <w:lvl w:ilvl="0">
      <w:lvlJc w:val="left"/>
      <w:lvlText w:val="(%1)"/>
      <w:numFmt w:val="lowerLetter"/>
      <w:start w:val="1"/>
    </w:lvl>
    <w:lvl w:ilvl="1">
      <w:lvlJc w:val="left"/>
      <w:lvlText w:val="(%2)"/>
      <w:numFmt w:val="lowerRoman"/>
      <w:start w:val="1"/>
    </w:lvl>
  </w:abstractNum>
  <w:abstractNum w:abstractNumId="869">
    <w:nsid w:val="62A2EA91"/>
    <w:multiLevelType w:val="hybridMultilevel"/>
    <w:lvl w:ilvl="0">
      <w:lvlJc w:val="left"/>
      <w:lvlText w:val="%1"/>
      <w:numFmt w:val="lowerLetter"/>
      <w:start w:val="1"/>
    </w:lvl>
    <w:lvl w:ilvl="1">
      <w:lvlJc w:val="left"/>
      <w:lvlText w:val="(%2)"/>
      <w:numFmt w:val="lowerLetter"/>
      <w:start w:val="61"/>
    </w:lvl>
  </w:abstractNum>
  <w:abstractNum w:abstractNumId="870">
    <w:nsid w:val="3B4FF9DB"/>
    <w:multiLevelType w:val="hybridMultilevel"/>
    <w:lvl w:ilvl="0">
      <w:lvlJc w:val="left"/>
      <w:lvlText w:val="(%1)"/>
      <w:numFmt w:val="lowerLetter"/>
      <w:start w:val="2"/>
    </w:lvl>
    <w:lvl w:ilvl="1">
      <w:lvlJc w:val="left"/>
      <w:lvlText w:val="%2"/>
      <w:numFmt w:val="lowerLetter"/>
      <w:start w:val="1"/>
    </w:lvl>
  </w:abstractNum>
  <w:abstractNum w:abstractNumId="871">
    <w:nsid w:val="32FB27C0"/>
    <w:multiLevelType w:val="hybridMultilevel"/>
    <w:lvl w:ilvl="0">
      <w:lvlJc w:val="left"/>
      <w:lvlText w:val="(%1)"/>
      <w:numFmt w:val="lowerLetter"/>
      <w:start w:val="1"/>
    </w:lvl>
    <w:lvl w:ilvl="1">
      <w:lvlJc w:val="left"/>
      <w:lvlText w:val="(%2)"/>
      <w:numFmt w:val="lowerRoman"/>
      <w:start w:val="1"/>
    </w:lvl>
  </w:abstractNum>
  <w:abstractNum w:abstractNumId="872">
    <w:nsid w:val="136513C"/>
    <w:multiLevelType w:val="hybridMultilevel"/>
    <w:lvl w:ilvl="0">
      <w:lvlJc w:val="left"/>
      <w:lvlText w:val="(%1)"/>
      <w:numFmt w:val="upperLetter"/>
      <w:start w:val="1"/>
    </w:lvl>
  </w:abstractNum>
  <w:abstractNum w:abstractNumId="873">
    <w:nsid w:val="4F93AAD5"/>
    <w:multiLevelType w:val="hybridMultilevel"/>
    <w:lvl w:ilvl="0">
      <w:lvlJc w:val="left"/>
      <w:lvlText w:val="(%1)"/>
      <w:numFmt w:val="lowerLetter"/>
      <w:start w:val="2"/>
    </w:lvl>
  </w:abstractNum>
  <w:abstractNum w:abstractNumId="874">
    <w:nsid w:val="7B6C7DC6"/>
    <w:multiLevelType w:val="hybridMultilevel"/>
    <w:lvl w:ilvl="0">
      <w:lvlJc w:val="left"/>
      <w:lvlText w:val="(%1)"/>
      <w:numFmt w:val="lowerLetter"/>
      <w:start w:val="4"/>
    </w:lvl>
  </w:abstractNum>
  <w:abstractNum w:abstractNumId="875">
    <w:nsid w:val="16F0A060"/>
    <w:multiLevelType w:val="hybridMultilevel"/>
    <w:lvl w:ilvl="0">
      <w:lvlJc w:val="left"/>
      <w:lvlText w:val="(%1)"/>
      <w:numFmt w:val="lowerLetter"/>
      <w:start w:val="1"/>
    </w:lvl>
    <w:lvl w:ilvl="1">
      <w:lvlJc w:val="left"/>
      <w:lvlText w:val="(%2)"/>
      <w:numFmt w:val="lowerRoman"/>
      <w:start w:val="1"/>
    </w:lvl>
  </w:abstractNum>
  <w:abstractNum w:abstractNumId="876">
    <w:nsid w:val="6175EB8"/>
    <w:multiLevelType w:val="hybridMultilevel"/>
    <w:lvl w:ilvl="0">
      <w:lvlJc w:val="left"/>
      <w:lvlText w:val="(%1)"/>
      <w:numFmt w:val="lowerLetter"/>
      <w:start w:val="5"/>
    </w:lvl>
  </w:abstractNum>
  <w:abstractNum w:abstractNumId="877">
    <w:nsid w:val="77B7C5CC"/>
    <w:multiLevelType w:val="hybridMultilevel"/>
    <w:lvl w:ilvl="0">
      <w:lvlJc w:val="left"/>
      <w:lvlText w:val="(%1)"/>
      <w:numFmt w:val="lowerLetter"/>
      <w:start w:val="1"/>
    </w:lvl>
    <w:lvl w:ilvl="1">
      <w:lvlJc w:val="left"/>
      <w:lvlText w:val="(%2)"/>
      <w:numFmt w:val="lowerRoman"/>
      <w:start w:val="1"/>
    </w:lvl>
  </w:abstractNum>
  <w:abstractNum w:abstractNumId="878">
    <w:nsid w:val="36A4C6E2"/>
    <w:multiLevelType w:val="hybridMultilevel"/>
    <w:lvl w:ilvl="0">
      <w:lvlJc w:val="left"/>
      <w:lvlText w:val="(%1)"/>
      <w:numFmt w:val="lowerLetter"/>
      <w:start w:val="2"/>
    </w:lvl>
    <w:lvl w:ilvl="1">
      <w:lvlJc w:val="left"/>
      <w:lvlText w:val="(%2)"/>
      <w:numFmt w:val="lowerRoman"/>
      <w:start w:val="1"/>
    </w:lvl>
  </w:abstractNum>
  <w:abstractNum w:abstractNumId="879">
    <w:nsid w:val="4B9DCBED"/>
    <w:multiLevelType w:val="hybridMultilevel"/>
    <w:lvl w:ilvl="0">
      <w:lvlJc w:val="left"/>
      <w:lvlText w:val="(%1)"/>
      <w:numFmt w:val="lowerLetter"/>
      <w:start w:val="1"/>
    </w:lvl>
  </w:abstractNum>
  <w:abstractNum w:abstractNumId="880">
    <w:nsid w:val="8AA4358"/>
    <w:multiLevelType w:val="hybridMultilevel"/>
    <w:lvl w:ilvl="0">
      <w:lvlJc w:val="left"/>
      <w:lvlText w:val="(%1)"/>
      <w:numFmt w:val="lowerLetter"/>
      <w:start w:val="2"/>
    </w:lvl>
    <w:lvl w:ilvl="1">
      <w:lvlJc w:val="left"/>
      <w:lvlText w:val="(%2)"/>
      <w:numFmt w:val="lowerRoman"/>
      <w:start w:val="1"/>
    </w:lvl>
  </w:abstractNum>
  <w:abstractNum w:abstractNumId="881">
    <w:nsid w:val="39112B90"/>
    <w:multiLevelType w:val="hybridMultilevel"/>
    <w:lvl w:ilvl="0">
      <w:lvlJc w:val="left"/>
      <w:lvlText w:val="(%1)"/>
      <w:numFmt w:val="lowerLetter"/>
      <w:start w:val="1"/>
    </w:lvl>
  </w:abstractNum>
  <w:abstractNum w:abstractNumId="882">
    <w:nsid w:val="53859101"/>
    <w:multiLevelType w:val="hybridMultilevel"/>
    <w:lvl w:ilvl="0">
      <w:lvlJc w:val="left"/>
      <w:lvlText w:val="(%1)"/>
      <w:numFmt w:val="lowerLetter"/>
      <w:start w:val="3"/>
    </w:lvl>
    <w:lvl w:ilvl="1">
      <w:lvlJc w:val="left"/>
      <w:lvlText w:val="(%2)"/>
      <w:numFmt w:val="lowerRoman"/>
      <w:start w:val="1"/>
    </w:lvl>
  </w:abstractNum>
  <w:abstractNum w:abstractNumId="883">
    <w:nsid w:val="70A00F05"/>
    <w:multiLevelType w:val="hybridMultilevel"/>
    <w:lvl w:ilvl="0">
      <w:lvlJc w:val="left"/>
      <w:lvlText w:val="(%1)"/>
      <w:numFmt w:val="lowerLetter"/>
      <w:start w:val="1"/>
    </w:lvl>
    <w:lvl w:ilvl="1">
      <w:lvlJc w:val="left"/>
      <w:lvlText w:val="(%2)"/>
      <w:numFmt w:val="lowerRoman"/>
      <w:start w:val="1"/>
    </w:lvl>
  </w:abstractNum>
  <w:abstractNum w:abstractNumId="884">
    <w:nsid w:val="4F5E12A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85">
    <w:nsid w:val="69543093"/>
    <w:multiLevelType w:val="hybridMultilevel"/>
    <w:lvl w:ilvl="0">
      <w:lvlJc w:val="left"/>
      <w:lvlText w:val="(%1)"/>
      <w:numFmt w:val="lowerLetter"/>
      <w:start w:val="1"/>
    </w:lvl>
    <w:lvl w:ilvl="1">
      <w:lvlJc w:val="left"/>
      <w:lvlText w:val="(%2)"/>
      <w:numFmt w:val="lowerRoman"/>
      <w:start w:val="1"/>
    </w:lvl>
  </w:abstractNum>
  <w:abstractNum w:abstractNumId="886">
    <w:nsid w:val="12F962FE"/>
    <w:multiLevelType w:val="hybridMultilevel"/>
    <w:lvl w:ilvl="0">
      <w:lvlJc w:val="left"/>
      <w:lvlText w:val="%1"/>
      <w:numFmt w:val="decimal"/>
      <w:start w:val="31"/>
    </w:lvl>
  </w:abstractNum>
  <w:abstractNum w:abstractNumId="887">
    <w:nsid w:val="642D3F9D"/>
    <w:multiLevelType w:val="hybridMultilevel"/>
    <w:lvl w:ilvl="0">
      <w:lvlJc w:val="left"/>
      <w:lvlText w:val="(%1)"/>
      <w:numFmt w:val="lowerLetter"/>
      <w:start w:val="1"/>
    </w:lvl>
    <w:lvl w:ilvl="1">
      <w:lvlJc w:val="left"/>
      <w:lvlText w:val="(%2)"/>
      <w:numFmt w:val="lowerRoman"/>
      <w:start w:val="1"/>
    </w:lvl>
  </w:abstractNum>
  <w:abstractNum w:abstractNumId="888">
    <w:nsid w:val="40FEC37E"/>
    <w:multiLevelType w:val="hybridMultilevel"/>
    <w:lvl w:ilvl="0">
      <w:lvlJc w:val="left"/>
      <w:lvlText w:val="(%1)"/>
      <w:numFmt w:val="lowerLetter"/>
      <w:start w:val="2"/>
    </w:lvl>
  </w:abstractNum>
  <w:abstractNum w:abstractNumId="889">
    <w:nsid w:val="198D0EDE"/>
    <w:multiLevelType w:val="hybridMultilevel"/>
    <w:lvl w:ilvl="0">
      <w:lvlJc w:val="left"/>
      <w:lvlText w:val="(%1)"/>
      <w:numFmt w:val="lowerLetter"/>
      <w:start w:val="1"/>
    </w:lvl>
    <w:lvl w:ilvl="1">
      <w:lvlJc w:val="left"/>
      <w:lvlText w:val="(%2)"/>
      <w:numFmt w:val="lowerRoman"/>
      <w:start w:val="1"/>
    </w:lvl>
  </w:abstractNum>
  <w:abstractNum w:abstractNumId="890">
    <w:nsid w:val="56B3223A"/>
    <w:multiLevelType w:val="hybridMultilevel"/>
    <w:lvl w:ilvl="0">
      <w:lvlJc w:val="left"/>
      <w:lvlText w:val="(%1)"/>
      <w:numFmt w:val="lowerLetter"/>
      <w:start w:val="1"/>
    </w:lvl>
  </w:abstractNum>
  <w:abstractNum w:abstractNumId="891">
    <w:nsid w:val="1DF1DEF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2">
    <w:nsid w:val="6552335"/>
    <w:multiLevelType w:val="hybridMultilevel"/>
    <w:lvl w:ilvl="0">
      <w:lvlJc w:val="left"/>
      <w:lvlText w:val="%1"/>
      <w:numFmt w:val="lowerLetter"/>
      <w:start w:val="1"/>
    </w:lvl>
    <w:lvl w:ilvl="1">
      <w:lvlJc w:val="left"/>
      <w:lvlText w:val="(%2)"/>
      <w:numFmt w:val="lowerLetter"/>
      <w:start w:val="61"/>
    </w:lvl>
  </w:abstractNum>
  <w:abstractNum w:abstractNumId="893">
    <w:nsid w:val="1F3DAB44"/>
    <w:multiLevelType w:val="hybridMultilevel"/>
    <w:lvl w:ilvl="0">
      <w:lvlJc w:val="left"/>
      <w:lvlText w:val="(%1)"/>
      <w:numFmt w:val="lowerLetter"/>
      <w:start w:val="5"/>
    </w:lvl>
    <w:lvl w:ilvl="1">
      <w:lvlJc w:val="left"/>
      <w:lvlText w:val="%2"/>
      <w:numFmt w:val="lowerLetter"/>
      <w:start w:val="1"/>
    </w:lvl>
  </w:abstractNum>
  <w:abstractNum w:abstractNumId="894">
    <w:nsid w:val="6CA92777"/>
    <w:multiLevelType w:val="hybridMultilevel"/>
    <w:lvl w:ilvl="0">
      <w:lvlJc w:val="left"/>
      <w:lvlText w:val="(%1)"/>
      <w:numFmt w:val="lowerLetter"/>
      <w:start w:val="1"/>
    </w:lvl>
  </w:abstractNum>
  <w:abstractNum w:abstractNumId="895">
    <w:nsid w:val="54154A49"/>
    <w:multiLevelType w:val="hybridMultilevel"/>
    <w:lvl w:ilvl="0">
      <w:lvlJc w:val="left"/>
      <w:lvlText w:val="(%1)"/>
      <w:numFmt w:val="lowerLetter"/>
      <w:start w:val="6"/>
    </w:lvl>
  </w:abstractNum>
  <w:abstractNum w:abstractNumId="896">
    <w:nsid w:val="1900C91C"/>
    <w:multiLevelType w:val="hybridMultilevel"/>
    <w:lvl w:ilvl="0">
      <w:lvlJc w:val="left"/>
      <w:lvlText w:val="(%1)"/>
      <w:numFmt w:val="lowerLetter"/>
      <w:start w:val="1"/>
    </w:lvl>
  </w:abstractNum>
  <w:abstractNum w:abstractNumId="897">
    <w:nsid w:val="25A17D4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98">
    <w:nsid w:val="33ED493"/>
    <w:multiLevelType w:val="hybridMultilevel"/>
    <w:lvl w:ilvl="0">
      <w:lvlJc w:val="left"/>
      <w:lvlText w:val="(%1)"/>
      <w:numFmt w:val="lowerLetter"/>
      <w:start w:val="2"/>
    </w:lvl>
    <w:lvl w:ilvl="1">
      <w:lvlJc w:val="left"/>
      <w:lvlText w:val="(%2)"/>
      <w:numFmt w:val="lowerRoman"/>
      <w:start w:val="1"/>
    </w:lvl>
  </w:abstractNum>
  <w:abstractNum w:abstractNumId="899">
    <w:nsid w:val="4C38D414"/>
    <w:multiLevelType w:val="hybridMultilevel"/>
    <w:lvl w:ilvl="0">
      <w:lvlJc w:val="left"/>
      <w:lvlText w:val="(%1)"/>
      <w:numFmt w:val="lowerLetter"/>
      <w:start w:val="7"/>
    </w:lvl>
  </w:abstractNum>
  <w:abstractNum w:abstractNumId="900">
    <w:nsid w:val="84467D2"/>
    <w:multiLevelType w:val="hybridMultilevel"/>
    <w:lvl w:ilvl="0">
      <w:lvlJc w:val="left"/>
      <w:lvlText w:val="(%1)"/>
      <w:numFmt w:val="lowerLetter"/>
      <w:start w:val="1"/>
    </w:lvl>
  </w:abstractNum>
  <w:abstractNum w:abstractNumId="901">
    <w:nsid w:val="3E8ECE6E"/>
    <w:multiLevelType w:val="hybridMultilevel"/>
    <w:lvl w:ilvl="0">
      <w:lvlJc w:val="left"/>
      <w:lvlText w:val="(%1)"/>
      <w:numFmt w:val="lowerLetter"/>
      <w:start w:val="1"/>
    </w:lvl>
  </w:abstractNum>
  <w:abstractNum w:abstractNumId="902">
    <w:nsid w:val="7F33FBD4"/>
    <w:multiLevelType w:val="hybridMultilevel"/>
    <w:lvl w:ilvl="0">
      <w:lvlJc w:val="left"/>
      <w:lvlText w:val="(%1)"/>
      <w:numFmt w:val="lowerLetter"/>
      <w:start w:val="1"/>
    </w:lvl>
    <w:lvl w:ilvl="1">
      <w:lvlJc w:val="left"/>
      <w:lvlText w:val="(%2)"/>
      <w:numFmt w:val="lowerRoman"/>
      <w:start w:val="1"/>
    </w:lvl>
  </w:abstractNum>
  <w:abstractNum w:abstractNumId="903">
    <w:nsid w:val="97AB90E"/>
    <w:multiLevelType w:val="hybridMultilevel"/>
    <w:lvl w:ilvl="0">
      <w:lvlJc w:val="left"/>
      <w:lvlText w:val="(%1)"/>
      <w:numFmt w:val="upperLetter"/>
      <w:start w:val="1"/>
    </w:lvl>
  </w:abstractNum>
  <w:abstractNum w:abstractNumId="904">
    <w:nsid w:val="E227944"/>
    <w:multiLevelType w:val="hybridMultilevel"/>
    <w:lvl w:ilvl="0">
      <w:lvlJc w:val="left"/>
      <w:lvlText w:val="(%1)"/>
      <w:numFmt w:val="lowerLetter"/>
      <w:start w:val="2"/>
    </w:lvl>
    <w:lvl w:ilvl="1">
      <w:lvlJc w:val="left"/>
      <w:lvlText w:val="(%2)"/>
      <w:numFmt w:val="lowerRoman"/>
      <w:start w:val="1"/>
    </w:lvl>
  </w:abstractNum>
  <w:abstractNum w:abstractNumId="905">
    <w:nsid w:val="7AA0799A"/>
    <w:multiLevelType w:val="hybridMultilevel"/>
    <w:lvl w:ilvl="0">
      <w:lvlJc w:val="left"/>
      <w:lvlText w:val="(%1)"/>
      <w:numFmt w:val="lowerLetter"/>
      <w:start w:val="5"/>
    </w:lvl>
  </w:abstractNum>
  <w:abstractNum w:abstractNumId="906">
    <w:nsid w:val="206B596E"/>
    <w:multiLevelType w:val="hybridMultilevel"/>
    <w:lvl w:ilvl="0">
      <w:lvlJc w:val="left"/>
      <w:lvlText w:val="(%1)"/>
      <w:numFmt w:val="lowerLetter"/>
      <w:start w:val="1"/>
    </w:lvl>
  </w:abstractNum>
  <w:abstractNum w:abstractNumId="907">
    <w:nsid w:val="1439D7FC"/>
    <w:multiLevelType w:val="hybridMultilevel"/>
    <w:lvl w:ilvl="0">
      <w:lvlJc w:val="left"/>
      <w:lvlText w:val="(%1)"/>
      <w:numFmt w:val="lowerLetter"/>
      <w:start w:val="2"/>
    </w:lvl>
  </w:abstractNum>
  <w:abstractNum w:abstractNumId="908">
    <w:nsid w:val="72583F67"/>
    <w:multiLevelType w:val="hybridMultilevel"/>
    <w:lvl w:ilvl="0">
      <w:lvlJc w:val="left"/>
      <w:lvlText w:val="(%1)"/>
      <w:numFmt w:val="lowerLetter"/>
      <w:start w:val="1"/>
    </w:lvl>
  </w:abstractNum>
  <w:abstractNum w:abstractNumId="909">
    <w:nsid w:val="57102051"/>
    <w:multiLevelType w:val="hybridMultilevel"/>
    <w:lvl w:ilvl="0">
      <w:lvlJc w:val="left"/>
      <w:lvlText w:val="(%1)"/>
      <w:numFmt w:val="lowerLetter"/>
      <w:start w:val="8"/>
    </w:lvl>
  </w:abstractNum>
  <w:abstractNum w:abstractNumId="910">
    <w:nsid w:val="5FD7A3E9"/>
    <w:multiLevelType w:val="hybridMultilevel"/>
    <w:lvl w:ilvl="0">
      <w:lvlJc w:val="left"/>
      <w:lvlText w:val="(%1)"/>
      <w:numFmt w:val="lowerLetter"/>
      <w:start w:val="1"/>
    </w:lvl>
  </w:abstractNum>
  <w:abstractNum w:abstractNumId="911">
    <w:nsid w:val="7B0282BF"/>
    <w:multiLevelType w:val="hybridMultilevel"/>
    <w:lvl w:ilvl="0">
      <w:lvlJc w:val="left"/>
      <w:lvlText w:val="(%1)"/>
      <w:numFmt w:val="lowerLetter"/>
      <w:start w:val="1"/>
    </w:lvl>
    <w:lvl w:ilvl="1">
      <w:lvlJc w:val="left"/>
      <w:lvlText w:val="(%2)"/>
      <w:numFmt w:val="lowerRoman"/>
      <w:start w:val="1"/>
    </w:lvl>
  </w:abstractNum>
  <w:abstractNum w:abstractNumId="912">
    <w:nsid w:val="10214BE1"/>
    <w:multiLevelType w:val="hybridMultilevel"/>
    <w:lvl w:ilvl="0">
      <w:lvlJc w:val="left"/>
      <w:lvlText w:val="(%1)"/>
      <w:numFmt w:val="lowerLetter"/>
      <w:start w:val="2"/>
    </w:lvl>
  </w:abstractNum>
  <w:abstractNum w:abstractNumId="913">
    <w:nsid w:val="335D34EA"/>
    <w:multiLevelType w:val="hybridMultilevel"/>
    <w:lvl w:ilvl="0">
      <w:lvlJc w:val="left"/>
      <w:lvlText w:val="(%1)"/>
      <w:numFmt w:val="lowerLetter"/>
      <w:start w:val="3"/>
    </w:lvl>
  </w:abstractNum>
  <w:abstractNum w:abstractNumId="914">
    <w:nsid w:val="6BA291C4"/>
    <w:multiLevelType w:val="hybridMultilevel"/>
    <w:lvl w:ilvl="0">
      <w:lvlJc w:val="left"/>
      <w:lvlText w:val="(%1)"/>
      <w:numFmt w:val="lowerLetter"/>
      <w:start w:val="1"/>
    </w:lvl>
  </w:abstractNum>
  <w:abstractNum w:abstractNumId="915">
    <w:nsid w:val="5F7F5E86"/>
    <w:multiLevelType w:val="hybridMultilevel"/>
    <w:lvl w:ilvl="0">
      <w:lvlJc w:val="left"/>
      <w:lvlText w:val="(%1)"/>
      <w:numFmt w:val="lowerLetter"/>
      <w:start w:val="1"/>
    </w:lvl>
    <w:lvl w:ilvl="1">
      <w:lvlJc w:val="left"/>
      <w:lvlText w:val="(%2)"/>
      <w:numFmt w:val="lowerRoman"/>
      <w:start w:val="1"/>
    </w:lvl>
  </w:abstractNum>
  <w:abstractNum w:abstractNumId="916">
    <w:nsid w:val="1CB1657E"/>
    <w:multiLevelType w:val="hybridMultilevel"/>
    <w:lvl w:ilvl="0">
      <w:lvlJc w:val="left"/>
      <w:lvlText w:val="(%1)"/>
      <w:numFmt w:val="lowerLetter"/>
      <w:start w:val="3"/>
    </w:lvl>
  </w:abstractNum>
  <w:abstractNum w:abstractNumId="917">
    <w:nsid w:val="7E9BF4C3"/>
    <w:multiLevelType w:val="hybridMultilevel"/>
    <w:lvl w:ilvl="0">
      <w:lvlJc w:val="left"/>
      <w:lvlText w:val="%1"/>
      <w:numFmt w:val="decimal"/>
      <w:start w:val="33"/>
    </w:lvl>
  </w:abstractNum>
  <w:abstractNum w:abstractNumId="918">
    <w:nsid w:val="43AC9E23"/>
    <w:multiLevelType w:val="hybridMultilevel"/>
    <w:lvl w:ilvl="0">
      <w:lvlJc w:val="left"/>
      <w:lvlText w:val="(%1)"/>
      <w:numFmt w:val="lowerLetter"/>
      <w:start w:val="1"/>
    </w:lvl>
  </w:abstractNum>
  <w:abstractNum w:abstractNumId="919">
    <w:nsid w:val="5DB028FC"/>
    <w:multiLevelType w:val="hybridMultilevel"/>
    <w:lvl w:ilvl="0">
      <w:lvlJc w:val="left"/>
      <w:lvlText w:val="(%1)"/>
      <w:numFmt w:val="lowerLetter"/>
      <w:start w:val="1"/>
    </w:lvl>
  </w:abstractNum>
  <w:abstractNum w:abstractNumId="920">
    <w:nsid w:val="182903A1"/>
    <w:multiLevelType w:val="hybridMultilevel"/>
    <w:lvl w:ilvl="0">
      <w:lvlJc w:val="left"/>
      <w:lvlText w:val="(%1)"/>
      <w:numFmt w:val="lowerLetter"/>
      <w:start w:val="2"/>
    </w:lvl>
    <w:lvl w:ilvl="1">
      <w:lvlJc w:val="left"/>
      <w:lvlText w:val="(%2)"/>
      <w:numFmt w:val="lowerRoman"/>
      <w:start w:val="1"/>
    </w:lvl>
  </w:abstractNum>
  <w:abstractNum w:abstractNumId="921">
    <w:nsid w:val="1A5FC05D"/>
    <w:multiLevelType w:val="hybridMultilevel"/>
    <w:lvl w:ilvl="0">
      <w:lvlJc w:val="left"/>
      <w:lvlText w:val="(%1)"/>
      <w:numFmt w:val="lowerLetter"/>
      <w:start w:val="5"/>
    </w:lvl>
  </w:abstractNum>
  <w:abstractNum w:abstractNumId="922">
    <w:nsid w:val="7BA207F7"/>
    <w:multiLevelType w:val="hybridMultilevel"/>
    <w:lvl w:ilvl="0">
      <w:lvlJc w:val="left"/>
      <w:lvlText w:val="(%1)"/>
      <w:numFmt w:val="lowerLetter"/>
      <w:start w:val="1"/>
    </w:lvl>
    <w:lvl w:ilvl="1">
      <w:lvlJc w:val="left"/>
      <w:lvlText w:val="(%2)"/>
      <w:numFmt w:val="lowerLetter"/>
      <w:start w:val="9"/>
    </w:lvl>
  </w:abstractNum>
  <w:abstractNum w:abstractNumId="923">
    <w:nsid w:val="1E7E26D6"/>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abstractNum>
  <w:abstractNum w:abstractNumId="924">
    <w:nsid w:val="399D6BA1"/>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925">
    <w:nsid w:val="684B2F6E"/>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26">
    <w:nsid w:val="7293711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27">
    <w:nsid w:val="529E34B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928">
    <w:nsid w:val="DECACAF"/>
    <w:multiLevelType w:val="hybridMultilevel"/>
    <w:lvl w:ilvl="0">
      <w:lvlJc w:val="left"/>
      <w:lvlText w:val="%1"/>
      <w:numFmt w:val="lowerLetter"/>
      <w:start w:val="1"/>
    </w:lvl>
    <w:lvl w:ilvl="1">
      <w:lvlJc w:val="left"/>
      <w:lvlText w:val="(%2)"/>
      <w:numFmt w:val="lowerRoman"/>
      <w:start w:val="1"/>
    </w:lvl>
  </w:abstractNum>
  <w:abstractNum w:abstractNumId="929">
    <w:nsid w:val="75D245B2"/>
    <w:multiLevelType w:val="hybridMultilevel"/>
    <w:lvl w:ilvl="0">
      <w:lvlJc w:val="left"/>
      <w:lvlText w:val="(%1)"/>
      <w:numFmt w:val="lowerLetter"/>
      <w:start w:val="7"/>
    </w:lvl>
    <w:lvl w:ilvl="1">
      <w:lvlJc w:val="left"/>
      <w:lvlText w:val="%2"/>
      <w:numFmt w:val="lowerRoman"/>
      <w:start w:val="1"/>
    </w:lvl>
  </w:abstractNum>
  <w:abstractNum w:abstractNumId="930">
    <w:nsid w:val="1ED708D2"/>
    <w:multiLevelType w:val="hybridMultilevel"/>
    <w:lvl w:ilvl="0">
      <w:lvlJc w:val="left"/>
      <w:lvlText w:val="(%1)"/>
      <w:numFmt w:val="lowerLetter"/>
      <w:start w:val="1"/>
    </w:lvl>
  </w:abstractNum>
  <w:abstractNum w:abstractNumId="931">
    <w:nsid w:val="16311481"/>
    <w:multiLevelType w:val="hybridMultilevel"/>
    <w:lvl w:ilvl="0">
      <w:lvlJc w:val="left"/>
      <w:lvlText w:val="(%1)"/>
      <w:numFmt w:val="lowerLetter"/>
      <w:start w:val="1"/>
    </w:lvl>
  </w:abstractNum>
  <w:abstractNum w:abstractNumId="932">
    <w:nsid w:val="3461142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33">
    <w:nsid w:val="1E0B04A6"/>
    <w:multiLevelType w:val="hybridMultilevel"/>
    <w:lvl w:ilvl="0">
      <w:lvlJc w:val="left"/>
      <w:lvlText w:val="(%1)"/>
      <w:numFmt w:val="lowerLetter"/>
      <w:start w:val="2"/>
    </w:lvl>
    <w:lvl w:ilvl="1">
      <w:lvlJc w:val="left"/>
      <w:lvlText w:val="(%2)"/>
      <w:numFmt w:val="lowerRoman"/>
      <w:start w:val="1"/>
    </w:lvl>
  </w:abstractNum>
  <w:abstractNum w:abstractNumId="934">
    <w:nsid w:val="1FABCD90"/>
    <w:multiLevelType w:val="hybridMultilevel"/>
    <w:lvl w:ilvl="0">
      <w:lvlJc w:val="left"/>
      <w:lvlText w:val="(%1)"/>
      <w:numFmt w:val="lowerLetter"/>
      <w:start w:val="5"/>
    </w:lvl>
    <w:lvl w:ilvl="1">
      <w:lvlJc w:val="left"/>
      <w:lvlText w:val="(%2)"/>
      <w:numFmt w:val="lowerRoman"/>
      <w:start w:val="1"/>
    </w:lvl>
  </w:abstractNum>
  <w:abstractNum w:abstractNumId="935">
    <w:nsid w:val="42838D65"/>
    <w:multiLevelType w:val="hybridMultilevel"/>
    <w:lvl w:ilvl="0">
      <w:lvlJc w:val="left"/>
      <w:lvlText w:val="(%1)"/>
      <w:numFmt w:val="lowerLetter"/>
      <w:start w:val="8"/>
    </w:lvl>
  </w:abstractNum>
  <w:abstractNum w:abstractNumId="936">
    <w:nsid w:val="18AB7E41"/>
    <w:multiLevelType w:val="hybridMultilevel"/>
    <w:lvl w:ilvl="0">
      <w:lvlJc w:val="left"/>
      <w:lvlText w:val="(%1)"/>
      <w:numFmt w:val="lowerLetter"/>
      <w:start w:val="1"/>
    </w:lvl>
  </w:abstractNum>
  <w:abstractNum w:abstractNumId="937">
    <w:nsid w:val="401726FE"/>
    <w:multiLevelType w:val="hybridMultilevel"/>
    <w:lvl w:ilvl="0">
      <w:lvlJc w:val="left"/>
      <w:lvlText w:val="(%1)"/>
      <w:numFmt w:val="lowerLetter"/>
      <w:start w:val="3"/>
    </w:lvl>
  </w:abstractNum>
  <w:abstractNum w:abstractNumId="938">
    <w:nsid w:val="56BD6561"/>
    <w:multiLevelType w:val="hybridMultilevel"/>
    <w:lvl w:ilvl="0">
      <w:lvlJc w:val="left"/>
      <w:lvlText w:val="(%1)"/>
      <w:numFmt w:val="lowerLetter"/>
      <w:start w:val="1"/>
    </w:lvl>
  </w:abstractNum>
  <w:abstractNum w:abstractNumId="939">
    <w:nsid w:val="B03BDA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40">
    <w:nsid w:val="1727474F"/>
    <w:multiLevelType w:val="hybridMultilevel"/>
    <w:lvl w:ilvl="0">
      <w:lvlJc w:val="left"/>
      <w:lvlText w:val="(%1)"/>
      <w:numFmt w:val="lowerLetter"/>
      <w:start w:val="2"/>
    </w:lvl>
    <w:lvl w:ilvl="1">
      <w:lvlJc w:val="left"/>
      <w:lvlText w:val="(%2)"/>
      <w:numFmt w:val="lowerRoman"/>
      <w:start w:val="1"/>
    </w:lvl>
  </w:abstractNum>
  <w:abstractNum w:abstractNumId="941">
    <w:nsid w:val="3695094A"/>
    <w:multiLevelType w:val="hybridMultilevel"/>
    <w:lvl w:ilvl="0">
      <w:lvlJc w:val="left"/>
      <w:lvlText w:val="(%1)"/>
      <w:numFmt w:val="lowerLetter"/>
      <w:start w:val="5"/>
    </w:lvl>
  </w:abstractNum>
  <w:abstractNum w:abstractNumId="942">
    <w:nsid w:val="6064067"/>
    <w:multiLevelType w:val="hybridMultilevel"/>
    <w:lvl w:ilvl="0">
      <w:lvlJc w:val="left"/>
      <w:lvlText w:val="(%1)"/>
      <w:numFmt w:val="lowerLetter"/>
      <w:start w:val="1"/>
    </w:lvl>
  </w:abstractNum>
  <w:abstractNum w:abstractNumId="943">
    <w:nsid w:val="27489331"/>
    <w:multiLevelType w:val="hybridMultilevel"/>
    <w:lvl w:ilvl="0">
      <w:lvlJc w:val="left"/>
      <w:lvlText w:val="(%1)"/>
      <w:numFmt w:val="lowerLetter"/>
      <w:start w:val="3"/>
    </w:lvl>
  </w:abstractNum>
  <w:abstractNum w:abstractNumId="944">
    <w:nsid w:val="69F23E34"/>
    <w:multiLevelType w:val="hybridMultilevel"/>
    <w:lvl w:ilvl="0">
      <w:lvlJc w:val="left"/>
      <w:lvlText w:val="(%1)"/>
      <w:numFmt w:val="lowerLetter"/>
      <w:start w:val="1"/>
    </w:lvl>
    <w:lvl w:ilvl="1">
      <w:lvlJc w:val="left"/>
      <w:lvlText w:val="(%2)"/>
      <w:numFmt w:val="lowerRoman"/>
      <w:start w:val="1"/>
    </w:lvl>
  </w:abstractNum>
  <w:abstractNum w:abstractNumId="945">
    <w:nsid w:val="71A8D22C"/>
    <w:multiLevelType w:val="hybridMultilevel"/>
    <w:lvl w:ilvl="0">
      <w:lvlJc w:val="left"/>
      <w:lvlText w:val="(%1)"/>
      <w:numFmt w:val="lowerLetter"/>
      <w:start w:val="1"/>
    </w:lvl>
  </w:abstractNum>
  <w:abstractNum w:abstractNumId="946">
    <w:nsid w:val="6C7F1B7"/>
    <w:multiLevelType w:val="hybridMultilevel"/>
    <w:lvl w:ilvl="0">
      <w:lvlJc w:val="left"/>
      <w:lvlText w:val="(%1)"/>
      <w:numFmt w:val="lowerLetter"/>
      <w:start w:val="1"/>
    </w:lvl>
  </w:abstractNum>
  <w:abstractNum w:abstractNumId="947">
    <w:nsid w:val="6A3A3B2"/>
    <w:multiLevelType w:val="hybridMultilevel"/>
    <w:lvl w:ilvl="0">
      <w:lvlJc w:val="left"/>
      <w:lvlText w:val="(%1)"/>
      <w:numFmt w:val="lowerLetter"/>
      <w:start w:val="1"/>
    </w:lvl>
  </w:abstractNum>
  <w:abstractNum w:abstractNumId="948">
    <w:nsid w:val="7044C6EF"/>
    <w:multiLevelType w:val="hybridMultilevel"/>
    <w:lvl w:ilvl="0">
      <w:lvlJc w:val="left"/>
      <w:lvlText w:val="(%1)"/>
      <w:numFmt w:val="lowerLetter"/>
      <w:start w:val="1"/>
    </w:lvl>
    <w:lvl w:ilvl="1">
      <w:lvlJc w:val="left"/>
      <w:lvlText w:val="(%2)"/>
      <w:numFmt w:val="lowerRoman"/>
      <w:start w:val="1"/>
    </w:lvl>
  </w:abstractNum>
  <w:abstractNum w:abstractNumId="949">
    <w:nsid w:val="4A748FDA"/>
    <w:multiLevelType w:val="hybridMultilevel"/>
    <w:lvl w:ilvl="0">
      <w:lvlJc w:val="left"/>
      <w:lvlText w:val="(%1)"/>
      <w:numFmt w:val="lowerLetter"/>
      <w:start w:val="2"/>
    </w:lvl>
  </w:abstractNum>
  <w:abstractNum w:abstractNumId="950">
    <w:nsid w:val="6453CCAE"/>
    <w:multiLevelType w:val="hybridMultilevel"/>
    <w:lvl w:ilvl="0">
      <w:lvlJc w:val="left"/>
      <w:lvlText w:val="(%1)"/>
      <w:numFmt w:val="lowerLetter"/>
      <w:start w:val="1"/>
    </w:lvl>
  </w:abstractNum>
  <w:abstractNum w:abstractNumId="951">
    <w:nsid w:val="86DCA90"/>
    <w:multiLevelType w:val="hybridMultilevel"/>
    <w:lvl w:ilvl="0">
      <w:lvlJc w:val="left"/>
      <w:lvlText w:val="(%1)"/>
      <w:numFmt w:val="lowerLetter"/>
      <w:start w:val="1"/>
    </w:lvl>
    <w:lvl w:ilvl="1">
      <w:lvlJc w:val="left"/>
      <w:lvlText w:val="(%2)"/>
      <w:numFmt w:val="lowerRoman"/>
      <w:start w:val="1"/>
    </w:lvl>
  </w:abstractNum>
  <w:abstractNum w:abstractNumId="952">
    <w:nsid w:val="64D45037"/>
    <w:multiLevelType w:val="hybridMultilevel"/>
    <w:lvl w:ilvl="0">
      <w:lvlJc w:val="left"/>
      <w:lvlText w:val="(%1)"/>
      <w:numFmt w:val="lowerLetter"/>
      <w:start w:val="2"/>
    </w:lvl>
  </w:abstractNum>
  <w:abstractNum w:abstractNumId="953">
    <w:nsid w:val="5FF5D4A5"/>
    <w:multiLevelType w:val="hybridMultilevel"/>
    <w:lvl w:ilvl="0">
      <w:lvlJc w:val="left"/>
      <w:lvlText w:val="(%1)"/>
      <w:numFmt w:val="lowerLetter"/>
      <w:start w:val="1"/>
    </w:lvl>
    <w:lvl w:ilvl="1">
      <w:lvlJc w:val="left"/>
      <w:lvlText w:val="(%2)"/>
      <w:numFmt w:val="lowerRoman"/>
      <w:start w:val="1"/>
    </w:lvl>
  </w:abstractNum>
  <w:abstractNum w:abstractNumId="954">
    <w:nsid w:val="26EBF166"/>
    <w:multiLevelType w:val="hybridMultilevel"/>
    <w:lvl w:ilvl="0">
      <w:lvlJc w:val="left"/>
      <w:lvlText w:val="(%1)"/>
      <w:numFmt w:val="lowerLetter"/>
      <w:start w:val="1"/>
    </w:lvl>
  </w:abstractNum>
  <w:abstractNum w:abstractNumId="955">
    <w:nsid w:val="1E71BBD8"/>
    <w:multiLevelType w:val="hybridMultilevel"/>
    <w:lvl w:ilvl="0">
      <w:lvlJc w:val="left"/>
      <w:lvlText w:val="(%1)"/>
      <w:numFmt w:val="lowerLetter"/>
      <w:start w:val="1"/>
    </w:lvl>
  </w:abstractNum>
  <w:abstractNum w:abstractNumId="956">
    <w:nsid w:val="48410413"/>
    <w:multiLevelType w:val="hybridMultilevel"/>
    <w:lvl w:ilvl="0">
      <w:lvlJc w:val="left"/>
      <w:lvlText w:val="(%1)"/>
      <w:numFmt w:val="lowerLetter"/>
      <w:start w:val="1"/>
    </w:lvl>
  </w:abstractNum>
  <w:abstractNum w:abstractNumId="957">
    <w:nsid w:val="197F6285"/>
    <w:multiLevelType w:val="hybridMultilevel"/>
    <w:lvl w:ilvl="0">
      <w:lvlJc w:val="left"/>
      <w:lvlText w:val="(%1)"/>
      <w:numFmt w:val="lowerLetter"/>
      <w:start w:val="1"/>
    </w:lvl>
  </w:abstractNum>
  <w:abstractNum w:abstractNumId="958">
    <w:nsid w:val="710FF095"/>
    <w:multiLevelType w:val="hybridMultilevel"/>
    <w:lvl w:ilvl="0">
      <w:lvlJc w:val="left"/>
      <w:lvlText w:val="(%1)"/>
      <w:numFmt w:val="lowerLetter"/>
      <w:start w:val="1"/>
    </w:lvl>
  </w:abstractNum>
  <w:abstractNum w:abstractNumId="959">
    <w:nsid w:val="562DB0C2"/>
    <w:multiLevelType w:val="hybridMultilevel"/>
    <w:lvl w:ilvl="0">
      <w:lvlJc w:val="left"/>
      <w:lvlText w:val="(%1)"/>
      <w:numFmt w:val="lowerLetter"/>
      <w:start w:val="1"/>
    </w:lvl>
  </w:abstractNum>
  <w:abstractNum w:abstractNumId="960">
    <w:nsid w:val="F51A837"/>
    <w:multiLevelType w:val="hybridMultilevel"/>
    <w:lvl w:ilvl="0">
      <w:lvlJc w:val="left"/>
      <w:lvlText w:val="%1"/>
      <w:numFmt w:val="lowerLetter"/>
      <w:start w:val="1"/>
    </w:lvl>
    <w:lvl w:ilvl="1">
      <w:lvlJc w:val="left"/>
      <w:lvlText w:val="(%2)"/>
      <w:numFmt w:val="lowerRoman"/>
      <w:start w:val="1"/>
    </w:lvl>
  </w:abstractNum>
  <w:abstractNum w:abstractNumId="961">
    <w:nsid w:val="FE6F967"/>
    <w:multiLevelType w:val="hybridMultilevel"/>
    <w:lvl w:ilvl="0">
      <w:lvlJc w:val="left"/>
      <w:lvlText w:val="(%1)"/>
      <w:numFmt w:val="lowerLetter"/>
      <w:start w:val="3"/>
    </w:lvl>
    <w:lvl w:ilvl="1">
      <w:lvlJc w:val="left"/>
      <w:lvlText w:val="%2"/>
      <w:numFmt w:val="lowerRoman"/>
      <w:start w:val="1"/>
    </w:lvl>
  </w:abstractNum>
  <w:abstractNum w:abstractNumId="962">
    <w:nsid w:val="6C5EC544"/>
    <w:multiLevelType w:val="hybridMultilevel"/>
    <w:lvl w:ilvl="0">
      <w:lvlJc w:val="left"/>
      <w:lvlText w:val="%1"/>
      <w:numFmt w:val="decimal"/>
      <w:start w:val="34"/>
    </w:lvl>
  </w:abstractNum>
  <w:abstractNum w:abstractNumId="963">
    <w:nsid w:val="43B2BC58"/>
    <w:multiLevelType w:val="hybridMultilevel"/>
    <w:lvl w:ilvl="0">
      <w:lvlJc w:val="left"/>
      <w:lvlText w:val="(%1)"/>
      <w:numFmt w:val="lowerLetter"/>
      <w:start w:val="1"/>
    </w:lvl>
  </w:abstractNum>
  <w:abstractNum w:abstractNumId="964">
    <w:nsid w:val="2DF1FE0E"/>
    <w:multiLevelType w:val="hybridMultilevel"/>
    <w:lvl w:ilvl="0">
      <w:lvlJc w:val="left"/>
      <w:lvlText w:val="%1"/>
      <w:numFmt w:val="decimal"/>
      <w:start w:val="35"/>
    </w:lvl>
  </w:abstractNum>
  <w:abstractNum w:abstractNumId="965">
    <w:nsid w:val="C0A92D4"/>
    <w:multiLevelType w:val="hybridMultilevel"/>
    <w:lvl w:ilvl="0">
      <w:lvlJc w:val="left"/>
      <w:lvlText w:val="(%1)"/>
      <w:numFmt w:val="lowerLetter"/>
      <w:start w:val="1"/>
    </w:lvl>
  </w:abstractNum>
  <w:abstractNum w:abstractNumId="966">
    <w:nsid w:val="63649BD"/>
    <w:multiLevelType w:val="hybridMultilevel"/>
    <w:lvl w:ilvl="0">
      <w:lvlJc w:val="left"/>
      <w:lvlText w:val="(%1)"/>
      <w:numFmt w:val="lowerLetter"/>
      <w:start w:val="1"/>
    </w:lvl>
  </w:abstractNum>
  <w:abstractNum w:abstractNumId="967">
    <w:nsid w:val="469D7C4F"/>
    <w:multiLevelType w:val="hybridMultilevel"/>
    <w:lvl w:ilvl="0">
      <w:lvlJc w:val="left"/>
      <w:lvlText w:val="(%1)"/>
      <w:numFmt w:val="lowerLetter"/>
      <w:start w:val="1"/>
    </w:lvl>
    <w:lvl w:ilvl="1">
      <w:lvlJc w:val="left"/>
      <w:lvlText w:val="(%2)"/>
      <w:numFmt w:val="lowerRoman"/>
      <w:start w:val="1"/>
    </w:lvl>
  </w:abstractNum>
  <w:abstractNum w:abstractNumId="968">
    <w:nsid w:val="4C21B9D2"/>
    <w:multiLevelType w:val="hybridMultilevel"/>
    <w:lvl w:ilvl="0">
      <w:lvlJc w:val="left"/>
      <w:lvlText w:val="(%1)"/>
      <w:numFmt w:val="lowerLetter"/>
      <w:start w:val="1"/>
    </w:lvl>
  </w:abstractNum>
  <w:abstractNum w:abstractNumId="969">
    <w:nsid w:val="5CF3AF1E"/>
    <w:multiLevelType w:val="hybridMultilevel"/>
    <w:lvl w:ilvl="0">
      <w:lvlJc w:val="left"/>
      <w:lvlText w:val="(%1)"/>
      <w:numFmt w:val="lowerLetter"/>
      <w:start w:val="1"/>
    </w:lvl>
  </w:abstractNum>
  <w:abstractNum w:abstractNumId="970">
    <w:nsid w:val="51A139F7"/>
    <w:multiLevelType w:val="hybridMultilevel"/>
    <w:lvl w:ilvl="0">
      <w:lvlJc w:val="left"/>
      <w:lvlText w:val="(%1)"/>
      <w:numFmt w:val="lowerLetter"/>
      <w:start w:val="3"/>
    </w:lvl>
    <w:lvl w:ilvl="1">
      <w:lvlJc w:val="left"/>
      <w:lvlText w:val="(%2)"/>
      <w:numFmt w:val="lowerRoman"/>
      <w:start w:val="1"/>
    </w:lvl>
  </w:abstractNum>
  <w:abstractNum w:abstractNumId="971">
    <w:nsid w:val="63490122"/>
    <w:multiLevelType w:val="hybridMultilevel"/>
    <w:lvl w:ilvl="0">
      <w:lvlJc w:val="left"/>
      <w:lvlText w:val="(%1)"/>
      <w:numFmt w:val="lowerLetter"/>
      <w:start w:val="1"/>
    </w:lvl>
    <w:lvl w:ilvl="1">
      <w:lvlJc w:val="left"/>
      <w:lvlText w:val="(%2)"/>
      <w:numFmt w:val="lowerRoman"/>
      <w:start w:val="1"/>
    </w:lvl>
  </w:abstractNum>
  <w:abstractNum w:abstractNumId="972">
    <w:nsid w:val="1388B868"/>
    <w:multiLevelType w:val="hybridMultilevel"/>
    <w:lvl w:ilvl="0">
      <w:lvlJc w:val="left"/>
      <w:lvlText w:val="(%1)"/>
      <w:numFmt w:val="lowerLetter"/>
      <w:start w:val="1"/>
    </w:lvl>
  </w:abstractNum>
  <w:abstractNum w:abstractNumId="973">
    <w:nsid w:val="57A77A5E"/>
    <w:multiLevelType w:val="hybridMultilevel"/>
    <w:lvl w:ilvl="0">
      <w:lvlJc w:val="left"/>
      <w:lvlText w:val="(%1)"/>
      <w:numFmt w:val="lowerLetter"/>
      <w:start w:val="2"/>
    </w:lvl>
  </w:abstractNum>
  <w:abstractNum w:abstractNumId="974">
    <w:nsid w:val="A919453"/>
    <w:multiLevelType w:val="hybridMultilevel"/>
    <w:lvl w:ilvl="0">
      <w:lvlJc w:val="left"/>
      <w:lvlText w:val="(%1)"/>
      <w:numFmt w:val="lowerLetter"/>
      <w:start w:val="1"/>
    </w:lvl>
  </w:abstractNum>
  <w:abstractNum w:abstractNumId="975">
    <w:nsid w:val="7D7AF69D"/>
    <w:multiLevelType w:val="hybridMultilevel"/>
    <w:lvl w:ilvl="0">
      <w:lvlJc w:val="left"/>
      <w:lvlText w:val="(%1)"/>
      <w:numFmt w:val="lowerLetter"/>
      <w:start w:val="1"/>
    </w:lvl>
    <w:lvl w:ilvl="1">
      <w:lvlJc w:val="left"/>
      <w:lvlText w:val="(%2)"/>
      <w:numFmt w:val="lowerRoman"/>
      <w:start w:val="1"/>
    </w:lvl>
  </w:abstractNum>
  <w:abstractNum w:abstractNumId="976">
    <w:nsid w:val="49504C8A"/>
    <w:multiLevelType w:val="hybridMultilevel"/>
    <w:lvl w:ilvl="0">
      <w:lvlJc w:val="left"/>
      <w:lvlText w:val="(%1)"/>
      <w:numFmt w:val="lowerLetter"/>
      <w:start w:val="1"/>
    </w:lvl>
  </w:abstractNum>
  <w:abstractNum w:abstractNumId="977">
    <w:nsid w:val="1159860A"/>
    <w:multiLevelType w:val="hybridMultilevel"/>
    <w:lvl w:ilvl="0">
      <w:lvlJc w:val="left"/>
      <w:lvlText w:val="(%1)"/>
      <w:numFmt w:val="lowerLetter"/>
      <w:start w:val="1"/>
    </w:lvl>
  </w:abstractNum>
  <w:abstractNum w:abstractNumId="978">
    <w:nsid w:val="41E9A4F"/>
    <w:multiLevelType w:val="hybridMultilevel"/>
    <w:lvl w:ilvl="0">
      <w:lvlJc w:val="left"/>
      <w:lvlText w:val="(%1)"/>
      <w:numFmt w:val="lowerLetter"/>
      <w:start w:val="2"/>
    </w:lvl>
  </w:abstractNum>
  <w:abstractNum w:abstractNumId="979">
    <w:nsid w:val="39951379"/>
    <w:multiLevelType w:val="hybridMultilevel"/>
    <w:lvl w:ilvl="0">
      <w:lvlJc w:val="left"/>
      <w:lvlText w:val="(%1)"/>
      <w:numFmt w:val="lowerLetter"/>
      <w:start w:val="1"/>
    </w:lvl>
    <w:lvl w:ilvl="1">
      <w:lvlJc w:val="left"/>
      <w:lvlText w:val="(%2)"/>
      <w:numFmt w:val="lowerRoman"/>
      <w:start w:val="1"/>
    </w:lvl>
  </w:abstractNum>
  <w:abstractNum w:abstractNumId="980">
    <w:nsid w:val="5BCE15E4"/>
    <w:multiLevelType w:val="hybridMultilevel"/>
    <w:lvl w:ilvl="0">
      <w:lvlJc w:val="left"/>
      <w:lvlText w:val="%1"/>
      <w:numFmt w:val="decimal"/>
      <w:start w:val="38"/>
    </w:lvl>
  </w:abstractNum>
  <w:abstractNum w:abstractNumId="981">
    <w:nsid w:val="687266FE"/>
    <w:multiLevelType w:val="hybridMultilevel"/>
    <w:lvl w:ilvl="0">
      <w:lvlJc w:val="left"/>
      <w:lvlText w:val="(%1)"/>
      <w:numFmt w:val="lowerLetter"/>
      <w:start w:val="1"/>
    </w:lvl>
    <w:lvl w:ilvl="1">
      <w:lvlJc w:val="left"/>
      <w:lvlText w:val="(%2)"/>
      <w:numFmt w:val="lowerRoman"/>
      <w:start w:val="1"/>
    </w:lvl>
  </w:abstractNum>
  <w:abstractNum w:abstractNumId="982">
    <w:nsid w:val="4202DE09"/>
    <w:multiLevelType w:val="hybridMultilevel"/>
    <w:lvl w:ilvl="0">
      <w:lvlJc w:val="left"/>
      <w:lvlText w:val="(%1)"/>
      <w:numFmt w:val="lowerLetter"/>
      <w:start w:val="1"/>
    </w:lvl>
  </w:abstractNum>
  <w:abstractNum w:abstractNumId="983">
    <w:nsid w:val="40A2661B"/>
    <w:multiLevelType w:val="hybridMultilevel"/>
    <w:lvl w:ilvl="0">
      <w:lvlJc w:val="left"/>
      <w:lvlText w:val="(%1)"/>
      <w:numFmt w:val="lowerLetter"/>
      <w:start w:val="1"/>
    </w:lvl>
  </w:abstractNum>
  <w:abstractNum w:abstractNumId="984">
    <w:nsid w:val="48683BA3"/>
    <w:multiLevelType w:val="hybridMultilevel"/>
    <w:lvl w:ilvl="0">
      <w:lvlJc w:val="left"/>
      <w:lvlText w:val="(%1)"/>
      <w:numFmt w:val="lowerLetter"/>
      <w:start w:val="1"/>
    </w:lvl>
    <w:lvl w:ilvl="1">
      <w:lvlJc w:val="left"/>
      <w:lvlText w:val="(%2)"/>
      <w:numFmt w:val="lowerRoman"/>
      <w:start w:val="1"/>
    </w:lvl>
  </w:abstractNum>
  <w:abstractNum w:abstractNumId="985">
    <w:nsid w:val="68EECF6F"/>
    <w:multiLevelType w:val="hybridMultilevel"/>
    <w:lvl w:ilvl="0">
      <w:lvlJc w:val="left"/>
      <w:lvlText w:val="(%1)"/>
      <w:numFmt w:val="upperLetter"/>
      <w:start w:val="1"/>
    </w:lvl>
  </w:abstractNum>
  <w:abstractNum w:abstractNumId="986">
    <w:nsid w:val="5F1421F3"/>
    <w:multiLevelType w:val="hybridMultilevel"/>
    <w:lvl w:ilvl="0">
      <w:lvlJc w:val="left"/>
      <w:lvlText w:val="%1"/>
      <w:numFmt w:val="lowerLetter"/>
      <w:start w:val="1"/>
    </w:lvl>
    <w:lvl w:ilvl="1">
      <w:lvlJc w:val="left"/>
      <w:lvlText w:val="(%2)"/>
      <w:numFmt w:val="upperLetter"/>
      <w:start w:val="3"/>
    </w:lvl>
  </w:abstractNum>
  <w:abstractNum w:abstractNumId="987">
    <w:nsid w:val="10A93FB7"/>
    <w:multiLevelType w:val="hybridMultilevel"/>
    <w:lvl w:ilvl="0">
      <w:lvlJc w:val="left"/>
      <w:lvlText w:val="(%1)"/>
      <w:numFmt w:val="lowerLetter"/>
      <w:start w:val="2"/>
    </w:lvl>
    <w:lvl w:ilvl="1">
      <w:lvlJc w:val="left"/>
      <w:lvlText w:val="%2"/>
      <w:numFmt w:val="upperLetter"/>
      <w:start w:val="1"/>
    </w:lvl>
  </w:abstractNum>
  <w:abstractNum w:abstractNumId="988">
    <w:nsid w:val="26E31F4"/>
    <w:multiLevelType w:val="hybridMultilevel"/>
    <w:lvl w:ilvl="0">
      <w:lvlJc w:val="left"/>
      <w:lvlText w:val="(%1)"/>
      <w:numFmt w:val="lowerLetter"/>
      <w:start w:val="1"/>
    </w:lvl>
    <w:lvl w:ilvl="1">
      <w:lvlJc w:val="left"/>
      <w:lvlText w:val="(%2)"/>
      <w:numFmt w:val="lowerRoman"/>
      <w:start w:val="1"/>
    </w:lvl>
  </w:abstractNum>
  <w:abstractNum w:abstractNumId="989">
    <w:nsid w:val="50241288"/>
    <w:multiLevelType w:val="hybridMultilevel"/>
    <w:lvl w:ilvl="0">
      <w:lvlJc w:val="left"/>
      <w:lvlText w:val="%1"/>
      <w:numFmt w:val="decimal"/>
      <w:start w:val="40"/>
    </w:lvl>
  </w:abstractNum>
  <w:abstractNum w:abstractNumId="990">
    <w:nsid w:val="66D6F079"/>
    <w:multiLevelType w:val="hybridMultilevel"/>
    <w:lvl w:ilvl="0">
      <w:lvlJc w:val="left"/>
      <w:lvlText w:val="(%1)"/>
      <w:numFmt w:val="lowerLetter"/>
      <w:start w:val="1"/>
    </w:lvl>
    <w:lvl w:ilvl="1">
      <w:lvlJc w:val="left"/>
      <w:lvlText w:val="(%2)"/>
      <w:numFmt w:val="lowerRoman"/>
      <w:start w:val="1"/>
    </w:lvl>
  </w:abstractNum>
  <w:abstractNum w:abstractNumId="991">
    <w:nsid w:val="11BFDA2C"/>
    <w:multiLevelType w:val="hybridMultilevel"/>
    <w:lvl w:ilvl="0">
      <w:lvlJc w:val="left"/>
      <w:lvlText w:val="%1"/>
      <w:numFmt w:val="decimal"/>
      <w:start w:val="41"/>
    </w:lvl>
  </w:abstractNum>
  <w:abstractNum w:abstractNumId="992">
    <w:nsid w:val="600B0BF0"/>
    <w:multiLevelType w:val="hybridMultilevel"/>
    <w:lvl w:ilvl="0">
      <w:lvlJc w:val="left"/>
      <w:lvlText w:val="%1"/>
      <w:numFmt w:val="decimal"/>
      <w:start w:val="44"/>
    </w:lvl>
  </w:abstractNum>
  <w:abstractNum w:abstractNumId="993">
    <w:nsid w:val="5335B5BD"/>
    <w:multiLevelType w:val="hybridMultilevel"/>
    <w:lvl w:ilvl="0">
      <w:lvlJc w:val="left"/>
      <w:lvlText w:val="(%1)"/>
      <w:numFmt w:val="lowerLetter"/>
      <w:start w:val="1"/>
    </w:lvl>
  </w:abstractNum>
  <w:abstractNum w:abstractNumId="994">
    <w:nsid w:val="55729684"/>
    <w:multiLevelType w:val="hybridMultilevel"/>
    <w:lvl w:ilvl="0">
      <w:lvlJc w:val="left"/>
      <w:lvlText w:val="(%1)"/>
      <w:numFmt w:val="lowerLetter"/>
      <w:start w:val="1"/>
    </w:lvl>
  </w:abstractNum>
  <w:abstractNum w:abstractNumId="995">
    <w:nsid w:val="DFD09FE"/>
    <w:multiLevelType w:val="hybridMultilevel"/>
    <w:lvl w:ilvl="0">
      <w:lvlJc w:val="left"/>
      <w:lvlText w:val="(%1)"/>
      <w:numFmt w:val="lowerLetter"/>
      <w:start w:val="8"/>
    </w:lvl>
    <w:lvl w:ilvl="1">
      <w:lvlJc w:val="left"/>
      <w:lvlText w:val="(%2)"/>
      <w:numFmt w:val="lowerRoman"/>
      <w:start w:val="1"/>
    </w:lvl>
  </w:abstractNum>
  <w:abstractNum w:abstractNumId="996">
    <w:nsid w:val="5F404891"/>
    <w:multiLevelType w:val="hybridMultilevel"/>
    <w:lvl w:ilvl="0">
      <w:lvlJc w:val="left"/>
      <w:lvlText w:val="(%1)"/>
      <w:numFmt w:val="lowerLetter"/>
      <w:start w:val="12"/>
    </w:lvl>
  </w:abstractNum>
  <w:abstractNum w:abstractNumId="997">
    <w:nsid w:val="5BA8E042"/>
    <w:multiLevelType w:val="hybridMultilevel"/>
    <w:lvl w:ilvl="0">
      <w:lvlJc w:val="left"/>
      <w:lvlText w:val="(%1)"/>
      <w:numFmt w:val="lowerLetter"/>
      <w:start w:val="1"/>
    </w:lvl>
  </w:abstractNum>
  <w:abstractNum w:abstractNumId="998">
    <w:nsid w:val="549A864D"/>
    <w:multiLevelType w:val="hybridMultilevel"/>
    <w:lvl w:ilvl="0">
      <w:lvlJc w:val="left"/>
      <w:lvlText w:val="(%1)"/>
      <w:numFmt w:val="lowerLetter"/>
      <w:start w:val="1"/>
    </w:lvl>
    <w:lvl w:ilvl="1">
      <w:lvlJc w:val="left"/>
      <w:lvlText w:val="(%2)"/>
      <w:numFmt w:val="lowerLetter"/>
      <w:start w:val="9"/>
    </w:lvl>
  </w:abstractNum>
  <w:abstractNum w:abstractNumId="999">
    <w:nsid w:val="2B620264"/>
    <w:multiLevelType w:val="hybridMultilevel"/>
    <w:lvl w:ilvl="0">
      <w:lvlJc w:val="left"/>
      <w:lvlText w:val="(%1)"/>
      <w:numFmt w:val="upperLetter"/>
      <w:start w:val="1"/>
    </w:lvl>
  </w:abstractNum>
  <w:abstractNum w:abstractNumId="1000">
    <w:nsid w:val="389C8F60"/>
    <w:multiLevelType w:val="hybridMultilevel"/>
    <w:lvl w:ilvl="0">
      <w:lvlJc w:val="left"/>
      <w:lvlText w:val="(%1)"/>
      <w:numFmt w:val="lowerLetter"/>
      <w:start w:val="2"/>
    </w:lvl>
  </w:abstractNum>
  <w:abstractNum w:abstractNumId="1001">
    <w:nsid w:val="263BC044"/>
    <w:multiLevelType w:val="hybridMultilevel"/>
    <w:lvl w:ilvl="0">
      <w:lvlJc w:val="left"/>
      <w:lvlText w:val="(%1)"/>
      <w:numFmt w:val="lowerRoman"/>
      <w:start w:val="1"/>
    </w:lvl>
  </w:abstractNum>
  <w:abstractNum w:abstractNumId="1002">
    <w:nsid w:val="EAB0386"/>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lvl w:ilvl="3">
      <w:lvlJc w:val="left"/>
      <w:lvlText w:val="(%4)"/>
      <w:numFmt w:val="lowerRoman"/>
      <w:start w:val="1"/>
    </w:lvl>
  </w:abstractNum>
  <w:abstractNum w:abstractNumId="1003">
    <w:nsid w:val="4C2547C9"/>
    <w:multiLevelType w:val="hybridMultilevel"/>
    <w:lvl w:ilvl="0">
      <w:lvlJc w:val="left"/>
      <w:lvlText w:val="(%1)"/>
      <w:numFmt w:val="lowerLetter"/>
      <w:start w:val="2"/>
    </w:lvl>
  </w:abstractNum>
  <w:abstractNum w:abstractNumId="1004">
    <w:nsid w:val="7DE33AA2"/>
    <w:multiLevelType w:val="hybridMultilevel"/>
    <w:lvl w:ilvl="0">
      <w:lvlJc w:val="left"/>
      <w:lvlText w:val="%1"/>
      <w:numFmt w:val="decimal"/>
      <w:start w:val="46"/>
    </w:lvl>
  </w:abstractNum>
  <w:abstractNum w:abstractNumId="1005">
    <w:nsid w:val="193C97D9"/>
    <w:multiLevelType w:val="hybridMultilevel"/>
    <w:lvl w:ilvl="0">
      <w:lvlJc w:val="left"/>
      <w:lvlText w:val="(%1)"/>
      <w:numFmt w:val="lowerLetter"/>
      <w:start w:val="1"/>
    </w:lvl>
    <w:lvl w:ilvl="1">
      <w:lvlJc w:val="left"/>
      <w:lvlText w:val="(%2)"/>
      <w:numFmt w:val="lowerRoman"/>
      <w:start w:val="1"/>
    </w:lvl>
  </w:abstractNum>
  <w:abstractNum w:abstractNumId="1006">
    <w:nsid w:val="49A03E66"/>
    <w:multiLevelType w:val="hybridMultilevel"/>
    <w:lvl w:ilvl="0">
      <w:lvlJc w:val="left"/>
      <w:lvlText w:val="(%1)"/>
      <w:numFmt w:val="lowerRoman"/>
      <w:start w:val="4"/>
    </w:lvl>
  </w:abstractNum>
  <w:abstractNum w:abstractNumId="1007">
    <w:nsid w:val="4733872D"/>
    <w:multiLevelType w:val="hybridMultilevel"/>
    <w:lvl w:ilvl="0">
      <w:lvlJc w:val="left"/>
      <w:lvlText w:val="(%1)"/>
      <w:numFmt w:val="upperLetter"/>
      <w:start w:val="1"/>
    </w:lvl>
  </w:abstractNum>
  <w:abstractNum w:abstractNumId="1008">
    <w:nsid w:val="2A961DE3"/>
    <w:multiLevelType w:val="hybridMultilevel"/>
    <w:lvl w:ilvl="0">
      <w:lvlJc w:val="left"/>
      <w:lvlText w:val="(%1)"/>
      <w:numFmt w:val="lowerLetter"/>
      <w:start w:val="3"/>
    </w:lvl>
  </w:abstractNum>
  <w:abstractNum w:abstractNumId="1009">
    <w:nsid w:val="4DBED8B5"/>
    <w:multiLevelType w:val="hybridMultilevel"/>
    <w:lvl w:ilvl="0">
      <w:lvlJc w:val="left"/>
      <w:lvlText w:val="(%1)"/>
      <w:numFmt w:val="lowerLetter"/>
      <w:start w:val="1"/>
    </w:lvl>
    <w:lvl w:ilvl="1">
      <w:lvlJc w:val="left"/>
      <w:lvlText w:val="(%2)"/>
      <w:numFmt w:val="lowerRoman"/>
      <w:start w:val="1"/>
    </w:lvl>
  </w:abstractNum>
  <w:abstractNum w:abstractNumId="1010">
    <w:nsid w:val="C89AA6"/>
    <w:multiLevelType w:val="hybridMultilevel"/>
    <w:lvl w:ilvl="0">
      <w:lvlJc w:val="left"/>
      <w:lvlText w:val="(%1)"/>
      <w:numFmt w:val="lowerRoman"/>
      <w:start w:val="11"/>
    </w:lvl>
  </w:abstractNum>
  <w:abstractNum w:abstractNumId="1011">
    <w:nsid w:val="66433C7"/>
    <w:multiLevelType w:val="hybridMultilevel"/>
    <w:lvl w:ilvl="0">
      <w:lvlJc w:val="left"/>
      <w:lvlText w:val="(%1)"/>
      <w:numFmt w:val="lowerLetter"/>
      <w:start w:val="2"/>
    </w:lvl>
  </w:abstractNum>
  <w:abstractNum w:abstractNumId="1012">
    <w:nsid w:val="36313FB3"/>
    <w:multiLevelType w:val="hybridMultilevel"/>
    <w:lvl w:ilvl="0">
      <w:lvlJc w:val="left"/>
      <w:lvlText w:val="(%1)"/>
      <w:numFmt w:val="lowerLetter"/>
      <w:start w:val="1"/>
    </w:lvl>
  </w:abstractNum>
  <w:abstractNum w:abstractNumId="1013">
    <w:nsid w:val="42CB78B0"/>
    <w:multiLevelType w:val="hybridMultilevel"/>
    <w:lvl w:ilvl="0">
      <w:lvlJc w:val="left"/>
      <w:lvlText w:val="(%1)"/>
      <w:numFmt w:val="lowerLetter"/>
      <w:start w:val="1"/>
    </w:lvl>
  </w:abstractNum>
  <w:abstractNum w:abstractNumId="1014">
    <w:nsid w:val="470699E2"/>
    <w:multiLevelType w:val="hybridMultilevel"/>
    <w:lvl w:ilvl="0">
      <w:lvlJc w:val="left"/>
      <w:lvlText w:val="%1"/>
      <w:numFmt w:val="decimal"/>
      <w:start w:val="47"/>
    </w:lvl>
  </w:abstractNum>
  <w:abstractNum w:abstractNumId="1015">
    <w:nsid w:val="7E997B57"/>
    <w:multiLevelType w:val="hybridMultilevel"/>
    <w:lvl w:ilvl="0">
      <w:lvlJc w:val="left"/>
      <w:lvlText w:val="%1"/>
      <w:numFmt w:val="decimal"/>
      <w:start w:val="49"/>
    </w:lvl>
  </w:abstractNum>
  <w:abstractNum w:abstractNumId="1016">
    <w:nsid w:val="2BBA481F"/>
    <w:multiLevelType w:val="hybridMultilevel"/>
    <w:lvl w:ilvl="0">
      <w:lvlJc w:val="left"/>
      <w:lvlText w:val="(%1)"/>
      <w:numFmt w:val="lowerLetter"/>
      <w:start w:val="1"/>
    </w:lvl>
  </w:abstractNum>
  <w:abstractNum w:abstractNumId="1017">
    <w:nsid w:val="261ABBD5"/>
    <w:multiLevelType w:val="hybridMultilevel"/>
    <w:lvl w:ilvl="0">
      <w:lvlJc w:val="left"/>
      <w:lvlText w:val="(%1)"/>
      <w:numFmt w:val="lowerLetter"/>
      <w:start w:val="1"/>
    </w:lvl>
    <w:lvl w:ilvl="1">
      <w:lvlJc w:val="left"/>
      <w:lvlText w:val="(%2)"/>
      <w:numFmt w:val="lowerRoman"/>
      <w:start w:val="1"/>
    </w:lvl>
  </w:abstractNum>
  <w:abstractNum w:abstractNumId="1018">
    <w:nsid w:val="F42BB0E"/>
    <w:multiLevelType w:val="hybridMultilevel"/>
    <w:lvl w:ilvl="0">
      <w:lvlJc w:val="left"/>
      <w:lvlText w:val="1"/>
      <w:numFmt w:val="bullet"/>
      <w:start w:val="1"/>
    </w:lvl>
  </w:abstractNum>
  <w:abstractNum w:abstractNumId="1019">
    <w:nsid w:val="2E287A14"/>
    <w:multiLevelType w:val="hybridMultilevel"/>
    <w:lvl w:ilvl="0">
      <w:lvlJc w:val="left"/>
      <w:lvlText w:val="(%1)"/>
      <w:numFmt w:val="lowerLetter"/>
      <w:start w:val="1"/>
    </w:lvl>
  </w:abstractNum>
  <w:abstractNum w:abstractNumId="1020">
    <w:nsid w:val="763ECE5D"/>
    <w:multiLevelType w:val="hybridMultilevel"/>
    <w:lvl w:ilvl="0">
      <w:lvlJc w:val="left"/>
      <w:lvlText w:val="2"/>
      <w:numFmt w:val="bullet"/>
      <w:start w:val="1"/>
    </w:lvl>
  </w:abstractNum>
  <w:abstractNum w:abstractNumId="1021">
    <w:nsid w:val="7619AB87"/>
    <w:multiLevelType w:val="hybridMultilevel"/>
    <w:lvl w:ilvl="0">
      <w:lvlJc w:val="left"/>
      <w:lvlText w:val="3"/>
      <w:numFmt w:val="bullet"/>
      <w:start w:val="1"/>
    </w:lvl>
  </w:abstractNum>
  <w:abstractNum w:abstractNumId="1022">
    <w:nsid w:val="3FE85440"/>
    <w:multiLevelType w:val="hybridMultilevel"/>
    <w:lvl w:ilvl="0">
      <w:lvlJc w:val="left"/>
      <w:lvlText w:val="4"/>
      <w:numFmt w:val="bullet"/>
      <w:start w:val="1"/>
    </w:lvl>
  </w:abstractNum>
  <w:abstractNum w:abstractNumId="1023">
    <w:nsid w:val="5649DA4D"/>
    <w:multiLevelType w:val="hybridMultilevel"/>
    <w:lvl w:ilvl="0">
      <w:lvlJc w:val="left"/>
      <w:lvlText w:val="5"/>
      <w:numFmt w:val="bullet"/>
      <w:start w:val="1"/>
    </w:lvl>
  </w:abstractNum>
  <w:abstractNum w:abstractNumId="1024">
    <w:nsid w:val="494F6145"/>
    <w:multiLevelType w:val="hybridMultilevel"/>
    <w:lvl w:ilvl="0">
      <w:lvlJc w:val="left"/>
      <w:lvlText w:val="6"/>
      <w:numFmt w:val="bullet"/>
      <w:start w:val="1"/>
    </w:lvl>
  </w:abstractNum>
  <w:abstractNum w:abstractNumId="1025">
    <w:nsid w:val="155AEAC4"/>
    <w:multiLevelType w:val="hybridMultilevel"/>
    <w:lvl w:ilvl="0">
      <w:lvlJc w:val="left"/>
      <w:lvlText w:val="1"/>
      <w:numFmt w:val="bullet"/>
      <w:start w:val="1"/>
    </w:lvl>
  </w:abstractNum>
  <w:abstractNum w:abstractNumId="1026">
    <w:nsid w:val="6446E44B"/>
    <w:multiLevelType w:val="hybridMultilevel"/>
    <w:lvl w:ilvl="0">
      <w:lvlJc w:val="left"/>
      <w:lvlText w:val="2"/>
      <w:numFmt w:val="bullet"/>
      <w:start w:val="1"/>
    </w:lvl>
  </w:abstractNum>
  <w:abstractNum w:abstractNumId="1027">
    <w:nsid w:val="288FA9D6"/>
    <w:multiLevelType w:val="hybridMultilevel"/>
    <w:lvl w:ilvl="0">
      <w:lvlJc w:val="left"/>
      <w:lvlText w:val="3"/>
      <w:numFmt w:val="bullet"/>
      <w:start w:val="1"/>
    </w:lvl>
  </w:abstractNum>
  <w:abstractNum w:abstractNumId="1028">
    <w:nsid w:val="7103CB06"/>
    <w:multiLevelType w:val="hybridMultilevel"/>
    <w:lvl w:ilvl="0">
      <w:lvlJc w:val="left"/>
      <w:lvlText w:val="(%1)"/>
      <w:numFmt w:val="lowerLetter"/>
      <w:start w:val="1"/>
    </w:lvl>
  </w:abstractNum>
  <w:abstractNum w:abstractNumId="1029">
    <w:nsid w:val="38E16A98"/>
    <w:multiLevelType w:val="hybridMultilevel"/>
    <w:lvl w:ilvl="0">
      <w:lvlJc w:val="left"/>
      <w:lvlText w:val="(%1)"/>
      <w:numFmt w:val="lowerLetter"/>
      <w:start w:val="1"/>
    </w:lvl>
  </w:abstractNum>
  <w:abstractNum w:abstractNumId="1030">
    <w:nsid w:val="53F1AC3A"/>
    <w:multiLevelType w:val="hybridMultilevel"/>
    <w:lvl w:ilvl="0">
      <w:lvlJc w:val="left"/>
      <w:lvlText w:val="4"/>
      <w:numFmt w:val="bullet"/>
      <w:start w:val="1"/>
    </w:lvl>
  </w:abstractNum>
  <w:abstractNum w:abstractNumId="1031">
    <w:nsid w:val="29A05A67"/>
    <w:multiLevelType w:val="hybridMultilevel"/>
    <w:lvl w:ilvl="0">
      <w:lvlJc w:val="left"/>
      <w:lvlText w:val="5"/>
      <w:numFmt w:val="bullet"/>
      <w:start w:val="1"/>
    </w:lvl>
  </w:abstractNum>
  <w:abstractNum w:abstractNumId="1032">
    <w:nsid w:val="5F1D2ADC"/>
    <w:multiLevelType w:val="hybridMultilevel"/>
    <w:lvl w:ilvl="0">
      <w:lvlJc w:val="left"/>
      <w:lvlText w:val="1"/>
      <w:numFmt w:val="bullet"/>
      <w:start w:val="1"/>
    </w:lvl>
  </w:abstractNum>
  <w:abstractNum w:abstractNumId="1033">
    <w:nsid w:val="629CAFC0"/>
    <w:multiLevelType w:val="hybridMultilevel"/>
    <w:lvl w:ilvl="0">
      <w:lvlJc w:val="left"/>
      <w:lvlText w:val="3"/>
      <w:numFmt w:val="bullet"/>
      <w:start w:val="1"/>
    </w:lvl>
  </w:abstractNum>
  <w:abstractNum w:abstractNumId="1034">
    <w:nsid w:val="75C5A230"/>
    <w:multiLevelType w:val="hybridMultilevel"/>
    <w:lvl w:ilvl="0">
      <w:lvlJc w:val="left"/>
      <w:lvlText w:val="4"/>
      <w:numFmt w:val="bullet"/>
      <w:start w:val="1"/>
    </w:lvl>
  </w:abstractNum>
  <w:abstractNum w:abstractNumId="1035">
    <w:nsid w:val="5D00657F"/>
    <w:multiLevelType w:val="hybridMultilevel"/>
    <w:lvl w:ilvl="0">
      <w:lvlJc w:val="left"/>
      <w:lvlText w:val="5"/>
      <w:numFmt w:val="bullet"/>
      <w:start w:val="1"/>
    </w:lvl>
  </w:abstractNum>
  <w:abstractNum w:abstractNumId="1036">
    <w:nsid w:val="7BD94799"/>
    <w:multiLevelType w:val="hybridMultilevel"/>
    <w:lvl w:ilvl="0">
      <w:lvlJc w:val="left"/>
      <w:lvlText w:val="1"/>
      <w:numFmt w:val="bullet"/>
      <w:start w:val="1"/>
    </w:lvl>
  </w:abstractNum>
  <w:abstractNum w:abstractNumId="1037">
    <w:nsid w:val="3F65E096"/>
    <w:multiLevelType w:val="hybridMultilevel"/>
    <w:lvl w:ilvl="0">
      <w:lvlJc w:val="left"/>
      <w:lvlText w:val="2"/>
      <w:numFmt w:val="bullet"/>
      <w:start w:val="1"/>
    </w:lvl>
  </w:abstractNum>
  <w:abstractNum w:abstractNumId="1038">
    <w:nsid w:val="2433ECAC"/>
    <w:multiLevelType w:val="hybridMultilevel"/>
    <w:lvl w:ilvl="0">
      <w:lvlJc w:val="left"/>
      <w:lvlText w:val="3"/>
      <w:numFmt w:val="bullet"/>
      <w:start w:val="1"/>
    </w:lvl>
  </w:abstractNum>
  <w:abstractNum w:abstractNumId="1039">
    <w:nsid w:val="266F657C"/>
    <w:multiLevelType w:val="hybridMultilevel"/>
    <w:lvl w:ilvl="0">
      <w:lvlJc w:val="left"/>
      <w:lvlText w:val="1"/>
      <w:numFmt w:val="bullet"/>
      <w:start w:val="1"/>
    </w:lvl>
  </w:abstractNum>
  <w:abstractNum w:abstractNumId="1040">
    <w:nsid w:val="D24B94B"/>
    <w:multiLevelType w:val="hybridMultilevel"/>
    <w:lvl w:ilvl="0">
      <w:lvlJc w:val="left"/>
      <w:lvlText w:val="(%1)"/>
      <w:numFmt w:val="lowerLetter"/>
      <w:start w:val="1"/>
    </w:lvl>
  </w:abstractNum>
  <w:abstractNum w:abstractNumId="1041">
    <w:nsid w:val="24FC8752"/>
    <w:multiLevelType w:val="hybridMultilevel"/>
    <w:lvl w:ilvl="0">
      <w:lvlJc w:val="left"/>
      <w:lvlText w:val="3"/>
      <w:numFmt w:val="bullet"/>
      <w:start w:val="1"/>
    </w:lvl>
  </w:abstractNum>
  <w:abstractNum w:abstractNumId="1042">
    <w:nsid w:val="2CD39943"/>
    <w:multiLevelType w:val="hybridMultilevel"/>
    <w:lvl w:ilvl="0">
      <w:lvlJc w:val="left"/>
      <w:lvlText w:val="1"/>
      <w:numFmt w:val="bullet"/>
      <w:start w:val="1"/>
    </w:lvl>
  </w:abstractNum>
  <w:abstractNum w:abstractNumId="1043">
    <w:nsid w:val="4355F8FF"/>
    <w:multiLevelType w:val="hybridMultilevel"/>
    <w:lvl w:ilvl="0">
      <w:lvlJc w:val="left"/>
      <w:lvlText w:val="(%1)"/>
      <w:numFmt w:val="lowerLetter"/>
      <w:start w:val="1"/>
    </w:lvl>
  </w:abstractNum>
  <w:abstractNum w:abstractNumId="1044">
    <w:nsid w:val="67C80002"/>
    <w:multiLevelType w:val="hybridMultilevel"/>
    <w:lvl w:ilvl="0">
      <w:lvlJc w:val="left"/>
      <w:lvlText w:val="3"/>
      <w:numFmt w:val="bullet"/>
      <w:start w:val="1"/>
    </w:lvl>
  </w:abstractNum>
  <w:abstractNum w:abstractNumId="1045">
    <w:nsid w:val="73DA3325"/>
    <w:multiLevelType w:val="hybridMultilevel"/>
    <w:lvl w:ilvl="0">
      <w:lvlJc w:val="left"/>
      <w:lvlText w:val="4"/>
      <w:numFmt w:val="bullet"/>
      <w:start w:val="1"/>
    </w:lvl>
  </w:abstractNum>
  <w:abstractNum w:abstractNumId="1046">
    <w:nsid w:val="41EF7456"/>
    <w:multiLevelType w:val="hybridMultilevel"/>
    <w:lvl w:ilvl="0">
      <w:lvlJc w:val="left"/>
      <w:lvlText w:val="5"/>
      <w:numFmt w:val="bullet"/>
      <w:start w:val="1"/>
    </w:lvl>
  </w:abstractNum>
  <w:abstractNum w:abstractNumId="1047">
    <w:nsid w:val="13824822"/>
    <w:multiLevelType w:val="hybridMultilevel"/>
    <w:lvl w:ilvl="0">
      <w:lvlJc w:val="left"/>
      <w:lvlText w:val="6"/>
      <w:numFmt w:val="bullet"/>
      <w:start w:val="1"/>
    </w:lvl>
  </w:abstractNum>
  <w:abstractNum w:abstractNumId="1048">
    <w:nsid w:val="19F4EEFA"/>
    <w:multiLevelType w:val="hybridMultilevel"/>
    <w:lvl w:ilvl="0">
      <w:lvlJc w:val="left"/>
      <w:lvlText w:val="7"/>
      <w:numFmt w:val="bullet"/>
      <w:start w:val="1"/>
    </w:lvl>
  </w:abstractNum>
  <w:abstractNum w:abstractNumId="1049">
    <w:nsid w:val="51322F64"/>
    <w:multiLevelType w:val="hybridMultilevel"/>
    <w:lvl w:ilvl="0">
      <w:lvlJc w:val="left"/>
      <w:lvlText w:val="8"/>
      <w:numFmt w:val="bullet"/>
      <w:start w:val="1"/>
    </w:lvl>
  </w:abstractNum>
  <w:abstractNum w:abstractNumId="1050">
    <w:nsid w:val="41AAC236"/>
    <w:multiLevelType w:val="hybridMultilevel"/>
    <w:lvl w:ilvl="0">
      <w:lvlJc w:val="left"/>
      <w:lvlText w:val="1"/>
      <w:numFmt w:val="bullet"/>
      <w:start w:val="1"/>
    </w:lvl>
  </w:abstractNum>
  <w:abstractNum w:abstractNumId="1051">
    <w:nsid w:val="1033BD58"/>
    <w:multiLevelType w:val="hybridMultilevel"/>
    <w:lvl w:ilvl="0">
      <w:lvlJc w:val="left"/>
      <w:lvlText w:val="(%1)"/>
      <w:numFmt w:val="lowerLetter"/>
      <w:start w:val="1"/>
    </w:lvl>
  </w:abstractNum>
  <w:abstractNum w:abstractNumId="1052">
    <w:nsid w:val="474BDAEB"/>
    <w:multiLevelType w:val="hybridMultilevel"/>
    <w:lvl w:ilvl="0">
      <w:lvlJc w:val="left"/>
      <w:lvlText w:val="3"/>
      <w:numFmt w:val="bullet"/>
      <w:start w:val="1"/>
    </w:lvl>
  </w:abstractNum>
  <w:abstractNum w:abstractNumId="1053">
    <w:nsid w:val="1931676"/>
    <w:multiLevelType w:val="hybridMultilevel"/>
    <w:lvl w:ilvl="0">
      <w:lvlJc w:val="left"/>
      <w:lvlText w:val="(%1)"/>
      <w:numFmt w:val="lowerRoman"/>
      <w:start w:val="1"/>
    </w:lvl>
  </w:abstractNum>
  <w:abstractNum w:abstractNumId="1054">
    <w:nsid w:val="667D97A5"/>
    <w:multiLevelType w:val="hybridMultilevel"/>
    <w:lvl w:ilvl="0">
      <w:lvlJc w:val="left"/>
      <w:lvlText w:val="(%1)"/>
      <w:numFmt w:val="lowerLetter"/>
      <w:start w:val="2"/>
    </w:lvl>
  </w:abstractNum>
  <w:abstractNum w:abstractNumId="1055">
    <w:nsid w:val="109B3C30"/>
    <w:multiLevelType w:val="hybridMultilevel"/>
    <w:lvl w:ilvl="0">
      <w:lvlJc w:val="left"/>
      <w:lvlText w:val="&quot;"/>
      <w:numFmt w:val="bullet"/>
      <w:start w:val="1"/>
    </w:lvl>
  </w:abstractNum>
  <w:abstractNum w:abstractNumId="1056">
    <w:nsid w:val="16EE013A"/>
    <w:multiLevelType w:val="hybridMultilevel"/>
    <w:lvl w:ilvl="0">
      <w:lvlJc w:val="left"/>
      <w:lvlText w:val="%1."/>
      <w:numFmt w:val="decimal"/>
      <w:start w:val="1"/>
    </w:lvl>
    <w:lvl w:ilvl="1">
      <w:lvlJc w:val="left"/>
      <w:lvlText w:val="%2)"/>
      <w:numFmt w:val="lowerLetter"/>
      <w:start w:val="1"/>
    </w:lvl>
  </w:abstractNum>
  <w:abstractNum w:abstractNumId="1057">
    <w:nsid w:val="4AC47BF1"/>
    <w:multiLevelType w:val="hybridMultilevel"/>
    <w:lvl w:ilvl="0">
      <w:lvlJc w:val="left"/>
      <w:lvlText w:val="%1."/>
      <w:numFmt w:val="decimal"/>
      <w:start w:val="1"/>
    </w:lvl>
    <w:lvl w:ilvl="1">
      <w:lvlJc w:val="left"/>
      <w:lvlText w:val="%2)"/>
      <w:numFmt w:val="lowerLetter"/>
      <w:start w:val="1"/>
    </w:lvl>
  </w:abstractNum>
  <w:abstractNum w:abstractNumId="1058">
    <w:nsid w:val="392AE607"/>
    <w:multiLevelType w:val="hybridMultilevel"/>
    <w:lvl w:ilvl="0">
      <w:lvlJc w:val="left"/>
      <w:lvlText w:val="(%1)"/>
      <w:numFmt w:val="decimal"/>
      <w:start w:val="1"/>
    </w:lvl>
  </w:abstractNum>
  <w:abstractNum w:abstractNumId="1059">
    <w:nsid w:val="7F1CC41"/>
    <w:multiLevelType w:val="hybridMultilevel"/>
    <w:lvl w:ilvl="0">
      <w:lvlJc w:val="left"/>
      <w:lvlText w:val="(%1)"/>
      <w:numFmt w:val="decimal"/>
      <w:start w:val="1"/>
    </w:lvl>
  </w:abstractNum>
  <w:abstractNum w:abstractNumId="1060">
    <w:nsid w:val="3A5E68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139" Type="http://schemas.openxmlformats.org/officeDocument/2006/relationships/image" Target="media/image104.png"/><Relationship Id="rId140"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66" Type="http://schemas.openxmlformats.org/officeDocument/2006/relationships/image" Target="media/image131.png"/><Relationship Id="rId167" Type="http://schemas.openxmlformats.org/officeDocument/2006/relationships/image" Target="media/image132.png"/><Relationship Id="rId168" Type="http://schemas.openxmlformats.org/officeDocument/2006/relationships/image" Target="media/image133.png"/><Relationship Id="rId169" Type="http://schemas.openxmlformats.org/officeDocument/2006/relationships/image" Target="media/image134.png"/><Relationship Id="rId170" Type="http://schemas.openxmlformats.org/officeDocument/2006/relationships/image" Target="media/image135.png"/><Relationship Id="rId171" Type="http://schemas.openxmlformats.org/officeDocument/2006/relationships/image" Target="media/image136.png"/><Relationship Id="rId172" Type="http://schemas.openxmlformats.org/officeDocument/2006/relationships/image" Target="media/image137.png"/><Relationship Id="rId173" Type="http://schemas.openxmlformats.org/officeDocument/2006/relationships/image" Target="media/image138.png"/><Relationship Id="rId174" Type="http://schemas.openxmlformats.org/officeDocument/2006/relationships/image" Target="media/image139.png"/><Relationship Id="rId175" Type="http://schemas.openxmlformats.org/officeDocument/2006/relationships/image" Target="media/image140.png"/><Relationship Id="rId176" Type="http://schemas.openxmlformats.org/officeDocument/2006/relationships/image" Target="media/image141.png"/><Relationship Id="rId177" Type="http://schemas.openxmlformats.org/officeDocument/2006/relationships/image" Target="media/image142.png"/><Relationship Id="rId178" Type="http://schemas.openxmlformats.org/officeDocument/2006/relationships/image" Target="media/image143.png"/><Relationship Id="rId179" Type="http://schemas.openxmlformats.org/officeDocument/2006/relationships/image" Target="media/image144.png"/><Relationship Id="rId180" Type="http://schemas.openxmlformats.org/officeDocument/2006/relationships/image" Target="media/image145.png"/><Relationship Id="rId181" Type="http://schemas.openxmlformats.org/officeDocument/2006/relationships/image" Target="media/image146.png"/><Relationship Id="rId182" Type="http://schemas.openxmlformats.org/officeDocument/2006/relationships/image" Target="media/image147.png"/><Relationship Id="rId183" Type="http://schemas.openxmlformats.org/officeDocument/2006/relationships/image" Target="media/image148.png"/><Relationship Id="rId184" Type="http://schemas.openxmlformats.org/officeDocument/2006/relationships/image" Target="media/image149.png"/><Relationship Id="rId185" Type="http://schemas.openxmlformats.org/officeDocument/2006/relationships/image" Target="media/image150.png"/><Relationship Id="rId186" Type="http://schemas.openxmlformats.org/officeDocument/2006/relationships/image" Target="media/image151.png"/><Relationship Id="rId187" Type="http://schemas.openxmlformats.org/officeDocument/2006/relationships/image" Target="media/image152.png"/><Relationship Id="rId188" Type="http://schemas.openxmlformats.org/officeDocument/2006/relationships/image" Target="media/image153.png"/><Relationship Id="rId189" Type="http://schemas.openxmlformats.org/officeDocument/2006/relationships/image" Target="media/image154.png"/><Relationship Id="rId190" Type="http://schemas.openxmlformats.org/officeDocument/2006/relationships/image" Target="media/image155.png"/><Relationship Id="rId191" Type="http://schemas.openxmlformats.org/officeDocument/2006/relationships/image" Target="media/image156.png"/><Relationship Id="rId192" Type="http://schemas.openxmlformats.org/officeDocument/2006/relationships/image" Target="media/image157.png"/><Relationship Id="rId193" Type="http://schemas.openxmlformats.org/officeDocument/2006/relationships/image" Target="media/image158.png"/><Relationship Id="rId194" Type="http://schemas.openxmlformats.org/officeDocument/2006/relationships/image" Target="media/image159.png"/><Relationship Id="rId195" Type="http://schemas.openxmlformats.org/officeDocument/2006/relationships/image" Target="media/image160.png"/><Relationship Id="rId196" Type="http://schemas.openxmlformats.org/officeDocument/2006/relationships/image" Target="media/image161.png"/><Relationship Id="rId197" Type="http://schemas.openxmlformats.org/officeDocument/2006/relationships/image" Target="media/image162.png"/><Relationship Id="rId198" Type="http://schemas.openxmlformats.org/officeDocument/2006/relationships/image" Target="media/image163.png"/><Relationship Id="rId199" Type="http://schemas.openxmlformats.org/officeDocument/2006/relationships/image" Target="media/image164.png"/><Relationship Id="rId200" Type="http://schemas.openxmlformats.org/officeDocument/2006/relationships/image" Target="media/image165.png"/><Relationship Id="rId201" Type="http://schemas.openxmlformats.org/officeDocument/2006/relationships/image" Target="media/image166.png"/><Relationship Id="rId202" Type="http://schemas.openxmlformats.org/officeDocument/2006/relationships/image" Target="media/image167.png"/><Relationship Id="rId203" Type="http://schemas.openxmlformats.org/officeDocument/2006/relationships/image" Target="media/image168.png"/><Relationship Id="rId204" Type="http://schemas.openxmlformats.org/officeDocument/2006/relationships/image" Target="media/image169.png"/><Relationship Id="rId205" Type="http://schemas.openxmlformats.org/officeDocument/2006/relationships/image" Target="media/image170.png"/><Relationship Id="rId206" Type="http://schemas.openxmlformats.org/officeDocument/2006/relationships/image" Target="media/image171.png"/><Relationship Id="rId207" Type="http://schemas.openxmlformats.org/officeDocument/2006/relationships/image" Target="media/image172.png"/><Relationship Id="rId208" Type="http://schemas.openxmlformats.org/officeDocument/2006/relationships/image" Target="media/image173.png"/><Relationship Id="rId209" Type="http://schemas.openxmlformats.org/officeDocument/2006/relationships/image" Target="media/image174.png"/><Relationship Id="rId210" Type="http://schemas.openxmlformats.org/officeDocument/2006/relationships/image" Target="media/image175.png"/><Relationship Id="rId211" Type="http://schemas.openxmlformats.org/officeDocument/2006/relationships/image" Target="media/image176.png"/><Relationship Id="rId212" Type="http://schemas.openxmlformats.org/officeDocument/2006/relationships/image" Target="media/image177.png"/><Relationship Id="rId213" Type="http://schemas.openxmlformats.org/officeDocument/2006/relationships/image" Target="media/image178.png"/><Relationship Id="rId214" Type="http://schemas.openxmlformats.org/officeDocument/2006/relationships/image" Target="media/image179.png"/><Relationship Id="rId215" Type="http://schemas.openxmlformats.org/officeDocument/2006/relationships/image" Target="media/image180.png"/><Relationship Id="rId216" Type="http://schemas.openxmlformats.org/officeDocument/2006/relationships/image" Target="media/image181.png"/><Relationship Id="rId217" Type="http://schemas.openxmlformats.org/officeDocument/2006/relationships/image" Target="media/image182.png"/><Relationship Id="rId218" Type="http://schemas.openxmlformats.org/officeDocument/2006/relationships/image" Target="media/image183.png"/><Relationship Id="rId219" Type="http://schemas.openxmlformats.org/officeDocument/2006/relationships/image" Target="media/image184.png"/><Relationship Id="rId220" Type="http://schemas.openxmlformats.org/officeDocument/2006/relationships/image" Target="media/image185.png"/><Relationship Id="rId221" Type="http://schemas.openxmlformats.org/officeDocument/2006/relationships/image" Target="media/image186.png"/><Relationship Id="rId222" Type="http://schemas.openxmlformats.org/officeDocument/2006/relationships/image" Target="media/image187.png"/><Relationship Id="rId223" Type="http://schemas.openxmlformats.org/officeDocument/2006/relationships/image" Target="media/image188.png"/><Relationship Id="rId224" Type="http://schemas.openxmlformats.org/officeDocument/2006/relationships/image" Target="media/image189.png"/><Relationship Id="rId225" Type="http://schemas.openxmlformats.org/officeDocument/2006/relationships/image" Target="media/image190.png"/><Relationship Id="rId226" Type="http://schemas.openxmlformats.org/officeDocument/2006/relationships/image" Target="media/image191.png"/><Relationship Id="rId227" Type="http://schemas.openxmlformats.org/officeDocument/2006/relationships/image" Target="media/image192.png"/><Relationship Id="rId228" Type="http://schemas.openxmlformats.org/officeDocument/2006/relationships/image" Target="media/image193.png"/><Relationship Id="rId229" Type="http://schemas.openxmlformats.org/officeDocument/2006/relationships/image" Target="media/image194.png"/><Relationship Id="rId230" Type="http://schemas.openxmlformats.org/officeDocument/2006/relationships/image" Target="media/image195.png"/><Relationship Id="rId231" Type="http://schemas.openxmlformats.org/officeDocument/2006/relationships/image" Target="media/image196.png"/><Relationship Id="rId232" Type="http://schemas.openxmlformats.org/officeDocument/2006/relationships/image" Target="media/image197.png"/><Relationship Id="rId233" Type="http://schemas.openxmlformats.org/officeDocument/2006/relationships/image" Target="media/image198.png"/><Relationship Id="rId234" Type="http://schemas.openxmlformats.org/officeDocument/2006/relationships/image" Target="media/image199.png"/><Relationship Id="rId235" Type="http://schemas.openxmlformats.org/officeDocument/2006/relationships/image" Target="media/image200.png"/><Relationship Id="rId236" Type="http://schemas.openxmlformats.org/officeDocument/2006/relationships/image" Target="media/image201.png"/><Relationship Id="rId237" Type="http://schemas.openxmlformats.org/officeDocument/2006/relationships/image" Target="media/image202.png"/><Relationship Id="rId238" Type="http://schemas.openxmlformats.org/officeDocument/2006/relationships/image" Target="media/image203.png"/><Relationship Id="rId239" Type="http://schemas.openxmlformats.org/officeDocument/2006/relationships/image" Target="media/image204.png"/><Relationship Id="rId240" Type="http://schemas.openxmlformats.org/officeDocument/2006/relationships/image" Target="media/image205.png"/><Relationship Id="rId241" Type="http://schemas.openxmlformats.org/officeDocument/2006/relationships/image" Target="media/image206.png"/><Relationship Id="rId242" Type="http://schemas.openxmlformats.org/officeDocument/2006/relationships/image" Target="media/image207.png"/><Relationship Id="rId243" Type="http://schemas.openxmlformats.org/officeDocument/2006/relationships/image" Target="media/image208.png"/><Relationship Id="rId244" Type="http://schemas.openxmlformats.org/officeDocument/2006/relationships/image" Target="media/image209.png"/><Relationship Id="rId245" Type="http://schemas.openxmlformats.org/officeDocument/2006/relationships/image" Target="media/image210.png"/><Relationship Id="rId246" Type="http://schemas.openxmlformats.org/officeDocument/2006/relationships/image" Target="media/image211.png"/><Relationship Id="rId247" Type="http://schemas.openxmlformats.org/officeDocument/2006/relationships/image" Target="media/image212.png"/><Relationship Id="rId248" Type="http://schemas.openxmlformats.org/officeDocument/2006/relationships/image" Target="media/image213.png"/><Relationship Id="rId249" Type="http://schemas.openxmlformats.org/officeDocument/2006/relationships/image" Target="media/image214.png"/><Relationship Id="rId250" Type="http://schemas.openxmlformats.org/officeDocument/2006/relationships/image" Target="media/image215.png"/><Relationship Id="rId251" Type="http://schemas.openxmlformats.org/officeDocument/2006/relationships/image" Target="media/image216.png"/><Relationship Id="rId252" Type="http://schemas.openxmlformats.org/officeDocument/2006/relationships/image" Target="media/image217.png"/><Relationship Id="rId253" Type="http://schemas.openxmlformats.org/officeDocument/2006/relationships/image" Target="media/image218.png"/><Relationship Id="rId254" Type="http://schemas.openxmlformats.org/officeDocument/2006/relationships/image" Target="media/image219.png"/><Relationship Id="rId255" Type="http://schemas.openxmlformats.org/officeDocument/2006/relationships/image" Target="media/image220.png"/><Relationship Id="rId256" Type="http://schemas.openxmlformats.org/officeDocument/2006/relationships/image" Target="media/image221.png"/><Relationship Id="rId257" Type="http://schemas.openxmlformats.org/officeDocument/2006/relationships/image" Target="media/image222.png"/><Relationship Id="rId258" Type="http://schemas.openxmlformats.org/officeDocument/2006/relationships/image" Target="media/image223.png"/><Relationship Id="rId259" Type="http://schemas.openxmlformats.org/officeDocument/2006/relationships/image" Target="media/image224.png"/><Relationship Id="rId260" Type="http://schemas.openxmlformats.org/officeDocument/2006/relationships/image" Target="media/image225.png"/><Relationship Id="rId261" Type="http://schemas.openxmlformats.org/officeDocument/2006/relationships/image" Target="media/image226.png"/><Relationship Id="rId262" Type="http://schemas.openxmlformats.org/officeDocument/2006/relationships/image" Target="media/image227.png"/><Relationship Id="rId263" Type="http://schemas.openxmlformats.org/officeDocument/2006/relationships/image" Target="media/image228.png"/><Relationship Id="rId264" Type="http://schemas.openxmlformats.org/officeDocument/2006/relationships/image" Target="media/image229.png"/><Relationship Id="rId265" Type="http://schemas.openxmlformats.org/officeDocument/2006/relationships/image" Target="media/image230.png"/><Relationship Id="rId266" Type="http://schemas.openxmlformats.org/officeDocument/2006/relationships/image" Target="media/image231.png"/><Relationship Id="rId267" Type="http://schemas.openxmlformats.org/officeDocument/2006/relationships/image" Target="media/image232.png"/><Relationship Id="rId268" Type="http://schemas.openxmlformats.org/officeDocument/2006/relationships/image" Target="media/image233.png"/><Relationship Id="rId269" Type="http://schemas.openxmlformats.org/officeDocument/2006/relationships/image" Target="media/image234.png"/><Relationship Id="rId270" Type="http://schemas.openxmlformats.org/officeDocument/2006/relationships/image" Target="media/image235.png"/><Relationship Id="rId271" Type="http://schemas.openxmlformats.org/officeDocument/2006/relationships/image" Target="media/image236.png"/><Relationship Id="rId272" Type="http://schemas.openxmlformats.org/officeDocument/2006/relationships/image" Target="media/image237.png"/><Relationship Id="rId273" Type="http://schemas.openxmlformats.org/officeDocument/2006/relationships/image" Target="media/image238.png"/><Relationship Id="rId274" Type="http://schemas.openxmlformats.org/officeDocument/2006/relationships/image" Target="media/image239.png"/><Relationship Id="rId275" Type="http://schemas.openxmlformats.org/officeDocument/2006/relationships/image" Target="media/image240.jpeg"/><Relationship Id="rId276" Type="http://schemas.openxmlformats.org/officeDocument/2006/relationships/image" Target="media/image241.png"/><Relationship Id="rId277" Type="http://schemas.openxmlformats.org/officeDocument/2006/relationships/image" Target="media/image242.png"/><Relationship Id="rId278" Type="http://schemas.openxmlformats.org/officeDocument/2006/relationships/image" Target="media/image243.png"/><Relationship Id="rId279" Type="http://schemas.openxmlformats.org/officeDocument/2006/relationships/image" Target="media/image244.jpeg"/><Relationship Id="rId280" Type="http://schemas.openxmlformats.org/officeDocument/2006/relationships/image" Target="media/image245.png"/><Relationship Id="rId281" Type="http://schemas.openxmlformats.org/officeDocument/2006/relationships/image" Target="media/image246.png"/><Relationship Id="rId282" Type="http://schemas.openxmlformats.org/officeDocument/2006/relationships/image" Target="media/image247.png"/><Relationship Id="rId283" Type="http://schemas.openxmlformats.org/officeDocument/2006/relationships/image" Target="media/image248.png"/><Relationship Id="rId284" Type="http://schemas.openxmlformats.org/officeDocument/2006/relationships/image" Target="media/image249.png"/><Relationship Id="rId285" Type="http://schemas.openxmlformats.org/officeDocument/2006/relationships/image" Target="media/image250.png"/><Relationship Id="rId286" Type="http://schemas.openxmlformats.org/officeDocument/2006/relationships/image" Target="media/image251.png"/><Relationship Id="rId287" Type="http://schemas.openxmlformats.org/officeDocument/2006/relationships/image" Target="media/image252.png"/><Relationship Id="rId288" Type="http://schemas.openxmlformats.org/officeDocument/2006/relationships/image" Target="media/image253.png"/><Relationship Id="rId289" Type="http://schemas.openxmlformats.org/officeDocument/2006/relationships/image" Target="media/image254.png"/><Relationship Id="rId290" Type="http://schemas.openxmlformats.org/officeDocument/2006/relationships/image" Target="media/image255.png"/><Relationship Id="rId291" Type="http://schemas.openxmlformats.org/officeDocument/2006/relationships/image" Target="media/image256.png"/><Relationship Id="rId292" Type="http://schemas.openxmlformats.org/officeDocument/2006/relationships/image" Target="media/image257.png"/><Relationship Id="rId293" Type="http://schemas.openxmlformats.org/officeDocument/2006/relationships/image" Target="media/image258.png"/><Relationship Id="rId294" Type="http://schemas.openxmlformats.org/officeDocument/2006/relationships/image" Target="media/image259.png"/><Relationship Id="rId295" Type="http://schemas.openxmlformats.org/officeDocument/2006/relationships/image" Target="media/image260.png"/><Relationship Id="rId296" Type="http://schemas.openxmlformats.org/officeDocument/2006/relationships/image" Target="media/image261.png"/><Relationship Id="rId297" Type="http://schemas.openxmlformats.org/officeDocument/2006/relationships/image" Target="media/image262.png"/><Relationship Id="rId298" Type="http://schemas.openxmlformats.org/officeDocument/2006/relationships/image" Target="media/image263.png"/><Relationship Id="rId299" Type="http://schemas.openxmlformats.org/officeDocument/2006/relationships/image" Target="media/image264.png"/><Relationship Id="rId300" Type="http://schemas.openxmlformats.org/officeDocument/2006/relationships/image" Target="media/image265.png"/><Relationship Id="rId301" Type="http://schemas.openxmlformats.org/officeDocument/2006/relationships/image" Target="media/image266.png"/><Relationship Id="rId302" Type="http://schemas.openxmlformats.org/officeDocument/2006/relationships/image" Target="media/image267.png"/><Relationship Id="rId303" Type="http://schemas.openxmlformats.org/officeDocument/2006/relationships/image" Target="media/image268.png"/><Relationship Id="rId304" Type="http://schemas.openxmlformats.org/officeDocument/2006/relationships/image" Target="media/image269.png"/><Relationship Id="rId305" Type="http://schemas.openxmlformats.org/officeDocument/2006/relationships/image" Target="media/image270.png"/><Relationship Id="rId306" Type="http://schemas.openxmlformats.org/officeDocument/2006/relationships/image" Target="media/image271.png"/><Relationship Id="rId307" Type="http://schemas.openxmlformats.org/officeDocument/2006/relationships/image" Target="media/image272.png"/><Relationship Id="rId308" Type="http://schemas.openxmlformats.org/officeDocument/2006/relationships/image" Target="media/image273.png"/><Relationship Id="rId309" Type="http://schemas.openxmlformats.org/officeDocument/2006/relationships/image" Target="media/image274.png"/><Relationship Id="rId310" Type="http://schemas.openxmlformats.org/officeDocument/2006/relationships/image" Target="media/image275.png"/><Relationship Id="rId311" Type="http://schemas.openxmlformats.org/officeDocument/2006/relationships/image" Target="media/image276.png"/><Relationship Id="rId312" Type="http://schemas.openxmlformats.org/officeDocument/2006/relationships/image" Target="media/image277.png"/><Relationship Id="rId313" Type="http://schemas.openxmlformats.org/officeDocument/2006/relationships/image" Target="media/image278.png"/><Relationship Id="rId314" Type="http://schemas.openxmlformats.org/officeDocument/2006/relationships/image" Target="media/image279.png"/><Relationship Id="rId315" Type="http://schemas.openxmlformats.org/officeDocument/2006/relationships/image" Target="media/image280.png"/><Relationship Id="rId316" Type="http://schemas.openxmlformats.org/officeDocument/2006/relationships/image" Target="media/image281.png"/><Relationship Id="rId317" Type="http://schemas.openxmlformats.org/officeDocument/2006/relationships/image" Target="media/image282.png"/><Relationship Id="rId318" Type="http://schemas.openxmlformats.org/officeDocument/2006/relationships/image" Target="media/image283.png"/><Relationship Id="rId319" Type="http://schemas.openxmlformats.org/officeDocument/2006/relationships/image" Target="media/image284.png"/><Relationship Id="rId320" Type="http://schemas.openxmlformats.org/officeDocument/2006/relationships/image" Target="media/image285.png"/><Relationship Id="rId321" Type="http://schemas.openxmlformats.org/officeDocument/2006/relationships/image" Target="media/image286.png"/><Relationship Id="rId322" Type="http://schemas.openxmlformats.org/officeDocument/2006/relationships/image" Target="media/image287.png"/><Relationship Id="rId323" Type="http://schemas.openxmlformats.org/officeDocument/2006/relationships/image" Target="media/image288.png"/><Relationship Id="rId324" Type="http://schemas.openxmlformats.org/officeDocument/2006/relationships/image" Target="media/image289.png"/><Relationship Id="rId325" Type="http://schemas.openxmlformats.org/officeDocument/2006/relationships/image" Target="media/image290.png"/><Relationship Id="rId326" Type="http://schemas.openxmlformats.org/officeDocument/2006/relationships/image" Target="media/image291.png"/><Relationship Id="rId327" Type="http://schemas.openxmlformats.org/officeDocument/2006/relationships/image" Target="media/image292.png"/><Relationship Id="rId328" Type="http://schemas.openxmlformats.org/officeDocument/2006/relationships/image" Target="media/image293.png"/><Relationship Id="rId329" Type="http://schemas.openxmlformats.org/officeDocument/2006/relationships/image" Target="media/image294.png"/><Relationship Id="rId330" Type="http://schemas.openxmlformats.org/officeDocument/2006/relationships/image" Target="media/image295.png"/><Relationship Id="rId331" Type="http://schemas.openxmlformats.org/officeDocument/2006/relationships/image" Target="media/image296.png"/><Relationship Id="rId332" Type="http://schemas.openxmlformats.org/officeDocument/2006/relationships/image" Target="media/image297.png"/><Relationship Id="rId333" Type="http://schemas.openxmlformats.org/officeDocument/2006/relationships/image" Target="media/image298.png"/><Relationship Id="rId334" Type="http://schemas.openxmlformats.org/officeDocument/2006/relationships/image" Target="media/image299.png"/><Relationship Id="rId335" Type="http://schemas.openxmlformats.org/officeDocument/2006/relationships/image" Target="media/image300.png"/><Relationship Id="rId336" Type="http://schemas.openxmlformats.org/officeDocument/2006/relationships/image" Target="media/image301.png"/><Relationship Id="rId337" Type="http://schemas.openxmlformats.org/officeDocument/2006/relationships/image" Target="media/image302.png"/><Relationship Id="rId338" Type="http://schemas.openxmlformats.org/officeDocument/2006/relationships/image" Target="media/image303.png"/><Relationship Id="rId339" Type="http://schemas.openxmlformats.org/officeDocument/2006/relationships/image" Target="media/image304.png"/><Relationship Id="rId340" Type="http://schemas.openxmlformats.org/officeDocument/2006/relationships/image" Target="media/image305.png"/><Relationship Id="rId341" Type="http://schemas.openxmlformats.org/officeDocument/2006/relationships/image" Target="media/image306.png"/><Relationship Id="rId342" Type="http://schemas.openxmlformats.org/officeDocument/2006/relationships/image" Target="media/image307.png"/><Relationship Id="rId343" Type="http://schemas.openxmlformats.org/officeDocument/2006/relationships/image" Target="media/image308.png"/><Relationship Id="rId344" Type="http://schemas.openxmlformats.org/officeDocument/2006/relationships/image" Target="media/image309.png"/><Relationship Id="rId345" Type="http://schemas.openxmlformats.org/officeDocument/2006/relationships/image" Target="media/image310.png"/><Relationship Id="rId346" Type="http://schemas.openxmlformats.org/officeDocument/2006/relationships/image" Target="media/image311.png"/><Relationship Id="rId347" Type="http://schemas.openxmlformats.org/officeDocument/2006/relationships/image" Target="media/image312.png"/><Relationship Id="rId348" Type="http://schemas.openxmlformats.org/officeDocument/2006/relationships/image" Target="media/image313.png"/><Relationship Id="rId349" Type="http://schemas.openxmlformats.org/officeDocument/2006/relationships/image" Target="media/image314.png"/><Relationship Id="rId350" Type="http://schemas.openxmlformats.org/officeDocument/2006/relationships/image" Target="media/image315.png"/><Relationship Id="rId351" Type="http://schemas.openxmlformats.org/officeDocument/2006/relationships/image" Target="media/image316.png"/><Relationship Id="rId352" Type="http://schemas.openxmlformats.org/officeDocument/2006/relationships/image" Target="media/image317.png"/><Relationship Id="rId353" Type="http://schemas.openxmlformats.org/officeDocument/2006/relationships/image" Target="media/image318.png"/><Relationship Id="rId354" Type="http://schemas.openxmlformats.org/officeDocument/2006/relationships/image" Target="media/image319.png"/><Relationship Id="rId355" Type="http://schemas.openxmlformats.org/officeDocument/2006/relationships/image" Target="media/image320.png"/><Relationship Id="rId356" Type="http://schemas.openxmlformats.org/officeDocument/2006/relationships/image" Target="media/image321.png"/><Relationship Id="rId357" Type="http://schemas.openxmlformats.org/officeDocument/2006/relationships/image" Target="media/image322.png"/><Relationship Id="rId358" Type="http://schemas.openxmlformats.org/officeDocument/2006/relationships/image" Target="media/image323.png"/><Relationship Id="rId359" Type="http://schemas.openxmlformats.org/officeDocument/2006/relationships/image" Target="media/image324.png"/><Relationship Id="rId360" Type="http://schemas.openxmlformats.org/officeDocument/2006/relationships/image" Target="media/image325.png"/><Relationship Id="rId361" Type="http://schemas.openxmlformats.org/officeDocument/2006/relationships/image" Target="media/image326.png"/><Relationship Id="rId362" Type="http://schemas.openxmlformats.org/officeDocument/2006/relationships/image" Target="media/image327.jpeg"/><Relationship Id="rId363" Type="http://schemas.openxmlformats.org/officeDocument/2006/relationships/image" Target="media/image328.png"/><Relationship Id="rId364" Type="http://schemas.openxmlformats.org/officeDocument/2006/relationships/image" Target="media/image329.png"/><Relationship Id="rId365" Type="http://schemas.openxmlformats.org/officeDocument/2006/relationships/image" Target="media/image330.png"/><Relationship Id="rId366" Type="http://schemas.openxmlformats.org/officeDocument/2006/relationships/image" Target="media/image331.jpeg"/><Relationship Id="rId367" Type="http://schemas.openxmlformats.org/officeDocument/2006/relationships/image" Target="media/image332.png"/><Relationship Id="rId368" Type="http://schemas.openxmlformats.org/officeDocument/2006/relationships/image" Target="media/image333.png"/><Relationship Id="rId369" Type="http://schemas.openxmlformats.org/officeDocument/2006/relationships/image" Target="media/image334.png"/><Relationship Id="rId370" Type="http://schemas.openxmlformats.org/officeDocument/2006/relationships/image" Target="media/image335.png"/><Relationship Id="rId371" Type="http://schemas.openxmlformats.org/officeDocument/2006/relationships/image" Target="media/image336.png"/><Relationship Id="rId372" Type="http://schemas.openxmlformats.org/officeDocument/2006/relationships/image" Target="media/image337.png"/><Relationship Id="rId373" Type="http://schemas.openxmlformats.org/officeDocument/2006/relationships/image" Target="media/image338.png"/><Relationship Id="rId374" Type="http://schemas.openxmlformats.org/officeDocument/2006/relationships/image" Target="media/image339.png"/><Relationship Id="rId375" Type="http://schemas.openxmlformats.org/officeDocument/2006/relationships/image" Target="media/image340.png"/><Relationship Id="rId376" Type="http://schemas.openxmlformats.org/officeDocument/2006/relationships/image" Target="media/image341.png"/><Relationship Id="rId377" Type="http://schemas.openxmlformats.org/officeDocument/2006/relationships/image" Target="media/image342.png"/><Relationship Id="rId378" Type="http://schemas.openxmlformats.org/officeDocument/2006/relationships/image" Target="media/image343.png"/><Relationship Id="rId379" Type="http://schemas.openxmlformats.org/officeDocument/2006/relationships/image" Target="media/image344.png"/><Relationship Id="rId380" Type="http://schemas.openxmlformats.org/officeDocument/2006/relationships/image" Target="media/image345.png"/><Relationship Id="rId381" Type="http://schemas.openxmlformats.org/officeDocument/2006/relationships/image" Target="media/image346.png"/><Relationship Id="rId382" Type="http://schemas.openxmlformats.org/officeDocument/2006/relationships/image" Target="media/image347.png"/><Relationship Id="rId383" Type="http://schemas.openxmlformats.org/officeDocument/2006/relationships/image" Target="media/image348.png"/><Relationship Id="rId384" Type="http://schemas.openxmlformats.org/officeDocument/2006/relationships/image" Target="media/image349.png"/><Relationship Id="rId385" Type="http://schemas.openxmlformats.org/officeDocument/2006/relationships/image" Target="media/image350.png"/><Relationship Id="rId386" Type="http://schemas.openxmlformats.org/officeDocument/2006/relationships/image" Target="media/image351.png"/><Relationship Id="rId387" Type="http://schemas.openxmlformats.org/officeDocument/2006/relationships/image" Target="media/image352.png"/><Relationship Id="rId388" Type="http://schemas.openxmlformats.org/officeDocument/2006/relationships/image" Target="media/image353.png"/><Relationship Id="rId389" Type="http://schemas.openxmlformats.org/officeDocument/2006/relationships/image" Target="media/image354.png"/><Relationship Id="rId390" Type="http://schemas.openxmlformats.org/officeDocument/2006/relationships/image" Target="media/image355.png"/><Relationship Id="rId391" Type="http://schemas.openxmlformats.org/officeDocument/2006/relationships/image" Target="media/image356.png"/><Relationship Id="rId392" Type="http://schemas.openxmlformats.org/officeDocument/2006/relationships/image" Target="media/image357.png"/><Relationship Id="rId393" Type="http://schemas.openxmlformats.org/officeDocument/2006/relationships/image" Target="media/image358.png"/><Relationship Id="rId394" Type="http://schemas.openxmlformats.org/officeDocument/2006/relationships/image" Target="media/image359.png"/><Relationship Id="rId395" Type="http://schemas.openxmlformats.org/officeDocument/2006/relationships/image" Target="media/image360.png"/><Relationship Id="rId396" Type="http://schemas.openxmlformats.org/officeDocument/2006/relationships/image" Target="media/image361.png"/><Relationship Id="rId397" Type="http://schemas.openxmlformats.org/officeDocument/2006/relationships/image" Target="media/image362.png"/><Relationship Id="rId398" Type="http://schemas.openxmlformats.org/officeDocument/2006/relationships/image" Target="media/image363.png"/><Relationship Id="rId399" Type="http://schemas.openxmlformats.org/officeDocument/2006/relationships/image" Target="media/image364.png"/><Relationship Id="rId400" Type="http://schemas.openxmlformats.org/officeDocument/2006/relationships/image" Target="media/image365.png"/><Relationship Id="rId401" Type="http://schemas.openxmlformats.org/officeDocument/2006/relationships/image" Target="media/image366.png"/><Relationship Id="rId402" Type="http://schemas.openxmlformats.org/officeDocument/2006/relationships/image" Target="media/image367.png"/><Relationship Id="rId403" Type="http://schemas.openxmlformats.org/officeDocument/2006/relationships/image" Target="media/image368.png"/><Relationship Id="rId404" Type="http://schemas.openxmlformats.org/officeDocument/2006/relationships/image" Target="media/image369.png"/><Relationship Id="rId405" Type="http://schemas.openxmlformats.org/officeDocument/2006/relationships/image" Target="media/image370.png"/><Relationship Id="rId406" Type="http://schemas.openxmlformats.org/officeDocument/2006/relationships/image" Target="media/image371.png"/><Relationship Id="rId407" Type="http://schemas.openxmlformats.org/officeDocument/2006/relationships/image" Target="media/image372.png"/><Relationship Id="rId408" Type="http://schemas.openxmlformats.org/officeDocument/2006/relationships/image" Target="media/image373.png"/><Relationship Id="rId409" Type="http://schemas.openxmlformats.org/officeDocument/2006/relationships/image" Target="media/image374.png"/><Relationship Id="rId410" Type="http://schemas.openxmlformats.org/officeDocument/2006/relationships/image" Target="media/image375.png"/><Relationship Id="rId411" Type="http://schemas.openxmlformats.org/officeDocument/2006/relationships/image" Target="media/image376.png"/><Relationship Id="rId412" Type="http://schemas.openxmlformats.org/officeDocument/2006/relationships/image" Target="media/image377.png"/><Relationship Id="rId413" Type="http://schemas.openxmlformats.org/officeDocument/2006/relationships/image" Target="media/image378.png"/><Relationship Id="rId414" Type="http://schemas.openxmlformats.org/officeDocument/2006/relationships/image" Target="media/image379.png"/><Relationship Id="rId415" Type="http://schemas.openxmlformats.org/officeDocument/2006/relationships/image" Target="media/image380.png"/><Relationship Id="rId416" Type="http://schemas.openxmlformats.org/officeDocument/2006/relationships/image" Target="media/image381.png"/><Relationship Id="rId417" Type="http://schemas.openxmlformats.org/officeDocument/2006/relationships/image" Target="media/image382.png"/><Relationship Id="rId418" Type="http://schemas.openxmlformats.org/officeDocument/2006/relationships/image" Target="media/image383.png"/><Relationship Id="rId419" Type="http://schemas.openxmlformats.org/officeDocument/2006/relationships/image" Target="media/image384.png"/><Relationship Id="rId420" Type="http://schemas.openxmlformats.org/officeDocument/2006/relationships/image" Target="media/image385.png"/><Relationship Id="rId421" Type="http://schemas.openxmlformats.org/officeDocument/2006/relationships/image" Target="media/image386.png"/><Relationship Id="rId422" Type="http://schemas.openxmlformats.org/officeDocument/2006/relationships/image" Target="media/image387.png"/><Relationship Id="rId423" Type="http://schemas.openxmlformats.org/officeDocument/2006/relationships/image" Target="media/image388.png"/><Relationship Id="rId424" Type="http://schemas.openxmlformats.org/officeDocument/2006/relationships/image" Target="media/image389.png"/><Relationship Id="rId425" Type="http://schemas.openxmlformats.org/officeDocument/2006/relationships/image" Target="media/image390.png"/><Relationship Id="rId426" Type="http://schemas.openxmlformats.org/officeDocument/2006/relationships/image" Target="media/image391.png"/><Relationship Id="rId427" Type="http://schemas.openxmlformats.org/officeDocument/2006/relationships/image" Target="media/image392.png"/><Relationship Id="rId428" Type="http://schemas.openxmlformats.org/officeDocument/2006/relationships/image" Target="media/image393.png"/><Relationship Id="rId429" Type="http://schemas.openxmlformats.org/officeDocument/2006/relationships/image" Target="media/image394.png"/><Relationship Id="rId430" Type="http://schemas.openxmlformats.org/officeDocument/2006/relationships/image" Target="media/image395.png"/><Relationship Id="rId431" Type="http://schemas.openxmlformats.org/officeDocument/2006/relationships/image" Target="media/image396.png"/><Relationship Id="rId432" Type="http://schemas.openxmlformats.org/officeDocument/2006/relationships/image" Target="media/image397.png"/><Relationship Id="rId433" Type="http://schemas.openxmlformats.org/officeDocument/2006/relationships/image" Target="media/image398.png"/><Relationship Id="rId434" Type="http://schemas.openxmlformats.org/officeDocument/2006/relationships/image" Target="media/image399.png"/><Relationship Id="rId435" Type="http://schemas.openxmlformats.org/officeDocument/2006/relationships/image" Target="media/image400.png"/><Relationship Id="rId436" Type="http://schemas.openxmlformats.org/officeDocument/2006/relationships/image" Target="media/image401.png"/><Relationship Id="rId437" Type="http://schemas.openxmlformats.org/officeDocument/2006/relationships/image" Target="media/image402.jpeg"/><Relationship Id="rId438" Type="http://schemas.openxmlformats.org/officeDocument/2006/relationships/image" Target="media/image403.png"/><Relationship Id="rId439" Type="http://schemas.openxmlformats.org/officeDocument/2006/relationships/image" Target="media/image404.png"/><Relationship Id="rId440" Type="http://schemas.openxmlformats.org/officeDocument/2006/relationships/image" Target="media/image405.png"/><Relationship Id="rId441" Type="http://schemas.openxmlformats.org/officeDocument/2006/relationships/image" Target="media/image406.png"/><Relationship Id="rId442" Type="http://schemas.openxmlformats.org/officeDocument/2006/relationships/image" Target="media/image407.png"/><Relationship Id="rId443" Type="http://schemas.openxmlformats.org/officeDocument/2006/relationships/image" Target="media/image408.png"/><Relationship Id="rId444" Type="http://schemas.openxmlformats.org/officeDocument/2006/relationships/image" Target="media/image409.png"/><Relationship Id="rId445" Type="http://schemas.openxmlformats.org/officeDocument/2006/relationships/image" Target="media/image410.png"/><Relationship Id="rId446" Type="http://schemas.openxmlformats.org/officeDocument/2006/relationships/image" Target="media/image411.png"/><Relationship Id="rId447" Type="http://schemas.openxmlformats.org/officeDocument/2006/relationships/image" Target="media/image412.png"/><Relationship Id="rId448" Type="http://schemas.openxmlformats.org/officeDocument/2006/relationships/image" Target="media/image413.png"/><Relationship Id="rId449" Type="http://schemas.openxmlformats.org/officeDocument/2006/relationships/image" Target="media/image414.png"/><Relationship Id="rId450" Type="http://schemas.openxmlformats.org/officeDocument/2006/relationships/image" Target="media/image415.png"/><Relationship Id="rId451" Type="http://schemas.openxmlformats.org/officeDocument/2006/relationships/image" Target="media/image416.png"/><Relationship Id="rId452" Type="http://schemas.openxmlformats.org/officeDocument/2006/relationships/image" Target="media/image417.png"/><Relationship Id="rId453" Type="http://schemas.openxmlformats.org/officeDocument/2006/relationships/image" Target="media/image418.png"/><Relationship Id="rId454" Type="http://schemas.openxmlformats.org/officeDocument/2006/relationships/image" Target="media/image419.png"/><Relationship Id="rId455" Type="http://schemas.openxmlformats.org/officeDocument/2006/relationships/image" Target="media/image420.png"/><Relationship Id="rId456" Type="http://schemas.openxmlformats.org/officeDocument/2006/relationships/image" Target="media/image421.png"/><Relationship Id="rId457" Type="http://schemas.openxmlformats.org/officeDocument/2006/relationships/image" Target="media/image422.png"/><Relationship Id="rId458" Type="http://schemas.openxmlformats.org/officeDocument/2006/relationships/image" Target="media/image423.png"/><Relationship Id="rId459" Type="http://schemas.openxmlformats.org/officeDocument/2006/relationships/image" Target="media/image424.png"/><Relationship Id="rId460" Type="http://schemas.openxmlformats.org/officeDocument/2006/relationships/image" Target="media/image425.png"/><Relationship Id="rId461" Type="http://schemas.openxmlformats.org/officeDocument/2006/relationships/image" Target="media/image426.png"/><Relationship Id="rId462" Type="http://schemas.openxmlformats.org/officeDocument/2006/relationships/image" Target="media/image427.png"/><Relationship Id="rId463" Type="http://schemas.openxmlformats.org/officeDocument/2006/relationships/image" Target="media/image428.png"/><Relationship Id="rId464" Type="http://schemas.openxmlformats.org/officeDocument/2006/relationships/image" Target="media/image429.png"/><Relationship Id="rId465" Type="http://schemas.openxmlformats.org/officeDocument/2006/relationships/image" Target="media/image430.png"/><Relationship Id="rId466" Type="http://schemas.openxmlformats.org/officeDocument/2006/relationships/image" Target="media/image431.png"/><Relationship Id="rId467" Type="http://schemas.openxmlformats.org/officeDocument/2006/relationships/image" Target="media/image432.png"/><Relationship Id="rId468" Type="http://schemas.openxmlformats.org/officeDocument/2006/relationships/image" Target="media/image433.png"/><Relationship Id="rId469" Type="http://schemas.openxmlformats.org/officeDocument/2006/relationships/image" Target="media/image434.png"/><Relationship Id="rId470" Type="http://schemas.openxmlformats.org/officeDocument/2006/relationships/image" Target="media/image435.png"/><Relationship Id="rId471" Type="http://schemas.openxmlformats.org/officeDocument/2006/relationships/image" Target="media/image436.png"/><Relationship Id="rId472" Type="http://schemas.openxmlformats.org/officeDocument/2006/relationships/image" Target="media/image437.png"/><Relationship Id="rId473" Type="http://schemas.openxmlformats.org/officeDocument/2006/relationships/image" Target="media/image438.png"/><Relationship Id="rId474" Type="http://schemas.openxmlformats.org/officeDocument/2006/relationships/image" Target="media/image439.png"/><Relationship Id="rId475" Type="http://schemas.openxmlformats.org/officeDocument/2006/relationships/image" Target="media/image440.png"/><Relationship Id="rId476" Type="http://schemas.openxmlformats.org/officeDocument/2006/relationships/image" Target="media/image441.png"/><Relationship Id="rId477" Type="http://schemas.openxmlformats.org/officeDocument/2006/relationships/image" Target="media/image442.png"/><Relationship Id="rId478" Type="http://schemas.openxmlformats.org/officeDocument/2006/relationships/image" Target="media/image443.png"/><Relationship Id="rId479" Type="http://schemas.openxmlformats.org/officeDocument/2006/relationships/image" Target="media/image444.png"/><Relationship Id="rId480" Type="http://schemas.openxmlformats.org/officeDocument/2006/relationships/image" Target="media/image445.png"/><Relationship Id="rId481" Type="http://schemas.openxmlformats.org/officeDocument/2006/relationships/image" Target="media/image446.png"/><Relationship Id="rId482" Type="http://schemas.openxmlformats.org/officeDocument/2006/relationships/image" Target="media/image447.png"/><Relationship Id="rId48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588" Type="http://schemas.openxmlformats.org/officeDocument/2006/relationships/image" Target="media/image553.png"/><Relationship Id="rId589"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593" Type="http://schemas.openxmlformats.org/officeDocument/2006/relationships/image" Target="media/image558.png"/><Relationship Id="rId594" Type="http://schemas.openxmlformats.org/officeDocument/2006/relationships/image" Target="media/image559.png"/><Relationship Id="rId595" Type="http://schemas.openxmlformats.org/officeDocument/2006/relationships/image" Target="media/image560.png"/><Relationship Id="rId596" Type="http://schemas.openxmlformats.org/officeDocument/2006/relationships/image" Target="media/image561.png"/><Relationship Id="rId597" Type="http://schemas.openxmlformats.org/officeDocument/2006/relationships/image" Target="media/image562.png"/><Relationship Id="rId598" Type="http://schemas.openxmlformats.org/officeDocument/2006/relationships/image" Target="media/image563.png"/><Relationship Id="rId599" Type="http://schemas.openxmlformats.org/officeDocument/2006/relationships/image" Target="media/image564.png"/><Relationship Id="rId600" Type="http://schemas.openxmlformats.org/officeDocument/2006/relationships/image" Target="media/image565.png"/><Relationship Id="rId601" Type="http://schemas.openxmlformats.org/officeDocument/2006/relationships/image" Target="media/image566.png"/><Relationship Id="rId602" Type="http://schemas.openxmlformats.org/officeDocument/2006/relationships/image" Target="media/image567.png"/><Relationship Id="rId603" Type="http://schemas.openxmlformats.org/officeDocument/2006/relationships/image" Target="media/image568.png"/><Relationship Id="rId604" Type="http://schemas.openxmlformats.org/officeDocument/2006/relationships/image" Target="media/image569.png"/><Relationship Id="rId605" Type="http://schemas.openxmlformats.org/officeDocument/2006/relationships/image" Target="media/image570.png"/><Relationship Id="rId606" Type="http://schemas.openxmlformats.org/officeDocument/2006/relationships/image" Target="media/image571.png"/><Relationship Id="rId607" Type="http://schemas.openxmlformats.org/officeDocument/2006/relationships/image" Target="media/image572.png"/><Relationship Id="rId608" Type="http://schemas.openxmlformats.org/officeDocument/2006/relationships/image" Target="media/image573.png"/><Relationship Id="rId609" Type="http://schemas.openxmlformats.org/officeDocument/2006/relationships/image" Target="media/image574.png"/><Relationship Id="rId610" Type="http://schemas.openxmlformats.org/officeDocument/2006/relationships/image" Target="media/image575.png"/><Relationship Id="rId611" Type="http://schemas.openxmlformats.org/officeDocument/2006/relationships/image" Target="media/image576.png"/><Relationship Id="rId612" Type="http://schemas.openxmlformats.org/officeDocument/2006/relationships/image" Target="media/image577.png"/><Relationship Id="rId613" Type="http://schemas.openxmlformats.org/officeDocument/2006/relationships/image" Target="media/image578.png"/><Relationship Id="rId614" Type="http://schemas.openxmlformats.org/officeDocument/2006/relationships/image" Target="media/image579.png"/><Relationship Id="rId615" Type="http://schemas.openxmlformats.org/officeDocument/2006/relationships/image" Target="media/image580.png"/><Relationship Id="rId616" Type="http://schemas.openxmlformats.org/officeDocument/2006/relationships/image" Target="media/image581.png"/><Relationship Id="rId617" Type="http://schemas.openxmlformats.org/officeDocument/2006/relationships/image" Target="media/image582.png"/><Relationship Id="rId618" Type="http://schemas.openxmlformats.org/officeDocument/2006/relationships/image" Target="media/image583.png"/><Relationship Id="rId619" Type="http://schemas.openxmlformats.org/officeDocument/2006/relationships/image" Target="media/image584.png"/><Relationship Id="rId620" Type="http://schemas.openxmlformats.org/officeDocument/2006/relationships/image" Target="media/image585.png"/><Relationship Id="rId621" Type="http://schemas.openxmlformats.org/officeDocument/2006/relationships/image" Target="media/image586.jpeg"/><Relationship Id="rId622" Type="http://schemas.openxmlformats.org/officeDocument/2006/relationships/image" Target="media/image587.jpeg"/><Relationship Id="rId623" Type="http://schemas.openxmlformats.org/officeDocument/2006/relationships/image" Target="media/image588.jpeg"/><Relationship Id="rId624" Type="http://schemas.openxmlformats.org/officeDocument/2006/relationships/image" Target="media/image589.jpeg"/><Relationship Id="rId625" Type="http://schemas.openxmlformats.org/officeDocument/2006/relationships/image" Target="media/image590.png"/><Relationship Id="rId626" Type="http://schemas.openxmlformats.org/officeDocument/2006/relationships/image" Target="media/image591.jpeg"/><Relationship Id="rId627" Type="http://schemas.openxmlformats.org/officeDocument/2006/relationships/image" Target="media/image592.png"/><Relationship Id="rId628" Type="http://schemas.openxmlformats.org/officeDocument/2006/relationships/image" Target="media/image593.png"/><Relationship Id="rId629" Type="http://schemas.openxmlformats.org/officeDocument/2006/relationships/image" Target="media/image594.jpeg"/><Relationship Id="rId630" Type="http://schemas.openxmlformats.org/officeDocument/2006/relationships/image" Target="media/image595.jpeg"/><Relationship Id="rId631" Type="http://schemas.openxmlformats.org/officeDocument/2006/relationships/image" Target="media/image596.png"/><Relationship Id="rId632" Type="http://schemas.openxmlformats.org/officeDocument/2006/relationships/image" Target="media/image597.png"/><Relationship Id="rId106" Type="http://schemas.openxmlformats.org/officeDocument/2006/relationships/hyperlink" Target="https://www.sec.gov/Archives/edgar/data/1430725/000091957419002599/d8213862_ex3-1.htm" TargetMode="External"/><Relationship Id="rId107" Type="http://schemas.openxmlformats.org/officeDocument/2006/relationships/hyperlink" Target="https://www.sec.gov/Archives/edgar/data/1430725/000091957419002597/d8211763_ex3-3.htm" TargetMode="External"/><Relationship Id="rId108" Type="http://schemas.openxmlformats.org/officeDocument/2006/relationships/hyperlink" Target="https://www.sec.gov/Archives/edgar/data/1430725/000114036125009158/exhibit13.htm" TargetMode="External"/><Relationship Id="rId109" Type="http://schemas.openxmlformats.org/officeDocument/2006/relationships/hyperlink" Target="https://www.sec.gov/Archives/edgar/data/1430725/000119312514315308/d778709dex31.htm" TargetMode="External"/><Relationship Id="rId110" Type="http://schemas.openxmlformats.org/officeDocument/2006/relationships/hyperlink" Target="https://www.sec.gov/Archives/edgar/data/1430725/000091957419007622/d8428154_ex3-1.htm" TargetMode="External"/><Relationship Id="rId111" Type="http://schemas.openxmlformats.org/officeDocument/2006/relationships/hyperlink" Target="https://www.sec.gov/Archives/edgar/data/1430725/000119312522314747/d441282dex31.htm" TargetMode="External"/><Relationship Id="rId112" Type="http://schemas.openxmlformats.org/officeDocument/2006/relationships/hyperlink" Target="https://www.sec.gov/Archives/edgar/data/1430725/000119312519092952/d726322dex15.htm" TargetMode="External"/><Relationship Id="rId113" Type="http://schemas.openxmlformats.org/officeDocument/2006/relationships/hyperlink" Target="https://www.sec.gov/Archives/edgar/data/1430725/000091957419002597/d8211774_ex4-1.htm" TargetMode="External"/><Relationship Id="rId114" Type="http://schemas.openxmlformats.org/officeDocument/2006/relationships/hyperlink" Target="https://www.sec.gov/Archives/edgar/data/1430725/000119312514315308/d778709dex41.htm" TargetMode="External"/><Relationship Id="rId115" Type="http://schemas.openxmlformats.org/officeDocument/2006/relationships/hyperlink" Target="https://www.sec.gov/Archives/edgar/data/1430725/000114036124014377/exhibit23.htm" TargetMode="External"/><Relationship Id="rId116" Type="http://schemas.openxmlformats.org/officeDocument/2006/relationships/hyperlink" Target="https://www.sec.gov/Archives/edgar/data/1430725/000119312520096272/d900470dex419.htm" TargetMode="External"/><Relationship Id="rId117" Type="http://schemas.openxmlformats.org/officeDocument/2006/relationships/hyperlink" Target="https://www.sec.gov/Archives/edgar/data/1430725/000091957422002390/exhibit416.htm" TargetMode="External"/><Relationship Id="rId118" Type="http://schemas.openxmlformats.org/officeDocument/2006/relationships/hyperlink" Target="https://www.sec.gov/Archives/edgar/data/1430725/000091957422002390/exhibit417.htm" TargetMode="External"/><Relationship Id="rId119" Type="http://schemas.openxmlformats.org/officeDocument/2006/relationships/hyperlink" Target="https://www.sec.gov/Archives/edgar/data/1430725/000091957422002390/exhibit418.htm" TargetMode="External"/><Relationship Id="rId120" Type="http://schemas.openxmlformats.org/officeDocument/2006/relationships/hyperlink" Target="https://www.sec.gov/Archives/edgar/data/1430725/000091957422002390/exhibit419.htm" TargetMode="External"/><Relationship Id="rId121" Type="http://schemas.openxmlformats.org/officeDocument/2006/relationships/hyperlink" Target="https://www.sec.gov/Archives/edgar/data/1430725/000091957422003929/d9556283_ex99-4.htm" TargetMode="External"/><Relationship Id="rId122" Type="http://schemas.openxmlformats.org/officeDocument/2006/relationships/hyperlink" Target="https://www.sec.gov/Archives/edgar/data/1415948/000095013607007370/file21.htm" TargetMode="External"/><Relationship Id="rId123" Type="http://schemas.openxmlformats.org/officeDocument/2006/relationships/hyperlink" Target="https://www.sec.gov/Archives/edgar/data/1430725/000114036125009158/exhibit418.htm" TargetMode="External"/><Relationship Id="rId124" Type="http://schemas.openxmlformats.org/officeDocument/2006/relationships/hyperlink" Target="https://www.sec.gov/Archives/edgar/data/1430725/000119312518310874/d645699dex101.htm" TargetMode="External"/><Relationship Id="rId125" Type="http://schemas.openxmlformats.org/officeDocument/2006/relationships/hyperlink" Target="https://www.sec.gov/Archives/edgar/data/1430725/000119312518310874/d645699dex21.htm" TargetMode="External"/><Relationship Id="rId126" Type="http://schemas.openxmlformats.org/officeDocument/2006/relationships/hyperlink" Target="https://www.sec.gov/Archives/edgar/data/1430725/000119312523076993/d461592dex424.htm" TargetMode="External"/><Relationship Id="rId127" Type="http://schemas.openxmlformats.org/officeDocument/2006/relationships/hyperlink" Target="https://www.sec.gov/Archives/edgar/data/1430725/000114036125009158/exhibit426.htm" TargetMode="External"/><Relationship Id="rId128" Type="http://schemas.openxmlformats.org/officeDocument/2006/relationships/hyperlink" Target="https://www.sec.gov/Archives/edgar/data/1430725/000114036125009158/exhibit427.htm" TargetMode="External"/><Relationship Id="rId129" Type="http://schemas.openxmlformats.org/officeDocument/2006/relationships/hyperlink" Target="https://www.sec.gov/Archives/edgar/data/1430725/000114036125009158/exhibit428.htm" TargetMode="External"/><Relationship Id="rId130" Type="http://schemas.openxmlformats.org/officeDocument/2006/relationships/hyperlink" Target="https://www.sec.gov/Archives/edgar/data/1430725/000114036125035788/ef20055890_ex1-1.htm" TargetMode="External"/><Relationship Id="rId131" Type="http://schemas.openxmlformats.org/officeDocument/2006/relationships/hyperlink" Target="https://www.sec.gov/Archives/edgar/data/1430725/000114036125035788/ef20055890_ex1-2.htm" TargetMode="External"/><Relationship Id="rId132" Type="http://schemas.openxmlformats.org/officeDocument/2006/relationships/hyperlink" Target="https://www.sec.gov/Archives/edgar/data/1430725/000114036124014377/exhibit111.htm" TargetMode="External"/><Relationship Id="rId133" Type="http://schemas.openxmlformats.org/officeDocument/2006/relationships/hyperlink" Target="http://www.sec.gov/Archives/edgar/data/1430725/000114036124014377/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2026-03-16T16:20:35Z</dcterms:created>
  <dcterms:modified xsi:type="dcterms:W3CDTF">2026-03-16T16:20:35Z</dcterms:modified>
</cp:coreProperties>
</file>