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Psaropoulos Anastasios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 IRODOU ATTIKOU STREET</w:t>
            </w: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KIFISIA,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J3</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14561</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ATHENS</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131,275</w:t>
            </w:r>
            <w:r>
              <w:rPr>
                <w:rFonts w:ascii="Times New Roman" w:cs="Times New Roman" w:eastAsia="Times New Roman" w:hAnsi="Times New Roman"/>
                <w:sz w:val="25"/>
                <w:szCs w:val="25"/>
                <w:color w:val="008000"/>
                <w:vertAlign w:val="superscript"/>
              </w:rPr>
              <w:t>(1)</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392,058</w:t>
            </w:r>
            <w:r>
              <w:rPr>
                <w:rFonts w:ascii="Times New Roman" w:cs="Times New Roman" w:eastAsia="Times New Roman" w:hAnsi="Times New Roman"/>
                <w:sz w:val="25"/>
                <w:szCs w:val="25"/>
                <w:color w:val="008000"/>
                <w:vertAlign w:val="superscript"/>
              </w:rPr>
              <w:t>(2)</w:t>
            </w:r>
          </w:p>
        </w:tc>
        <w:tc>
          <w:tcPr>
            <w:tcW w:w="8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40" w:type="dxa"/>
            <w:vAlign w:val="bottom"/>
            <w:gridSpan w:val="3"/>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8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21,192 Class A Common Shares of Global Ship Lease, Inc. (the "Issuer") granted to the reporting person pursuant to the Issuer's 2019 Omnibus Incentive Plan, as amended and restated (the "Plan"), of which 10,596 shares vested on December 31, 2025 and have not yet been issued, and 10,596 shares are scheduled to vest on March 31, 2026.</w:t>
      </w:r>
    </w:p>
    <w:p>
      <w:pPr>
        <w:spacing w:after="0" w:line="17"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116,558 shares which vest quarterly, pro rata, commencing from the quarter ended June 30, 2026, conditioned on the reporting person's continued service, (ii) 137,750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137,750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8"/>
              </w:rPr>
              <w:t>/s/ Anastasios Psaropoulos 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0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8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62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2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689"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2026-03-16T18:42:12Z</dcterms:created>
  <dcterms:modified xsi:type="dcterms:W3CDTF">2026-03-16T18:42:12Z</dcterms:modified>
</cp:coreProperties>
</file>